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theme/themeOverride1.xml" ContentType="application/vnd.openxmlformats-officedocument.themeOverride+xml"/>
  <Override PartName="/word/drawings/drawing1.xml" ContentType="application/vnd.openxmlformats-officedocument.drawingml.chartshapes+xml"/>
  <Override PartName="/word/charts/chart3.xml" ContentType="application/vnd.openxmlformats-officedocument.drawingml.chart+xml"/>
  <Override PartName="/word/charts/chart4.xml" ContentType="application/vnd.openxmlformats-officedocument.drawingml.chart+xml"/>
  <Override PartName="/word/drawings/drawing2.xml" ContentType="application/vnd.openxmlformats-officedocument.drawingml.chartshapes+xml"/>
  <Override PartName="/word/charts/chart5.xml" ContentType="application/vnd.openxmlformats-officedocument.drawingml.chart+xml"/>
  <Override PartName="/word/charts/chart6.xml" ContentType="application/vnd.openxmlformats-officedocument.drawingml.chart+xml"/>
  <Override PartName="/word/theme/themeOverride2.xml" ContentType="application/vnd.openxmlformats-officedocument.themeOverride+xml"/>
  <Override PartName="/word/drawings/drawing3.xml" ContentType="application/vnd.openxmlformats-officedocument.drawingml.chartshapes+xml"/>
  <Override PartName="/word/charts/chart7.xml" ContentType="application/vnd.openxmlformats-officedocument.drawingml.chart+xml"/>
  <Override PartName="/word/theme/themeOverride3.xml" ContentType="application/vnd.openxmlformats-officedocument.themeOverride+xml"/>
  <Override PartName="/word/charts/chart8.xml" ContentType="application/vnd.openxmlformats-officedocument.drawingml.chart+xml"/>
  <Override PartName="/word/charts/chart9.xml" ContentType="application/vnd.openxmlformats-officedocument.drawingml.chart+xml"/>
  <Override PartName="/word/theme/themeOverride4.xml" ContentType="application/vnd.openxmlformats-officedocument.themeOverride+xml"/>
  <Override PartName="/word/drawings/drawing4.xml" ContentType="application/vnd.openxmlformats-officedocument.drawingml.chartshapes+xml"/>
  <Override PartName="/word/charts/chart10.xml" ContentType="application/vnd.openxmlformats-officedocument.drawingml.chart+xml"/>
  <Override PartName="/word/theme/themeOverride5.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7CB" w:rsidRDefault="007E27CB">
      <w:pPr>
        <w:tabs>
          <w:tab w:val="left" w:pos="4962"/>
        </w:tabs>
        <w:spacing w:after="0" w:line="240" w:lineRule="auto"/>
        <w:ind w:left="4962"/>
        <w:jc w:val="both"/>
        <w:rPr>
          <w:sz w:val="24"/>
          <w:szCs w:val="24"/>
        </w:rPr>
      </w:pPr>
    </w:p>
    <w:p w:rsidR="00987900" w:rsidRDefault="00987900">
      <w:pPr>
        <w:tabs>
          <w:tab w:val="left" w:pos="4962"/>
        </w:tabs>
        <w:spacing w:after="0" w:line="240" w:lineRule="auto"/>
        <w:ind w:left="4962"/>
        <w:jc w:val="both"/>
        <w:rPr>
          <w:sz w:val="24"/>
          <w:szCs w:val="24"/>
        </w:rPr>
      </w:pPr>
    </w:p>
    <w:p w:rsidR="00987900" w:rsidRDefault="00987900">
      <w:pPr>
        <w:tabs>
          <w:tab w:val="left" w:pos="4962"/>
        </w:tabs>
        <w:spacing w:after="0" w:line="240" w:lineRule="auto"/>
        <w:ind w:left="4962"/>
        <w:jc w:val="both"/>
        <w:rPr>
          <w:sz w:val="24"/>
          <w:szCs w:val="24"/>
        </w:rPr>
      </w:pPr>
    </w:p>
    <w:p w:rsidR="00987900" w:rsidRDefault="00987900">
      <w:pPr>
        <w:tabs>
          <w:tab w:val="left" w:pos="4962"/>
        </w:tabs>
        <w:spacing w:after="0" w:line="240" w:lineRule="auto"/>
        <w:ind w:left="4962"/>
        <w:jc w:val="both"/>
        <w:rPr>
          <w:sz w:val="24"/>
          <w:szCs w:val="24"/>
        </w:rPr>
      </w:pPr>
    </w:p>
    <w:p w:rsidR="00987900" w:rsidRDefault="00987900">
      <w:pPr>
        <w:tabs>
          <w:tab w:val="left" w:pos="4962"/>
        </w:tabs>
        <w:spacing w:after="0" w:line="240" w:lineRule="auto"/>
        <w:ind w:left="4962"/>
        <w:jc w:val="both"/>
        <w:rPr>
          <w:sz w:val="24"/>
          <w:szCs w:val="24"/>
        </w:rPr>
      </w:pPr>
    </w:p>
    <w:p w:rsidR="00987900" w:rsidRDefault="00987900">
      <w:pPr>
        <w:tabs>
          <w:tab w:val="left" w:pos="4962"/>
        </w:tabs>
        <w:spacing w:after="0" w:line="240" w:lineRule="auto"/>
        <w:ind w:left="4962"/>
        <w:jc w:val="both"/>
        <w:rPr>
          <w:sz w:val="24"/>
          <w:szCs w:val="24"/>
        </w:rPr>
      </w:pPr>
    </w:p>
    <w:p w:rsidR="00987900" w:rsidRDefault="00987900">
      <w:pPr>
        <w:tabs>
          <w:tab w:val="left" w:pos="4962"/>
        </w:tabs>
        <w:spacing w:after="0" w:line="240" w:lineRule="auto"/>
        <w:ind w:left="4962"/>
        <w:jc w:val="both"/>
        <w:rPr>
          <w:sz w:val="24"/>
          <w:szCs w:val="24"/>
        </w:rPr>
      </w:pPr>
    </w:p>
    <w:p w:rsidR="00987900" w:rsidRDefault="00987900">
      <w:pPr>
        <w:tabs>
          <w:tab w:val="left" w:pos="4962"/>
        </w:tabs>
        <w:spacing w:after="0" w:line="240" w:lineRule="auto"/>
        <w:ind w:left="4962"/>
        <w:jc w:val="both"/>
        <w:rPr>
          <w:sz w:val="24"/>
          <w:szCs w:val="24"/>
        </w:rPr>
      </w:pPr>
      <w:bookmarkStart w:id="0" w:name="_GoBack"/>
      <w:bookmarkEnd w:id="0"/>
    </w:p>
    <w:p w:rsidR="007E27CB" w:rsidRDefault="007E27CB">
      <w:pPr>
        <w:tabs>
          <w:tab w:val="left" w:pos="4962"/>
        </w:tabs>
        <w:spacing w:after="0" w:line="240" w:lineRule="auto"/>
        <w:jc w:val="both"/>
        <w:rPr>
          <w:b/>
          <w:sz w:val="24"/>
          <w:szCs w:val="24"/>
        </w:rPr>
      </w:pPr>
    </w:p>
    <w:p w:rsidR="007E27CB" w:rsidRDefault="007E27CB">
      <w:pPr>
        <w:tabs>
          <w:tab w:val="left" w:pos="4962"/>
        </w:tabs>
        <w:spacing w:after="0" w:line="240" w:lineRule="auto"/>
        <w:jc w:val="both"/>
        <w:rPr>
          <w:b/>
          <w:sz w:val="24"/>
          <w:szCs w:val="24"/>
        </w:rPr>
      </w:pPr>
    </w:p>
    <w:p w:rsidR="007E27CB" w:rsidRDefault="007E27CB">
      <w:pPr>
        <w:tabs>
          <w:tab w:val="left" w:pos="4962"/>
        </w:tabs>
        <w:spacing w:after="0" w:line="240" w:lineRule="auto"/>
        <w:jc w:val="both"/>
        <w:rPr>
          <w:b/>
          <w:sz w:val="24"/>
          <w:szCs w:val="24"/>
        </w:rPr>
      </w:pPr>
    </w:p>
    <w:p w:rsidR="007E27CB" w:rsidRDefault="007E27CB">
      <w:pPr>
        <w:tabs>
          <w:tab w:val="left" w:pos="4962"/>
        </w:tabs>
        <w:spacing w:after="0" w:line="240" w:lineRule="auto"/>
        <w:jc w:val="both"/>
        <w:rPr>
          <w:b/>
          <w:sz w:val="24"/>
          <w:szCs w:val="24"/>
        </w:rPr>
      </w:pPr>
    </w:p>
    <w:p w:rsidR="007E27CB" w:rsidRDefault="007E27CB">
      <w:pPr>
        <w:tabs>
          <w:tab w:val="left" w:pos="4962"/>
        </w:tabs>
        <w:spacing w:after="0" w:line="240" w:lineRule="auto"/>
        <w:jc w:val="both"/>
        <w:rPr>
          <w:b/>
          <w:sz w:val="24"/>
          <w:szCs w:val="24"/>
        </w:rPr>
      </w:pPr>
    </w:p>
    <w:p w:rsidR="007E27CB" w:rsidRDefault="007E27CB">
      <w:pPr>
        <w:tabs>
          <w:tab w:val="left" w:pos="4962"/>
        </w:tabs>
        <w:spacing w:after="0" w:line="240" w:lineRule="auto"/>
        <w:jc w:val="both"/>
        <w:rPr>
          <w:b/>
          <w:sz w:val="24"/>
          <w:szCs w:val="24"/>
        </w:rPr>
      </w:pPr>
    </w:p>
    <w:p w:rsidR="007E27CB" w:rsidRDefault="007E27CB">
      <w:pPr>
        <w:tabs>
          <w:tab w:val="left" w:pos="4962"/>
        </w:tabs>
        <w:spacing w:after="0" w:line="240" w:lineRule="auto"/>
        <w:jc w:val="both"/>
        <w:rPr>
          <w:b/>
          <w:sz w:val="24"/>
          <w:szCs w:val="24"/>
        </w:rPr>
      </w:pPr>
    </w:p>
    <w:p w:rsidR="007E27CB" w:rsidRDefault="007E27CB">
      <w:pPr>
        <w:tabs>
          <w:tab w:val="left" w:pos="4962"/>
        </w:tabs>
        <w:spacing w:after="0" w:line="240" w:lineRule="auto"/>
        <w:jc w:val="both"/>
        <w:rPr>
          <w:b/>
          <w:sz w:val="24"/>
          <w:szCs w:val="24"/>
        </w:rPr>
      </w:pPr>
    </w:p>
    <w:p w:rsidR="007E27CB" w:rsidRDefault="007E27CB">
      <w:pPr>
        <w:tabs>
          <w:tab w:val="left" w:pos="4962"/>
        </w:tabs>
        <w:spacing w:after="0" w:line="240" w:lineRule="auto"/>
        <w:jc w:val="both"/>
        <w:rPr>
          <w:b/>
          <w:sz w:val="24"/>
          <w:szCs w:val="24"/>
        </w:rPr>
      </w:pPr>
    </w:p>
    <w:p w:rsidR="007E27CB" w:rsidRDefault="007E27CB">
      <w:pPr>
        <w:tabs>
          <w:tab w:val="left" w:pos="4962"/>
        </w:tabs>
        <w:spacing w:after="0" w:line="240" w:lineRule="auto"/>
        <w:jc w:val="both"/>
        <w:rPr>
          <w:b/>
          <w:sz w:val="24"/>
          <w:szCs w:val="24"/>
        </w:rPr>
      </w:pPr>
    </w:p>
    <w:p w:rsidR="007E27CB" w:rsidRDefault="007E27CB">
      <w:pPr>
        <w:tabs>
          <w:tab w:val="left" w:pos="4962"/>
        </w:tabs>
        <w:spacing w:after="0" w:line="240" w:lineRule="auto"/>
        <w:jc w:val="both"/>
        <w:rPr>
          <w:b/>
          <w:sz w:val="24"/>
          <w:szCs w:val="24"/>
        </w:rPr>
      </w:pPr>
    </w:p>
    <w:p w:rsidR="007E27CB" w:rsidRDefault="008F141F">
      <w:pPr>
        <w:tabs>
          <w:tab w:val="left" w:pos="4962"/>
        </w:tabs>
        <w:spacing w:after="0" w:line="240" w:lineRule="auto"/>
        <w:jc w:val="center"/>
        <w:rPr>
          <w:b/>
          <w:sz w:val="24"/>
          <w:szCs w:val="24"/>
        </w:rPr>
      </w:pPr>
      <w:r>
        <w:rPr>
          <w:b/>
          <w:sz w:val="24"/>
          <w:szCs w:val="24"/>
        </w:rPr>
        <w:t>Отчет</w:t>
      </w:r>
    </w:p>
    <w:p w:rsidR="007E27CB" w:rsidRDefault="008F141F">
      <w:pPr>
        <w:tabs>
          <w:tab w:val="left" w:pos="4962"/>
        </w:tabs>
        <w:spacing w:after="0" w:line="240" w:lineRule="auto"/>
        <w:jc w:val="center"/>
        <w:rPr>
          <w:b/>
          <w:sz w:val="24"/>
          <w:szCs w:val="24"/>
        </w:rPr>
      </w:pPr>
      <w:r>
        <w:rPr>
          <w:b/>
          <w:sz w:val="24"/>
          <w:szCs w:val="24"/>
        </w:rPr>
        <w:t xml:space="preserve">о результатах деятельности исполнительных органов государственной власти Томской области </w:t>
      </w:r>
    </w:p>
    <w:p w:rsidR="007E27CB" w:rsidRDefault="008F141F">
      <w:pPr>
        <w:tabs>
          <w:tab w:val="left" w:pos="4962"/>
        </w:tabs>
        <w:spacing w:after="0" w:line="240" w:lineRule="auto"/>
        <w:jc w:val="center"/>
        <w:rPr>
          <w:b/>
          <w:sz w:val="24"/>
          <w:szCs w:val="24"/>
        </w:rPr>
      </w:pPr>
      <w:r>
        <w:rPr>
          <w:b/>
          <w:sz w:val="24"/>
          <w:szCs w:val="24"/>
        </w:rPr>
        <w:t>за 2019 год</w:t>
      </w:r>
    </w:p>
    <w:p w:rsidR="007E27CB" w:rsidRDefault="007E27CB">
      <w:pPr>
        <w:tabs>
          <w:tab w:val="left" w:pos="4962"/>
        </w:tabs>
        <w:spacing w:after="0" w:line="240" w:lineRule="auto"/>
        <w:jc w:val="both"/>
        <w:rPr>
          <w:b/>
          <w:sz w:val="24"/>
          <w:szCs w:val="24"/>
        </w:rPr>
      </w:pPr>
    </w:p>
    <w:p w:rsidR="007E27CB" w:rsidRDefault="007E27CB">
      <w:pPr>
        <w:tabs>
          <w:tab w:val="left" w:pos="4962"/>
        </w:tabs>
        <w:spacing w:after="0" w:line="240" w:lineRule="auto"/>
        <w:jc w:val="both"/>
        <w:rPr>
          <w:b/>
          <w:sz w:val="24"/>
          <w:szCs w:val="24"/>
        </w:rPr>
      </w:pPr>
    </w:p>
    <w:p w:rsidR="007E27CB" w:rsidRDefault="007E27CB">
      <w:pPr>
        <w:tabs>
          <w:tab w:val="left" w:pos="4962"/>
        </w:tabs>
        <w:spacing w:after="0" w:line="240" w:lineRule="auto"/>
        <w:jc w:val="both"/>
        <w:rPr>
          <w:b/>
          <w:sz w:val="24"/>
          <w:szCs w:val="24"/>
        </w:rPr>
      </w:pPr>
    </w:p>
    <w:p w:rsidR="007E27CB" w:rsidRDefault="007E27CB">
      <w:pPr>
        <w:tabs>
          <w:tab w:val="left" w:pos="4962"/>
        </w:tabs>
        <w:spacing w:after="0" w:line="240" w:lineRule="auto"/>
        <w:jc w:val="both"/>
        <w:rPr>
          <w:b/>
          <w:sz w:val="24"/>
          <w:szCs w:val="24"/>
        </w:rPr>
      </w:pPr>
    </w:p>
    <w:p w:rsidR="007E27CB" w:rsidRDefault="007E27CB">
      <w:pPr>
        <w:tabs>
          <w:tab w:val="left" w:pos="4962"/>
        </w:tabs>
        <w:spacing w:after="0" w:line="240" w:lineRule="auto"/>
        <w:jc w:val="both"/>
        <w:rPr>
          <w:b/>
          <w:sz w:val="24"/>
          <w:szCs w:val="24"/>
        </w:rPr>
      </w:pPr>
    </w:p>
    <w:p w:rsidR="007E27CB" w:rsidRDefault="007E27CB">
      <w:pPr>
        <w:tabs>
          <w:tab w:val="left" w:pos="4962"/>
        </w:tabs>
        <w:spacing w:after="0" w:line="240" w:lineRule="auto"/>
        <w:jc w:val="both"/>
        <w:rPr>
          <w:b/>
          <w:sz w:val="24"/>
          <w:szCs w:val="24"/>
        </w:rPr>
      </w:pPr>
    </w:p>
    <w:p w:rsidR="007E27CB" w:rsidRDefault="007E27CB">
      <w:pPr>
        <w:tabs>
          <w:tab w:val="left" w:pos="4962"/>
        </w:tabs>
        <w:spacing w:after="0" w:line="240" w:lineRule="auto"/>
        <w:jc w:val="both"/>
        <w:rPr>
          <w:b/>
          <w:sz w:val="24"/>
          <w:szCs w:val="24"/>
        </w:rPr>
      </w:pPr>
    </w:p>
    <w:p w:rsidR="007E27CB" w:rsidRDefault="007E27CB">
      <w:pPr>
        <w:tabs>
          <w:tab w:val="left" w:pos="4962"/>
        </w:tabs>
        <w:spacing w:after="0" w:line="240" w:lineRule="auto"/>
        <w:jc w:val="both"/>
        <w:rPr>
          <w:b/>
          <w:sz w:val="24"/>
          <w:szCs w:val="24"/>
        </w:rPr>
      </w:pPr>
    </w:p>
    <w:p w:rsidR="007E27CB" w:rsidRDefault="007E27CB">
      <w:pPr>
        <w:tabs>
          <w:tab w:val="left" w:pos="4962"/>
        </w:tabs>
        <w:spacing w:after="0" w:line="240" w:lineRule="auto"/>
        <w:jc w:val="both"/>
        <w:rPr>
          <w:b/>
          <w:sz w:val="24"/>
          <w:szCs w:val="24"/>
        </w:rPr>
      </w:pPr>
    </w:p>
    <w:p w:rsidR="007E27CB" w:rsidRDefault="007E27CB">
      <w:pPr>
        <w:tabs>
          <w:tab w:val="left" w:pos="4962"/>
        </w:tabs>
        <w:spacing w:after="0" w:line="240" w:lineRule="auto"/>
        <w:jc w:val="both"/>
        <w:rPr>
          <w:b/>
          <w:sz w:val="24"/>
          <w:szCs w:val="24"/>
        </w:rPr>
      </w:pPr>
    </w:p>
    <w:p w:rsidR="007E27CB" w:rsidRDefault="007E27CB">
      <w:pPr>
        <w:tabs>
          <w:tab w:val="left" w:pos="4962"/>
        </w:tabs>
        <w:spacing w:after="0" w:line="240" w:lineRule="auto"/>
        <w:jc w:val="both"/>
        <w:rPr>
          <w:b/>
          <w:sz w:val="24"/>
          <w:szCs w:val="24"/>
        </w:rPr>
      </w:pPr>
    </w:p>
    <w:p w:rsidR="007E27CB" w:rsidRDefault="007E27CB">
      <w:pPr>
        <w:tabs>
          <w:tab w:val="left" w:pos="4962"/>
        </w:tabs>
        <w:spacing w:after="0" w:line="240" w:lineRule="auto"/>
        <w:jc w:val="both"/>
        <w:rPr>
          <w:b/>
          <w:sz w:val="24"/>
          <w:szCs w:val="24"/>
        </w:rPr>
      </w:pPr>
    </w:p>
    <w:p w:rsidR="007E27CB" w:rsidRDefault="007E27CB">
      <w:pPr>
        <w:tabs>
          <w:tab w:val="left" w:pos="4962"/>
        </w:tabs>
        <w:spacing w:after="0" w:line="240" w:lineRule="auto"/>
        <w:jc w:val="both"/>
        <w:rPr>
          <w:b/>
          <w:sz w:val="24"/>
          <w:szCs w:val="24"/>
        </w:rPr>
      </w:pPr>
    </w:p>
    <w:p w:rsidR="007E27CB" w:rsidRDefault="007E27CB">
      <w:pPr>
        <w:tabs>
          <w:tab w:val="left" w:pos="4962"/>
        </w:tabs>
        <w:spacing w:after="0" w:line="240" w:lineRule="auto"/>
        <w:jc w:val="both"/>
        <w:rPr>
          <w:b/>
          <w:sz w:val="24"/>
          <w:szCs w:val="24"/>
        </w:rPr>
      </w:pPr>
    </w:p>
    <w:p w:rsidR="007E27CB" w:rsidRDefault="007E27CB">
      <w:pPr>
        <w:tabs>
          <w:tab w:val="left" w:pos="4962"/>
        </w:tabs>
        <w:spacing w:after="0" w:line="240" w:lineRule="auto"/>
        <w:jc w:val="both"/>
        <w:rPr>
          <w:b/>
          <w:sz w:val="24"/>
          <w:szCs w:val="24"/>
        </w:rPr>
      </w:pPr>
    </w:p>
    <w:p w:rsidR="007E27CB" w:rsidRDefault="007E27CB">
      <w:pPr>
        <w:tabs>
          <w:tab w:val="left" w:pos="4962"/>
        </w:tabs>
        <w:spacing w:after="0" w:line="240" w:lineRule="auto"/>
        <w:jc w:val="both"/>
        <w:rPr>
          <w:b/>
          <w:sz w:val="24"/>
          <w:szCs w:val="24"/>
        </w:rPr>
      </w:pPr>
    </w:p>
    <w:p w:rsidR="007E27CB" w:rsidRDefault="007E27CB">
      <w:pPr>
        <w:tabs>
          <w:tab w:val="left" w:pos="4962"/>
        </w:tabs>
        <w:spacing w:after="0" w:line="240" w:lineRule="auto"/>
        <w:jc w:val="both"/>
        <w:rPr>
          <w:b/>
          <w:sz w:val="24"/>
          <w:szCs w:val="24"/>
        </w:rPr>
      </w:pPr>
    </w:p>
    <w:p w:rsidR="007E27CB" w:rsidRDefault="007E27CB">
      <w:pPr>
        <w:tabs>
          <w:tab w:val="left" w:pos="4962"/>
        </w:tabs>
        <w:spacing w:after="0" w:line="240" w:lineRule="auto"/>
        <w:jc w:val="center"/>
        <w:rPr>
          <w:sz w:val="24"/>
          <w:szCs w:val="24"/>
        </w:rPr>
      </w:pPr>
    </w:p>
    <w:p w:rsidR="007E27CB" w:rsidRDefault="007E27CB">
      <w:pPr>
        <w:tabs>
          <w:tab w:val="left" w:pos="4962"/>
        </w:tabs>
        <w:spacing w:after="0" w:line="240" w:lineRule="auto"/>
        <w:jc w:val="center"/>
        <w:rPr>
          <w:sz w:val="24"/>
          <w:szCs w:val="24"/>
        </w:rPr>
      </w:pPr>
    </w:p>
    <w:p w:rsidR="007E27CB" w:rsidRDefault="007E27CB">
      <w:pPr>
        <w:tabs>
          <w:tab w:val="left" w:pos="4962"/>
        </w:tabs>
        <w:spacing w:after="0" w:line="240" w:lineRule="auto"/>
        <w:jc w:val="center"/>
        <w:rPr>
          <w:sz w:val="24"/>
          <w:szCs w:val="24"/>
        </w:rPr>
      </w:pPr>
    </w:p>
    <w:p w:rsidR="007E27CB" w:rsidRDefault="007E27CB">
      <w:pPr>
        <w:tabs>
          <w:tab w:val="left" w:pos="4962"/>
        </w:tabs>
        <w:spacing w:after="0" w:line="240" w:lineRule="auto"/>
        <w:jc w:val="center"/>
        <w:rPr>
          <w:sz w:val="24"/>
          <w:szCs w:val="24"/>
        </w:rPr>
      </w:pPr>
    </w:p>
    <w:p w:rsidR="007E27CB" w:rsidRDefault="007E27CB">
      <w:pPr>
        <w:tabs>
          <w:tab w:val="left" w:pos="4962"/>
        </w:tabs>
        <w:spacing w:after="0" w:line="240" w:lineRule="auto"/>
        <w:jc w:val="center"/>
        <w:rPr>
          <w:sz w:val="24"/>
          <w:szCs w:val="24"/>
        </w:rPr>
      </w:pPr>
    </w:p>
    <w:p w:rsidR="007E27CB" w:rsidRDefault="007E27CB">
      <w:pPr>
        <w:tabs>
          <w:tab w:val="left" w:pos="4962"/>
        </w:tabs>
        <w:spacing w:after="0" w:line="240" w:lineRule="auto"/>
        <w:jc w:val="center"/>
        <w:rPr>
          <w:sz w:val="24"/>
          <w:szCs w:val="24"/>
        </w:rPr>
      </w:pPr>
    </w:p>
    <w:p w:rsidR="007E27CB" w:rsidRDefault="007E27CB">
      <w:pPr>
        <w:tabs>
          <w:tab w:val="left" w:pos="4962"/>
        </w:tabs>
        <w:spacing w:after="0" w:line="240" w:lineRule="auto"/>
        <w:jc w:val="center"/>
        <w:rPr>
          <w:sz w:val="24"/>
          <w:szCs w:val="24"/>
        </w:rPr>
      </w:pPr>
    </w:p>
    <w:p w:rsidR="007E27CB" w:rsidRDefault="007E27CB">
      <w:pPr>
        <w:tabs>
          <w:tab w:val="left" w:pos="4962"/>
        </w:tabs>
        <w:spacing w:after="0" w:line="240" w:lineRule="auto"/>
        <w:jc w:val="center"/>
        <w:rPr>
          <w:sz w:val="24"/>
          <w:szCs w:val="24"/>
        </w:rPr>
      </w:pPr>
    </w:p>
    <w:p w:rsidR="007E27CB" w:rsidRDefault="007E27CB">
      <w:pPr>
        <w:tabs>
          <w:tab w:val="left" w:pos="4962"/>
        </w:tabs>
        <w:spacing w:after="0" w:line="240" w:lineRule="auto"/>
        <w:jc w:val="center"/>
        <w:rPr>
          <w:sz w:val="24"/>
          <w:szCs w:val="24"/>
        </w:rPr>
      </w:pPr>
    </w:p>
    <w:p w:rsidR="007E27CB" w:rsidRDefault="007E27CB">
      <w:pPr>
        <w:tabs>
          <w:tab w:val="left" w:pos="4962"/>
        </w:tabs>
        <w:spacing w:after="0" w:line="240" w:lineRule="auto"/>
        <w:jc w:val="center"/>
        <w:rPr>
          <w:sz w:val="24"/>
          <w:szCs w:val="24"/>
        </w:rPr>
      </w:pPr>
    </w:p>
    <w:p w:rsidR="007E27CB" w:rsidRDefault="007E27CB">
      <w:pPr>
        <w:tabs>
          <w:tab w:val="left" w:pos="4962"/>
        </w:tabs>
        <w:spacing w:after="0" w:line="240" w:lineRule="auto"/>
        <w:jc w:val="center"/>
        <w:rPr>
          <w:sz w:val="24"/>
          <w:szCs w:val="24"/>
        </w:rPr>
      </w:pPr>
    </w:p>
    <w:p w:rsidR="007E27CB" w:rsidRDefault="008F141F">
      <w:pPr>
        <w:tabs>
          <w:tab w:val="left" w:pos="4962"/>
        </w:tabs>
        <w:spacing w:after="0" w:line="240" w:lineRule="auto"/>
        <w:jc w:val="center"/>
        <w:rPr>
          <w:sz w:val="24"/>
          <w:szCs w:val="24"/>
        </w:rPr>
      </w:pPr>
      <w:r>
        <w:rPr>
          <w:sz w:val="24"/>
          <w:szCs w:val="24"/>
        </w:rPr>
        <w:t>Томск</w:t>
      </w:r>
      <w:r>
        <w:rPr>
          <w:sz w:val="24"/>
          <w:szCs w:val="24"/>
        </w:rPr>
        <w:br w:type="page"/>
      </w:r>
    </w:p>
    <w:sdt>
      <w:sdtPr>
        <w:rPr>
          <w:rFonts w:ascii="Times New Roman" w:eastAsia="Calibri" w:hAnsi="Times New Roman" w:cs="Times New Roman"/>
          <w:b w:val="0"/>
          <w:bCs w:val="0"/>
          <w:color w:val="auto"/>
          <w:sz w:val="24"/>
          <w:szCs w:val="24"/>
          <w:lang w:eastAsia="en-US"/>
        </w:rPr>
        <w:id w:val="369189500"/>
        <w:docPartObj>
          <w:docPartGallery w:val="Table of Contents"/>
          <w:docPartUnique/>
        </w:docPartObj>
      </w:sdtPr>
      <w:sdtEndPr>
        <w:rPr>
          <w:rFonts w:eastAsiaTheme="minorHAnsi"/>
          <w:color w:val="FF0000"/>
        </w:rPr>
      </w:sdtEndPr>
      <w:sdtContent>
        <w:p w:rsidR="007E27CB" w:rsidRDefault="008F141F">
          <w:pPr>
            <w:pStyle w:val="aff6"/>
            <w:tabs>
              <w:tab w:val="left" w:pos="4962"/>
            </w:tabs>
            <w:spacing w:before="0" w:line="240" w:lineRule="auto"/>
            <w:rPr>
              <w:rFonts w:ascii="Times New Roman" w:eastAsiaTheme="minorHAnsi" w:hAnsi="Times New Roman" w:cs="Times New Roman"/>
              <w:bCs w:val="0"/>
              <w:color w:val="auto"/>
              <w:sz w:val="24"/>
              <w:szCs w:val="24"/>
              <w:lang w:eastAsia="en-US"/>
            </w:rPr>
          </w:pPr>
          <w:r>
            <w:rPr>
              <w:rFonts w:ascii="Times New Roman" w:eastAsiaTheme="minorHAnsi" w:hAnsi="Times New Roman" w:cs="Times New Roman"/>
              <w:bCs w:val="0"/>
              <w:color w:val="auto"/>
              <w:sz w:val="24"/>
              <w:szCs w:val="24"/>
              <w:lang w:eastAsia="en-US"/>
            </w:rPr>
            <w:t>Содержание</w:t>
          </w:r>
        </w:p>
        <w:p w:rsidR="007E27CB" w:rsidRDefault="007E27CB">
          <w:pPr>
            <w:tabs>
              <w:tab w:val="left" w:pos="4962"/>
            </w:tabs>
            <w:spacing w:after="0" w:line="240" w:lineRule="auto"/>
            <w:rPr>
              <w:sz w:val="24"/>
              <w:szCs w:val="24"/>
              <w:lang w:eastAsia="ru-RU"/>
            </w:rPr>
          </w:pPr>
        </w:p>
        <w:p w:rsidR="007E27CB" w:rsidRDefault="008F141F">
          <w:pPr>
            <w:pStyle w:val="1a"/>
            <w:tabs>
              <w:tab w:val="left" w:pos="4962"/>
            </w:tabs>
            <w:spacing w:after="0" w:line="240" w:lineRule="auto"/>
            <w:rPr>
              <w:sz w:val="24"/>
              <w:szCs w:val="24"/>
            </w:rPr>
          </w:pPr>
          <w:r>
            <w:rPr>
              <w:b/>
              <w:bCs/>
              <w:sz w:val="24"/>
              <w:szCs w:val="24"/>
            </w:rPr>
            <w:t>ВВЕДЕНИЕ</w:t>
          </w:r>
          <w:r>
            <w:rPr>
              <w:sz w:val="24"/>
              <w:szCs w:val="24"/>
            </w:rPr>
            <w:ptab w:relativeTo="margin" w:alignment="right" w:leader="dot"/>
          </w:r>
          <w:r>
            <w:rPr>
              <w:sz w:val="24"/>
              <w:szCs w:val="24"/>
            </w:rPr>
            <w:t>5</w:t>
          </w:r>
        </w:p>
        <w:p w:rsidR="007E27CB" w:rsidRDefault="008F141F">
          <w:pPr>
            <w:pStyle w:val="27"/>
            <w:tabs>
              <w:tab w:val="left" w:pos="4962"/>
            </w:tabs>
            <w:spacing w:after="0" w:line="240" w:lineRule="auto"/>
            <w:rPr>
              <w:sz w:val="24"/>
              <w:szCs w:val="24"/>
            </w:rPr>
          </w:pPr>
          <w:r>
            <w:rPr>
              <w:sz w:val="24"/>
              <w:szCs w:val="24"/>
            </w:rPr>
            <w:t xml:space="preserve">1. Макроэкономический анализ параметров развития в 2019 году </w:t>
          </w:r>
          <w:r>
            <w:rPr>
              <w:sz w:val="24"/>
              <w:szCs w:val="24"/>
            </w:rPr>
            <w:ptab w:relativeTo="margin" w:alignment="right" w:leader="dot"/>
          </w:r>
          <w:r>
            <w:rPr>
              <w:sz w:val="24"/>
              <w:szCs w:val="24"/>
            </w:rPr>
            <w:t>5</w:t>
          </w:r>
        </w:p>
        <w:p w:rsidR="007E27CB" w:rsidRDefault="008F141F">
          <w:pPr>
            <w:pStyle w:val="1a"/>
            <w:tabs>
              <w:tab w:val="left" w:pos="4962"/>
            </w:tabs>
            <w:spacing w:after="0" w:line="240" w:lineRule="auto"/>
            <w:rPr>
              <w:b/>
              <w:bCs/>
              <w:sz w:val="24"/>
              <w:szCs w:val="24"/>
            </w:rPr>
          </w:pPr>
          <w:r>
            <w:rPr>
              <w:b/>
              <w:bCs/>
              <w:sz w:val="24"/>
              <w:szCs w:val="24"/>
            </w:rPr>
            <w:t xml:space="preserve">РАЗДЕЛ </w:t>
          </w:r>
          <w:r>
            <w:rPr>
              <w:b/>
              <w:bCs/>
              <w:sz w:val="24"/>
              <w:szCs w:val="24"/>
              <w:lang w:val="en-US"/>
            </w:rPr>
            <w:t>I</w:t>
          </w:r>
          <w:r>
            <w:rPr>
              <w:b/>
              <w:bCs/>
              <w:sz w:val="24"/>
              <w:szCs w:val="24"/>
            </w:rPr>
            <w:br/>
            <w:t>РЕАЛИЗАЦИЯ МОДЕЛИ ИНТЕНСИВНОГО РАЗВИТИЯ, ВКЛЮЧАЯ РАЗВИТИЕ ВЫСОКОТЕХНОЛОГИЧНЫХ ПРОИЗВОДСТВ НА ОСНОВЕ ПОТЕНЦИАЛА НАУЧНО-ОБРАЗОВАТЕЛЬНОГО КОМПЛЕКСА, СОЗДАНИЕ УСЛОВИЙ ДЛЯ ИНВЕСТИЦИЙ, РАЗВИТИЕ ПРЕДПРИНИМАТЕЛЬСТВА</w:t>
          </w:r>
          <w:r>
            <w:rPr>
              <w:sz w:val="24"/>
              <w:szCs w:val="24"/>
            </w:rPr>
            <w:ptab w:relativeTo="margin" w:alignment="right" w:leader="dot"/>
          </w:r>
          <w:r>
            <w:rPr>
              <w:b/>
              <w:bCs/>
              <w:sz w:val="24"/>
              <w:szCs w:val="24"/>
            </w:rPr>
            <w:t>11</w:t>
          </w:r>
        </w:p>
        <w:p w:rsidR="007E27CB" w:rsidRDefault="008F141F">
          <w:pPr>
            <w:pStyle w:val="27"/>
            <w:tabs>
              <w:tab w:val="left" w:pos="4962"/>
            </w:tabs>
            <w:spacing w:after="0" w:line="240" w:lineRule="auto"/>
            <w:rPr>
              <w:sz w:val="24"/>
              <w:szCs w:val="24"/>
            </w:rPr>
          </w:pPr>
          <w:r>
            <w:rPr>
              <w:sz w:val="24"/>
              <w:szCs w:val="24"/>
            </w:rPr>
            <w:t>1.1. Обеспечение развития промышленности и предпринимательства</w:t>
          </w:r>
          <w:r>
            <w:rPr>
              <w:sz w:val="24"/>
              <w:szCs w:val="24"/>
            </w:rPr>
            <w:ptab w:relativeTo="margin" w:alignment="right" w:leader="dot"/>
          </w:r>
          <w:r>
            <w:rPr>
              <w:sz w:val="24"/>
              <w:szCs w:val="24"/>
            </w:rPr>
            <w:t>11</w:t>
          </w:r>
        </w:p>
        <w:p w:rsidR="007E27CB" w:rsidRDefault="008F141F">
          <w:pPr>
            <w:pStyle w:val="27"/>
            <w:tabs>
              <w:tab w:val="left" w:pos="4962"/>
            </w:tabs>
            <w:spacing w:after="0" w:line="240" w:lineRule="auto"/>
            <w:rPr>
              <w:sz w:val="24"/>
              <w:szCs w:val="24"/>
            </w:rPr>
          </w:pPr>
          <w:r>
            <w:rPr>
              <w:sz w:val="24"/>
              <w:szCs w:val="24"/>
            </w:rPr>
            <w:t>1.2. Повышение научно-образовательной и научно-практической отдачи сектора образования, исследований и разработок, обеспечение развития высокотехнологичных кластеров и инновационной инфраструктуры</w:t>
          </w:r>
          <w:r>
            <w:rPr>
              <w:sz w:val="24"/>
              <w:szCs w:val="24"/>
            </w:rPr>
            <w:ptab w:relativeTo="margin" w:alignment="right" w:leader="dot"/>
          </w:r>
          <w:r>
            <w:rPr>
              <w:sz w:val="24"/>
              <w:szCs w:val="24"/>
            </w:rPr>
            <w:t>26</w:t>
          </w:r>
        </w:p>
        <w:p w:rsidR="007E27CB" w:rsidRDefault="008F141F">
          <w:pPr>
            <w:pStyle w:val="27"/>
            <w:tabs>
              <w:tab w:val="left" w:pos="4962"/>
            </w:tabs>
            <w:spacing w:after="0" w:line="240" w:lineRule="auto"/>
            <w:rPr>
              <w:sz w:val="24"/>
              <w:szCs w:val="24"/>
            </w:rPr>
          </w:pPr>
          <w:r>
            <w:rPr>
              <w:sz w:val="24"/>
              <w:szCs w:val="24"/>
            </w:rPr>
            <w:t>1.3. Обеспечение улучшения инвестиционного климата и повышения качества государственного регулирования, содействие укреплению международных и межрегиональных связей</w:t>
          </w:r>
          <w:r>
            <w:rPr>
              <w:sz w:val="24"/>
              <w:szCs w:val="24"/>
            </w:rPr>
            <w:ptab w:relativeTo="margin" w:alignment="right" w:leader="dot"/>
          </w:r>
          <w:r>
            <w:rPr>
              <w:sz w:val="24"/>
              <w:szCs w:val="24"/>
            </w:rPr>
            <w:t>34</w:t>
          </w:r>
        </w:p>
        <w:p w:rsidR="007E27CB" w:rsidRDefault="008F141F">
          <w:pPr>
            <w:pStyle w:val="1a"/>
            <w:tabs>
              <w:tab w:val="left" w:pos="4962"/>
            </w:tabs>
            <w:spacing w:after="0" w:line="240" w:lineRule="auto"/>
            <w:rPr>
              <w:b/>
              <w:bCs/>
              <w:sz w:val="24"/>
              <w:szCs w:val="24"/>
            </w:rPr>
          </w:pPr>
          <w:r>
            <w:rPr>
              <w:b/>
              <w:bCs/>
              <w:sz w:val="24"/>
              <w:szCs w:val="24"/>
            </w:rPr>
            <w:t xml:space="preserve">РАЗДЕЛ </w:t>
          </w:r>
          <w:r>
            <w:rPr>
              <w:b/>
              <w:bCs/>
              <w:sz w:val="24"/>
              <w:szCs w:val="24"/>
              <w:lang w:val="en-US"/>
            </w:rPr>
            <w:t>II</w:t>
          </w:r>
          <w:r>
            <w:rPr>
              <w:b/>
              <w:bCs/>
              <w:sz w:val="24"/>
              <w:szCs w:val="24"/>
            </w:rPr>
            <w:br/>
            <w:t>РАЦИОНАЛЬНОЕ ИСПОЛЬЗОВАНИЕ ПРИРОДНОГО КАПИТАЛА, УСТОЙЧИВОЕ РАЗВИТИЕ АГРОПРОМЫШЛЕННОГО КОМПЛЕКСА</w:t>
          </w:r>
          <w:r>
            <w:rPr>
              <w:sz w:val="24"/>
              <w:szCs w:val="24"/>
            </w:rPr>
            <w:ptab w:relativeTo="margin" w:alignment="right" w:leader="dot"/>
          </w:r>
          <w:r>
            <w:rPr>
              <w:b/>
              <w:bCs/>
              <w:sz w:val="24"/>
              <w:szCs w:val="24"/>
            </w:rPr>
            <w:t>48</w:t>
          </w:r>
        </w:p>
        <w:p w:rsidR="007E27CB" w:rsidRDefault="008F141F">
          <w:pPr>
            <w:pStyle w:val="27"/>
            <w:tabs>
              <w:tab w:val="left" w:pos="4962"/>
            </w:tabs>
            <w:spacing w:after="0" w:line="240" w:lineRule="auto"/>
            <w:rPr>
              <w:sz w:val="24"/>
              <w:szCs w:val="24"/>
            </w:rPr>
          </w:pPr>
          <w:r>
            <w:rPr>
              <w:sz w:val="24"/>
              <w:szCs w:val="24"/>
            </w:rPr>
            <w:t>2.1. Обеспечение рационального использования природных ресурсов, в том числе возобновляемых ресурсов, и повышение качества окружающей среды</w:t>
          </w:r>
          <w:r>
            <w:rPr>
              <w:sz w:val="24"/>
              <w:szCs w:val="24"/>
            </w:rPr>
            <w:ptab w:relativeTo="margin" w:alignment="right" w:leader="dot"/>
          </w:r>
          <w:r>
            <w:rPr>
              <w:sz w:val="24"/>
              <w:szCs w:val="24"/>
            </w:rPr>
            <w:t>48</w:t>
          </w:r>
        </w:p>
        <w:p w:rsidR="007E27CB" w:rsidRDefault="008F141F">
          <w:pPr>
            <w:pStyle w:val="27"/>
            <w:tabs>
              <w:tab w:val="left" w:pos="4962"/>
            </w:tabs>
            <w:spacing w:after="0" w:line="240" w:lineRule="auto"/>
            <w:rPr>
              <w:sz w:val="24"/>
              <w:szCs w:val="24"/>
            </w:rPr>
          </w:pPr>
          <w:r>
            <w:rPr>
              <w:sz w:val="24"/>
              <w:szCs w:val="24"/>
            </w:rPr>
            <w:t>2.2. Повышение конкурентоспособности агропромышленного сектора и обеспечение устойчивого развития сельских территорий</w:t>
          </w:r>
          <w:r>
            <w:rPr>
              <w:sz w:val="24"/>
              <w:szCs w:val="24"/>
            </w:rPr>
            <w:ptab w:relativeTo="margin" w:alignment="right" w:leader="dot"/>
          </w:r>
          <w:r>
            <w:rPr>
              <w:sz w:val="24"/>
              <w:szCs w:val="24"/>
            </w:rPr>
            <w:t>56</w:t>
          </w:r>
        </w:p>
        <w:p w:rsidR="007E27CB" w:rsidRDefault="008F141F">
          <w:pPr>
            <w:pStyle w:val="1a"/>
            <w:tabs>
              <w:tab w:val="left" w:pos="4962"/>
            </w:tabs>
            <w:spacing w:after="0" w:line="240" w:lineRule="auto"/>
            <w:rPr>
              <w:b/>
              <w:bCs/>
              <w:sz w:val="24"/>
              <w:szCs w:val="24"/>
            </w:rPr>
          </w:pPr>
          <w:r>
            <w:rPr>
              <w:b/>
              <w:bCs/>
              <w:sz w:val="24"/>
              <w:szCs w:val="24"/>
            </w:rPr>
            <w:t>РАЗДЕЛ II</w:t>
          </w:r>
          <w:r>
            <w:rPr>
              <w:b/>
              <w:bCs/>
              <w:sz w:val="24"/>
              <w:szCs w:val="24"/>
              <w:lang w:val="en-US"/>
            </w:rPr>
            <w:t>I</w:t>
          </w:r>
          <w:r>
            <w:rPr>
              <w:b/>
              <w:bCs/>
              <w:sz w:val="24"/>
              <w:szCs w:val="24"/>
            </w:rPr>
            <w:br/>
            <w:t>ПОВЫШЕНИЕ УРОВНЯ И КАЧЕСТВА ЖИЗНИ НАСЕЛЕНИЯ НА ВСЕЙ ТЕРРИТОРИИ ТОМСКОЙ ОБЛАСТИ, НАКОПЛЕНИЕ ЧЕЛОВЕЧЕСКОГО КАПИТАЛА</w:t>
          </w:r>
          <w:r>
            <w:rPr>
              <w:sz w:val="24"/>
              <w:szCs w:val="24"/>
            </w:rPr>
            <w:ptab w:relativeTo="margin" w:alignment="right" w:leader="dot"/>
          </w:r>
          <w:r>
            <w:rPr>
              <w:b/>
              <w:sz w:val="24"/>
              <w:szCs w:val="24"/>
            </w:rPr>
            <w:t>61</w:t>
          </w:r>
        </w:p>
        <w:p w:rsidR="007E27CB" w:rsidRDefault="008F141F">
          <w:pPr>
            <w:pStyle w:val="27"/>
            <w:tabs>
              <w:tab w:val="left" w:pos="4962"/>
            </w:tabs>
            <w:spacing w:after="0" w:line="240" w:lineRule="auto"/>
            <w:rPr>
              <w:sz w:val="24"/>
              <w:szCs w:val="24"/>
            </w:rPr>
          </w:pPr>
          <w:r>
            <w:rPr>
              <w:sz w:val="24"/>
              <w:szCs w:val="24"/>
            </w:rPr>
            <w:t>3.1. Повышение доступности медицинской помощи и эффективности предоставления медицинских услуг</w:t>
          </w:r>
          <w:r>
            <w:rPr>
              <w:sz w:val="24"/>
              <w:szCs w:val="24"/>
            </w:rPr>
            <w:ptab w:relativeTo="margin" w:alignment="right" w:leader="dot"/>
          </w:r>
          <w:r>
            <w:rPr>
              <w:sz w:val="24"/>
              <w:szCs w:val="24"/>
            </w:rPr>
            <w:t>61</w:t>
          </w:r>
        </w:p>
        <w:p w:rsidR="007E27CB" w:rsidRDefault="008F141F">
          <w:pPr>
            <w:pStyle w:val="27"/>
            <w:tabs>
              <w:tab w:val="left" w:pos="4962"/>
            </w:tabs>
            <w:spacing w:after="0" w:line="240" w:lineRule="auto"/>
            <w:rPr>
              <w:sz w:val="24"/>
              <w:szCs w:val="24"/>
            </w:rPr>
          </w:pPr>
          <w:r>
            <w:rPr>
              <w:sz w:val="24"/>
              <w:szCs w:val="24"/>
            </w:rPr>
            <w:t>3.2. Содействие повышению качества образования</w:t>
          </w:r>
          <w:r>
            <w:rPr>
              <w:sz w:val="24"/>
              <w:szCs w:val="24"/>
            </w:rPr>
            <w:ptab w:relativeTo="margin" w:alignment="right" w:leader="dot"/>
          </w:r>
          <w:r>
            <w:rPr>
              <w:sz w:val="24"/>
              <w:szCs w:val="24"/>
            </w:rPr>
            <w:t>64</w:t>
          </w:r>
        </w:p>
        <w:p w:rsidR="007E27CB" w:rsidRDefault="008F141F">
          <w:pPr>
            <w:pStyle w:val="27"/>
            <w:tabs>
              <w:tab w:val="left" w:pos="4962"/>
            </w:tabs>
            <w:spacing w:after="0" w:line="240" w:lineRule="auto"/>
            <w:rPr>
              <w:sz w:val="24"/>
              <w:szCs w:val="24"/>
            </w:rPr>
          </w:pPr>
          <w:r>
            <w:rPr>
              <w:sz w:val="24"/>
              <w:szCs w:val="24"/>
            </w:rPr>
            <w:t>3.3. Содействие улучшению жилищных условий и повышению доступности жилья</w:t>
          </w:r>
          <w:r>
            <w:rPr>
              <w:sz w:val="24"/>
              <w:szCs w:val="24"/>
            </w:rPr>
            <w:ptab w:relativeTo="margin" w:alignment="right" w:leader="dot"/>
          </w:r>
          <w:r>
            <w:rPr>
              <w:sz w:val="24"/>
              <w:szCs w:val="24"/>
            </w:rPr>
            <w:t>72</w:t>
          </w:r>
        </w:p>
        <w:p w:rsidR="007E27CB" w:rsidRDefault="008F141F">
          <w:pPr>
            <w:pStyle w:val="27"/>
            <w:tabs>
              <w:tab w:val="left" w:pos="4962"/>
            </w:tabs>
            <w:spacing w:after="0" w:line="240" w:lineRule="auto"/>
            <w:rPr>
              <w:sz w:val="24"/>
              <w:szCs w:val="24"/>
            </w:rPr>
          </w:pPr>
          <w:r>
            <w:rPr>
              <w:sz w:val="24"/>
              <w:szCs w:val="24"/>
            </w:rPr>
            <w:t>3.4. Обеспечение повышения безопасности жизнедеятельности населения</w:t>
          </w:r>
          <w:r>
            <w:rPr>
              <w:sz w:val="24"/>
              <w:szCs w:val="24"/>
            </w:rPr>
            <w:ptab w:relativeTo="margin" w:alignment="right" w:leader="dot"/>
          </w:r>
          <w:r>
            <w:rPr>
              <w:sz w:val="24"/>
              <w:szCs w:val="24"/>
            </w:rPr>
            <w:t>74</w:t>
          </w:r>
        </w:p>
        <w:p w:rsidR="007E27CB" w:rsidRDefault="008F141F">
          <w:pPr>
            <w:pStyle w:val="27"/>
            <w:tabs>
              <w:tab w:val="left" w:pos="4962"/>
            </w:tabs>
            <w:spacing w:after="0" w:line="240" w:lineRule="auto"/>
            <w:rPr>
              <w:sz w:val="24"/>
              <w:szCs w:val="24"/>
            </w:rPr>
          </w:pPr>
          <w:r>
            <w:rPr>
              <w:sz w:val="24"/>
              <w:szCs w:val="24"/>
            </w:rPr>
            <w:t>3.5. Обеспечение развития физической культуры и спорта, проведения эффективной молодежной политики</w:t>
          </w:r>
          <w:r>
            <w:rPr>
              <w:sz w:val="24"/>
              <w:szCs w:val="24"/>
            </w:rPr>
            <w:ptab w:relativeTo="margin" w:alignment="right" w:leader="dot"/>
          </w:r>
          <w:r>
            <w:rPr>
              <w:sz w:val="24"/>
              <w:szCs w:val="24"/>
            </w:rPr>
            <w:t>77</w:t>
          </w:r>
        </w:p>
        <w:p w:rsidR="007E27CB" w:rsidRDefault="008F141F">
          <w:pPr>
            <w:pStyle w:val="27"/>
            <w:tabs>
              <w:tab w:val="left" w:pos="4962"/>
            </w:tabs>
            <w:spacing w:after="0" w:line="240" w:lineRule="auto"/>
            <w:rPr>
              <w:sz w:val="24"/>
              <w:szCs w:val="24"/>
            </w:rPr>
          </w:pPr>
          <w:r>
            <w:rPr>
              <w:sz w:val="24"/>
              <w:szCs w:val="24"/>
            </w:rPr>
            <w:t>3.6. Содействие развитию эффективного рынка труда</w:t>
          </w:r>
          <w:r>
            <w:rPr>
              <w:sz w:val="24"/>
              <w:szCs w:val="24"/>
            </w:rPr>
            <w:ptab w:relativeTo="margin" w:alignment="right" w:leader="dot"/>
          </w:r>
          <w:r>
            <w:rPr>
              <w:sz w:val="24"/>
              <w:szCs w:val="24"/>
            </w:rPr>
            <w:t>80</w:t>
          </w:r>
        </w:p>
        <w:p w:rsidR="007E27CB" w:rsidRDefault="008F141F">
          <w:pPr>
            <w:pStyle w:val="27"/>
            <w:tabs>
              <w:tab w:val="left" w:pos="4962"/>
            </w:tabs>
            <w:spacing w:after="0" w:line="240" w:lineRule="auto"/>
            <w:rPr>
              <w:sz w:val="24"/>
              <w:szCs w:val="24"/>
            </w:rPr>
          </w:pPr>
          <w:r>
            <w:rPr>
              <w:sz w:val="24"/>
              <w:szCs w:val="24"/>
            </w:rPr>
            <w:t>3.7. Повышение качества и доступности услуг в сфере культуры и туризма</w:t>
          </w:r>
          <w:r>
            <w:rPr>
              <w:sz w:val="24"/>
              <w:szCs w:val="24"/>
            </w:rPr>
            <w:ptab w:relativeTo="margin" w:alignment="right" w:leader="dot"/>
          </w:r>
          <w:r>
            <w:rPr>
              <w:sz w:val="24"/>
              <w:szCs w:val="24"/>
            </w:rPr>
            <w:t>83</w:t>
          </w:r>
        </w:p>
        <w:p w:rsidR="007E27CB" w:rsidRDefault="008F141F">
          <w:pPr>
            <w:pStyle w:val="27"/>
            <w:tabs>
              <w:tab w:val="left" w:pos="4962"/>
            </w:tabs>
            <w:spacing w:after="0" w:line="240" w:lineRule="auto"/>
            <w:rPr>
              <w:sz w:val="24"/>
              <w:szCs w:val="24"/>
            </w:rPr>
          </w:pPr>
          <w:r>
            <w:rPr>
              <w:sz w:val="24"/>
              <w:szCs w:val="24"/>
            </w:rPr>
            <w:t>3.8. Повышение качества и доступности социальной поддержки и социального обслуживания населения, в том числе детей</w:t>
          </w:r>
          <w:r>
            <w:rPr>
              <w:sz w:val="24"/>
              <w:szCs w:val="24"/>
            </w:rPr>
            <w:ptab w:relativeTo="margin" w:alignment="right" w:leader="dot"/>
          </w:r>
          <w:r>
            <w:rPr>
              <w:sz w:val="24"/>
              <w:szCs w:val="24"/>
            </w:rPr>
            <w:t>88</w:t>
          </w:r>
        </w:p>
        <w:p w:rsidR="007E27CB" w:rsidRDefault="008F141F">
          <w:pPr>
            <w:pStyle w:val="1a"/>
            <w:tabs>
              <w:tab w:val="left" w:pos="4962"/>
            </w:tabs>
            <w:spacing w:after="0" w:line="240" w:lineRule="auto"/>
            <w:rPr>
              <w:b/>
              <w:bCs/>
              <w:sz w:val="24"/>
              <w:szCs w:val="24"/>
            </w:rPr>
          </w:pPr>
          <w:r>
            <w:rPr>
              <w:b/>
              <w:bCs/>
              <w:sz w:val="24"/>
              <w:szCs w:val="24"/>
            </w:rPr>
            <w:t>РАЗДЕЛ I</w:t>
          </w:r>
          <w:r>
            <w:rPr>
              <w:b/>
              <w:bCs/>
              <w:sz w:val="24"/>
              <w:szCs w:val="24"/>
              <w:lang w:val="en-US"/>
            </w:rPr>
            <w:t>V</w:t>
          </w:r>
          <w:r>
            <w:rPr>
              <w:b/>
              <w:bCs/>
              <w:sz w:val="24"/>
              <w:szCs w:val="24"/>
            </w:rPr>
            <w:t xml:space="preserve"> </w:t>
          </w:r>
          <w:r>
            <w:rPr>
              <w:b/>
              <w:bCs/>
              <w:sz w:val="24"/>
              <w:szCs w:val="24"/>
            </w:rPr>
            <w:br/>
          </w:r>
          <w:r>
            <w:rPr>
              <w:b/>
              <w:sz w:val="24"/>
              <w:szCs w:val="24"/>
            </w:rPr>
            <w:t>СБАЛАНСИРОВАННОЕ ТЕРРИТОРИАЛЬНОЕ РАЗВИТИЕ ЗА СЧЕТ РАЗВИТИЯ ИНФРАСТРУКТУРЫ</w:t>
          </w:r>
          <w:r>
            <w:rPr>
              <w:sz w:val="24"/>
              <w:szCs w:val="24"/>
            </w:rPr>
            <w:ptab w:relativeTo="margin" w:alignment="right" w:leader="dot"/>
          </w:r>
          <w:r>
            <w:rPr>
              <w:b/>
              <w:sz w:val="24"/>
              <w:szCs w:val="24"/>
            </w:rPr>
            <w:t>94</w:t>
          </w:r>
        </w:p>
        <w:p w:rsidR="007E27CB" w:rsidRDefault="008F141F">
          <w:pPr>
            <w:pStyle w:val="27"/>
            <w:tabs>
              <w:tab w:val="left" w:pos="4962"/>
            </w:tabs>
            <w:spacing w:after="0" w:line="240" w:lineRule="auto"/>
            <w:rPr>
              <w:sz w:val="24"/>
              <w:szCs w:val="24"/>
            </w:rPr>
          </w:pPr>
          <w:r>
            <w:rPr>
              <w:sz w:val="24"/>
              <w:szCs w:val="24"/>
            </w:rPr>
            <w:t>4.1. Содействие повышению эффективности транспортной системы</w:t>
          </w:r>
          <w:r>
            <w:rPr>
              <w:sz w:val="24"/>
              <w:szCs w:val="24"/>
            </w:rPr>
            <w:ptab w:relativeTo="margin" w:alignment="right" w:leader="dot"/>
          </w:r>
          <w:r>
            <w:rPr>
              <w:sz w:val="24"/>
              <w:szCs w:val="24"/>
            </w:rPr>
            <w:t>94</w:t>
          </w:r>
        </w:p>
        <w:p w:rsidR="007E27CB" w:rsidRDefault="008F141F">
          <w:pPr>
            <w:pStyle w:val="27"/>
            <w:tabs>
              <w:tab w:val="left" w:pos="4962"/>
            </w:tabs>
            <w:spacing w:after="0" w:line="240" w:lineRule="auto"/>
            <w:rPr>
              <w:sz w:val="24"/>
              <w:szCs w:val="24"/>
            </w:rPr>
          </w:pPr>
          <w:r>
            <w:rPr>
              <w:sz w:val="24"/>
              <w:szCs w:val="24"/>
            </w:rPr>
            <w:t>4.2. Обеспечение модернизации и развития коммунальной и информационно-коммуникационной инфраструктуры</w:t>
          </w:r>
          <w:r>
            <w:rPr>
              <w:sz w:val="24"/>
              <w:szCs w:val="24"/>
            </w:rPr>
            <w:ptab w:relativeTo="margin" w:alignment="right" w:leader="dot"/>
          </w:r>
          <w:r>
            <w:rPr>
              <w:sz w:val="24"/>
              <w:szCs w:val="24"/>
            </w:rPr>
            <w:t>98</w:t>
          </w:r>
        </w:p>
        <w:p w:rsidR="007E27CB" w:rsidRDefault="008F141F">
          <w:pPr>
            <w:pStyle w:val="27"/>
            <w:tabs>
              <w:tab w:val="left" w:pos="4962"/>
            </w:tabs>
            <w:spacing w:after="0" w:line="240" w:lineRule="auto"/>
            <w:rPr>
              <w:sz w:val="24"/>
              <w:szCs w:val="24"/>
            </w:rPr>
          </w:pPr>
          <w:r>
            <w:rPr>
              <w:sz w:val="24"/>
              <w:szCs w:val="24"/>
            </w:rPr>
            <w:t>4.3. Повышение энергоэффективности и обеспечение развития энергетической инфраструктуры</w:t>
          </w:r>
          <w:r>
            <w:rPr>
              <w:sz w:val="24"/>
              <w:szCs w:val="24"/>
            </w:rPr>
            <w:ptab w:relativeTo="margin" w:alignment="right" w:leader="dot"/>
          </w:r>
          <w:r>
            <w:rPr>
              <w:sz w:val="24"/>
              <w:szCs w:val="24"/>
            </w:rPr>
            <w:t>101</w:t>
          </w:r>
        </w:p>
        <w:p w:rsidR="007E27CB" w:rsidRDefault="008F141F">
          <w:pPr>
            <w:pStyle w:val="1a"/>
            <w:tabs>
              <w:tab w:val="left" w:pos="4962"/>
            </w:tabs>
            <w:spacing w:after="0" w:line="240" w:lineRule="auto"/>
            <w:rPr>
              <w:b/>
              <w:bCs/>
              <w:sz w:val="24"/>
              <w:szCs w:val="24"/>
            </w:rPr>
          </w:pPr>
          <w:r>
            <w:rPr>
              <w:b/>
              <w:bCs/>
              <w:sz w:val="24"/>
              <w:szCs w:val="24"/>
            </w:rPr>
            <w:t xml:space="preserve">РАЗДЕЛ </w:t>
          </w:r>
          <w:r>
            <w:rPr>
              <w:b/>
              <w:bCs/>
              <w:sz w:val="24"/>
              <w:szCs w:val="24"/>
              <w:lang w:val="en-US"/>
            </w:rPr>
            <w:t>V</w:t>
          </w:r>
          <w:r>
            <w:rPr>
              <w:b/>
              <w:bCs/>
              <w:sz w:val="24"/>
              <w:szCs w:val="24"/>
            </w:rPr>
            <w:t xml:space="preserve"> </w:t>
          </w:r>
          <w:r>
            <w:rPr>
              <w:b/>
              <w:bCs/>
              <w:sz w:val="24"/>
              <w:szCs w:val="24"/>
            </w:rPr>
            <w:br/>
          </w:r>
          <w:r>
            <w:rPr>
              <w:b/>
              <w:sz w:val="24"/>
              <w:szCs w:val="24"/>
            </w:rPr>
            <w:t>ЭФФЕКТИВНОЕ УПРАВЛЕНИЕ РЕГИОНОМ</w:t>
          </w:r>
          <w:r>
            <w:rPr>
              <w:sz w:val="24"/>
              <w:szCs w:val="24"/>
            </w:rPr>
            <w:ptab w:relativeTo="margin" w:alignment="right" w:leader="dot"/>
          </w:r>
          <w:r>
            <w:rPr>
              <w:b/>
              <w:sz w:val="24"/>
              <w:szCs w:val="24"/>
            </w:rPr>
            <w:t>105</w:t>
          </w:r>
        </w:p>
        <w:p w:rsidR="007E27CB" w:rsidRDefault="008F141F">
          <w:pPr>
            <w:pStyle w:val="27"/>
            <w:tabs>
              <w:tab w:val="left" w:pos="4962"/>
            </w:tabs>
            <w:spacing w:after="0" w:line="240" w:lineRule="auto"/>
            <w:rPr>
              <w:sz w:val="24"/>
              <w:szCs w:val="24"/>
            </w:rPr>
          </w:pPr>
          <w:r>
            <w:rPr>
              <w:sz w:val="24"/>
              <w:szCs w:val="24"/>
            </w:rPr>
            <w:t>5.1. Обеспечение развития информационного общества</w:t>
          </w:r>
          <w:r>
            <w:rPr>
              <w:sz w:val="24"/>
              <w:szCs w:val="24"/>
            </w:rPr>
            <w:ptab w:relativeTo="margin" w:alignment="right" w:leader="dot"/>
          </w:r>
          <w:r>
            <w:rPr>
              <w:sz w:val="24"/>
              <w:szCs w:val="24"/>
            </w:rPr>
            <w:t>105</w:t>
          </w:r>
        </w:p>
        <w:p w:rsidR="007E27CB" w:rsidRDefault="008F141F">
          <w:pPr>
            <w:pStyle w:val="27"/>
            <w:tabs>
              <w:tab w:val="left" w:pos="4962"/>
            </w:tabs>
            <w:spacing w:after="0" w:line="240" w:lineRule="auto"/>
            <w:rPr>
              <w:sz w:val="24"/>
              <w:szCs w:val="24"/>
            </w:rPr>
          </w:pPr>
          <w:r>
            <w:rPr>
              <w:sz w:val="24"/>
              <w:szCs w:val="24"/>
            </w:rPr>
            <w:t>5.2. Обеспечение эффективного управления региональными финансами и совершенствования межбюджетных отношений, в том числе повышение эффективности управления государственными закупками</w:t>
          </w:r>
          <w:r>
            <w:rPr>
              <w:sz w:val="24"/>
              <w:szCs w:val="24"/>
            </w:rPr>
            <w:ptab w:relativeTo="margin" w:alignment="right" w:leader="dot"/>
          </w:r>
          <w:r>
            <w:rPr>
              <w:sz w:val="24"/>
              <w:szCs w:val="24"/>
            </w:rPr>
            <w:t>111</w:t>
          </w:r>
        </w:p>
        <w:p w:rsidR="007E27CB" w:rsidRDefault="008F141F">
          <w:pPr>
            <w:pStyle w:val="27"/>
            <w:tabs>
              <w:tab w:val="left" w:pos="4962"/>
            </w:tabs>
            <w:spacing w:after="0" w:line="240" w:lineRule="auto"/>
            <w:rPr>
              <w:sz w:val="24"/>
              <w:szCs w:val="24"/>
            </w:rPr>
          </w:pPr>
          <w:r>
            <w:rPr>
              <w:sz w:val="24"/>
              <w:szCs w:val="24"/>
            </w:rPr>
            <w:lastRenderedPageBreak/>
            <w:t>5.3. Повышение эффективности управления государственным имуществом</w:t>
          </w:r>
          <w:r>
            <w:rPr>
              <w:sz w:val="24"/>
              <w:szCs w:val="24"/>
            </w:rPr>
            <w:ptab w:relativeTo="margin" w:alignment="right" w:leader="dot"/>
          </w:r>
          <w:r>
            <w:rPr>
              <w:sz w:val="24"/>
              <w:szCs w:val="24"/>
            </w:rPr>
            <w:t>115</w:t>
          </w:r>
        </w:p>
        <w:p w:rsidR="007E27CB" w:rsidRDefault="008F141F">
          <w:pPr>
            <w:pStyle w:val="27"/>
            <w:tabs>
              <w:tab w:val="left" w:pos="4962"/>
            </w:tabs>
            <w:spacing w:after="0" w:line="240" w:lineRule="auto"/>
            <w:rPr>
              <w:sz w:val="24"/>
              <w:szCs w:val="24"/>
            </w:rPr>
          </w:pPr>
          <w:r>
            <w:rPr>
              <w:sz w:val="24"/>
              <w:szCs w:val="24"/>
            </w:rPr>
            <w:t>5.4. Обеспечение повышения эффективности регионального и муниципального управления</w:t>
          </w:r>
          <w:r>
            <w:rPr>
              <w:sz w:val="24"/>
              <w:szCs w:val="24"/>
            </w:rPr>
            <w:ptab w:relativeTo="margin" w:alignment="right" w:leader="dot"/>
          </w:r>
          <w:r>
            <w:rPr>
              <w:sz w:val="24"/>
              <w:szCs w:val="24"/>
            </w:rPr>
            <w:t>118</w:t>
          </w:r>
        </w:p>
        <w:p w:rsidR="007E27CB" w:rsidRDefault="007E27CB">
          <w:pPr>
            <w:pStyle w:val="1a"/>
            <w:tabs>
              <w:tab w:val="left" w:pos="4962"/>
            </w:tabs>
            <w:spacing w:after="0" w:line="240" w:lineRule="auto"/>
            <w:rPr>
              <w:b/>
              <w:bCs/>
              <w:sz w:val="24"/>
              <w:szCs w:val="24"/>
            </w:rPr>
          </w:pPr>
        </w:p>
        <w:p w:rsidR="007E27CB" w:rsidRDefault="008F141F">
          <w:pPr>
            <w:pStyle w:val="1a"/>
            <w:tabs>
              <w:tab w:val="left" w:pos="4962"/>
            </w:tabs>
            <w:spacing w:after="0" w:line="240" w:lineRule="auto"/>
            <w:rPr>
              <w:sz w:val="24"/>
              <w:szCs w:val="24"/>
            </w:rPr>
          </w:pPr>
          <w:r>
            <w:rPr>
              <w:b/>
              <w:bCs/>
              <w:sz w:val="24"/>
              <w:szCs w:val="24"/>
            </w:rPr>
            <w:t>ПРИЛОЖЕНИЯ</w:t>
          </w:r>
          <w:r>
            <w:rPr>
              <w:sz w:val="24"/>
              <w:szCs w:val="24"/>
            </w:rPr>
            <w:ptab w:relativeTo="margin" w:alignment="right" w:leader="dot"/>
          </w:r>
          <w:r>
            <w:rPr>
              <w:b/>
              <w:bCs/>
              <w:sz w:val="24"/>
              <w:szCs w:val="24"/>
            </w:rPr>
            <w:t>135</w:t>
          </w:r>
        </w:p>
        <w:p w:rsidR="007E27CB" w:rsidRDefault="008F141F">
          <w:pPr>
            <w:pStyle w:val="27"/>
            <w:tabs>
              <w:tab w:val="left" w:pos="4962"/>
            </w:tabs>
            <w:spacing w:after="0" w:line="240" w:lineRule="auto"/>
            <w:rPr>
              <w:sz w:val="24"/>
              <w:szCs w:val="24"/>
            </w:rPr>
          </w:pPr>
          <w:r>
            <w:rPr>
              <w:sz w:val="24"/>
              <w:szCs w:val="24"/>
            </w:rPr>
            <w:t>Приложение № 1. Показатели социально-экономического развития Томской области в 2017 – 2019 годах (в сравнении с показателями регионов Сибирского федерального округа и России)</w:t>
          </w:r>
          <w:r>
            <w:rPr>
              <w:sz w:val="24"/>
              <w:szCs w:val="24"/>
            </w:rPr>
            <w:ptab w:relativeTo="margin" w:alignment="right" w:leader="dot"/>
          </w:r>
          <w:r>
            <w:rPr>
              <w:sz w:val="24"/>
              <w:szCs w:val="24"/>
            </w:rPr>
            <w:t>135</w:t>
          </w:r>
        </w:p>
        <w:p w:rsidR="007E27CB" w:rsidRDefault="008F141F">
          <w:pPr>
            <w:pStyle w:val="27"/>
            <w:tabs>
              <w:tab w:val="left" w:pos="4962"/>
            </w:tabs>
            <w:spacing w:after="0" w:line="240" w:lineRule="auto"/>
            <w:rPr>
              <w:sz w:val="24"/>
              <w:szCs w:val="24"/>
            </w:rPr>
          </w:pPr>
          <w:r>
            <w:rPr>
              <w:sz w:val="24"/>
              <w:szCs w:val="24"/>
            </w:rPr>
            <w:t>Приложение № 2. Мониторинг исполнения основных показателей Стратегии социально-экономического развития Томской области до 2030 года в 2019 г.</w:t>
          </w:r>
          <w:r>
            <w:rPr>
              <w:sz w:val="24"/>
              <w:szCs w:val="24"/>
            </w:rPr>
            <w:ptab w:relativeTo="margin" w:alignment="right" w:leader="dot"/>
          </w:r>
          <w:r>
            <w:rPr>
              <w:sz w:val="24"/>
              <w:szCs w:val="24"/>
            </w:rPr>
            <w:t>137</w:t>
          </w:r>
        </w:p>
        <w:p w:rsidR="007E27CB" w:rsidRDefault="008F141F">
          <w:pPr>
            <w:pStyle w:val="27"/>
            <w:tabs>
              <w:tab w:val="left" w:pos="4962"/>
            </w:tabs>
            <w:spacing w:after="0" w:line="240" w:lineRule="auto"/>
            <w:rPr>
              <w:sz w:val="24"/>
              <w:szCs w:val="24"/>
            </w:rPr>
          </w:pPr>
          <w:r>
            <w:rPr>
              <w:sz w:val="24"/>
              <w:szCs w:val="24"/>
            </w:rPr>
            <w:t xml:space="preserve">Приложение № 3. Мониторинг реализации прогноза социально-экономического развития Томской области на долгосрочный и среднесрочный периоды </w:t>
          </w:r>
          <w:r>
            <w:rPr>
              <w:sz w:val="24"/>
              <w:szCs w:val="24"/>
            </w:rPr>
            <w:ptab w:relativeTo="margin" w:alignment="right" w:leader="dot"/>
          </w:r>
          <w:r>
            <w:rPr>
              <w:sz w:val="24"/>
              <w:szCs w:val="24"/>
            </w:rPr>
            <w:t>152</w:t>
          </w:r>
        </w:p>
        <w:p w:rsidR="007E27CB" w:rsidRDefault="008F141F">
          <w:pPr>
            <w:pStyle w:val="27"/>
            <w:tabs>
              <w:tab w:val="left" w:pos="4962"/>
            </w:tabs>
            <w:spacing w:after="0" w:line="240" w:lineRule="auto"/>
            <w:rPr>
              <w:sz w:val="24"/>
              <w:szCs w:val="24"/>
            </w:rPr>
          </w:pPr>
          <w:r>
            <w:rPr>
              <w:sz w:val="24"/>
              <w:szCs w:val="24"/>
            </w:rPr>
            <w:t xml:space="preserve">Приложение № 4. Мониторинг реализации схемы территориального планирования Томской области </w:t>
          </w:r>
          <w:r>
            <w:rPr>
              <w:sz w:val="24"/>
              <w:szCs w:val="24"/>
            </w:rPr>
            <w:ptab w:relativeTo="margin" w:alignment="right" w:leader="dot"/>
          </w:r>
          <w:r>
            <w:rPr>
              <w:sz w:val="24"/>
              <w:szCs w:val="24"/>
            </w:rPr>
            <w:t>155</w:t>
          </w:r>
        </w:p>
        <w:p w:rsidR="007E27CB" w:rsidRDefault="008F141F">
          <w:pPr>
            <w:pStyle w:val="27"/>
            <w:tabs>
              <w:tab w:val="left" w:pos="4962"/>
            </w:tabs>
            <w:spacing w:after="0" w:line="240" w:lineRule="auto"/>
            <w:rPr>
              <w:sz w:val="24"/>
              <w:szCs w:val="24"/>
            </w:rPr>
          </w:pPr>
          <w:r>
            <w:rPr>
              <w:sz w:val="24"/>
              <w:szCs w:val="24"/>
            </w:rPr>
            <w:t xml:space="preserve">Приложение № 5. Информация о ходе реализации региональных проектов Томской области, направленных на достижение национальных целей и стратегических задач развития Российской Федерации на период до 2024 года </w:t>
          </w:r>
          <w:r>
            <w:rPr>
              <w:sz w:val="24"/>
              <w:szCs w:val="24"/>
            </w:rPr>
            <w:ptab w:relativeTo="margin" w:alignment="right" w:leader="dot"/>
          </w:r>
          <w:r>
            <w:rPr>
              <w:sz w:val="24"/>
              <w:szCs w:val="24"/>
            </w:rPr>
            <w:t>156</w:t>
          </w:r>
        </w:p>
        <w:p w:rsidR="007E27CB" w:rsidRDefault="008F141F">
          <w:pPr>
            <w:pStyle w:val="27"/>
            <w:tabs>
              <w:tab w:val="left" w:pos="4962"/>
            </w:tabs>
            <w:spacing w:after="0" w:line="240" w:lineRule="auto"/>
            <w:rPr>
              <w:sz w:val="24"/>
              <w:szCs w:val="24"/>
            </w:rPr>
          </w:pPr>
          <w:r>
            <w:rPr>
              <w:sz w:val="24"/>
              <w:szCs w:val="24"/>
            </w:rPr>
            <w:t>Приложение № 6. Информация об исполнении консолидированных бюджетов муниципальных образований Томской области на 01.01.2020</w:t>
          </w:r>
          <w:r>
            <w:rPr>
              <w:sz w:val="24"/>
              <w:szCs w:val="24"/>
            </w:rPr>
            <w:ptab w:relativeTo="margin" w:alignment="right" w:leader="dot"/>
          </w:r>
          <w:r>
            <w:rPr>
              <w:sz w:val="24"/>
              <w:szCs w:val="24"/>
            </w:rPr>
            <w:t>180</w:t>
          </w:r>
        </w:p>
        <w:p w:rsidR="007E27CB" w:rsidRDefault="008F141F">
          <w:pPr>
            <w:pStyle w:val="27"/>
            <w:tabs>
              <w:tab w:val="left" w:pos="4962"/>
            </w:tabs>
            <w:spacing w:after="0" w:line="240" w:lineRule="auto"/>
            <w:rPr>
              <w:sz w:val="24"/>
              <w:szCs w:val="24"/>
            </w:rPr>
          </w:pPr>
          <w:r>
            <w:rPr>
              <w:sz w:val="24"/>
              <w:szCs w:val="24"/>
            </w:rPr>
            <w:t xml:space="preserve">Приложение № 7. Мониторинг сохранения достигнутого соотношения </w:t>
          </w:r>
          <w:r>
            <w:rPr>
              <w:sz w:val="24"/>
              <w:szCs w:val="24"/>
            </w:rPr>
            <w:br/>
            <w:t xml:space="preserve">по заработной плате отдельных категорий работников бюджетной сферы, </w:t>
          </w:r>
          <w:r>
            <w:rPr>
              <w:sz w:val="24"/>
              <w:szCs w:val="24"/>
            </w:rPr>
            <w:br/>
            <w:t xml:space="preserve">подпадающих под действие майских указов Президента Российской Федерации, </w:t>
          </w:r>
          <w:r>
            <w:rPr>
              <w:sz w:val="24"/>
              <w:szCs w:val="24"/>
            </w:rPr>
            <w:br/>
            <w:t xml:space="preserve">в государственных и муниципальных учреждениях Томской области </w:t>
          </w:r>
          <w:r>
            <w:rPr>
              <w:sz w:val="24"/>
              <w:szCs w:val="24"/>
            </w:rPr>
            <w:br/>
            <w:t>в 2019 году</w:t>
          </w:r>
          <w:r>
            <w:rPr>
              <w:sz w:val="24"/>
              <w:szCs w:val="24"/>
            </w:rPr>
            <w:ptab w:relativeTo="margin" w:alignment="right" w:leader="dot"/>
          </w:r>
          <w:r>
            <w:rPr>
              <w:sz w:val="24"/>
              <w:szCs w:val="24"/>
            </w:rPr>
            <w:t>182</w:t>
          </w:r>
        </w:p>
        <w:p w:rsidR="007E27CB" w:rsidRDefault="008F141F">
          <w:pPr>
            <w:pStyle w:val="27"/>
            <w:tabs>
              <w:tab w:val="left" w:pos="4962"/>
            </w:tabs>
            <w:spacing w:after="0" w:line="240" w:lineRule="auto"/>
            <w:rPr>
              <w:sz w:val="24"/>
              <w:szCs w:val="24"/>
            </w:rPr>
          </w:pPr>
          <w:r>
            <w:rPr>
              <w:sz w:val="24"/>
              <w:szCs w:val="24"/>
            </w:rPr>
            <w:t>Приложение № 8. Информация о мерах по противодействию терроризму, экстремизму, предупреждению религиозной и национальной нетерпимости, направленных на создание условий для укрепления гражданского единства и сохранения этнокультурного многообразия в Томской области</w:t>
          </w:r>
          <w:r>
            <w:rPr>
              <w:sz w:val="24"/>
              <w:szCs w:val="24"/>
            </w:rPr>
            <w:ptab w:relativeTo="margin" w:alignment="right" w:leader="dot"/>
          </w:r>
          <w:r>
            <w:rPr>
              <w:sz w:val="24"/>
              <w:szCs w:val="24"/>
            </w:rPr>
            <w:t>184</w:t>
          </w:r>
        </w:p>
        <w:p w:rsidR="007E27CB" w:rsidRDefault="008F141F">
          <w:pPr>
            <w:pStyle w:val="27"/>
            <w:tabs>
              <w:tab w:val="left" w:pos="4962"/>
            </w:tabs>
            <w:spacing w:after="0" w:line="240" w:lineRule="auto"/>
            <w:rPr>
              <w:sz w:val="24"/>
              <w:szCs w:val="24"/>
            </w:rPr>
          </w:pPr>
          <w:r>
            <w:rPr>
              <w:sz w:val="24"/>
              <w:szCs w:val="24"/>
            </w:rPr>
            <w:t xml:space="preserve">Приложение № 9. Информация о результатах антикоррупционного мониторинга, проведенного государственными органами в 2019 году </w:t>
          </w:r>
          <w:r>
            <w:rPr>
              <w:sz w:val="24"/>
              <w:szCs w:val="24"/>
            </w:rPr>
            <w:ptab w:relativeTo="margin" w:alignment="right" w:leader="dot"/>
          </w:r>
          <w:r>
            <w:rPr>
              <w:sz w:val="24"/>
              <w:szCs w:val="24"/>
            </w:rPr>
            <w:t>187</w:t>
          </w:r>
        </w:p>
        <w:p w:rsidR="007E27CB" w:rsidRDefault="008F141F">
          <w:pPr>
            <w:pStyle w:val="27"/>
            <w:tabs>
              <w:tab w:val="left" w:pos="4962"/>
            </w:tabs>
            <w:spacing w:after="0" w:line="240" w:lineRule="auto"/>
            <w:rPr>
              <w:sz w:val="24"/>
              <w:szCs w:val="24"/>
            </w:rPr>
          </w:pPr>
          <w:r>
            <w:rPr>
              <w:sz w:val="24"/>
              <w:szCs w:val="24"/>
            </w:rPr>
            <w:t>Приложение № 10. Обязательный публичный отчет С.А. Жвачкина, Губернатора Томской области, о результатах независимой оценки качества условий оказания услуг организациями в сфере культуры, охраны здоровья, образования, социального обслуживания, которые расположены на территории Томской области</w:t>
          </w:r>
          <w:r>
            <w:rPr>
              <w:sz w:val="24"/>
              <w:szCs w:val="24"/>
            </w:rPr>
            <w:ptab w:relativeTo="margin" w:alignment="right" w:leader="dot"/>
          </w:r>
          <w:r>
            <w:rPr>
              <w:sz w:val="24"/>
              <w:szCs w:val="24"/>
            </w:rPr>
            <w:t>199</w:t>
          </w:r>
        </w:p>
      </w:sdtContent>
    </w:sdt>
    <w:p w:rsidR="007E27CB" w:rsidRDefault="008F141F">
      <w:pPr>
        <w:tabs>
          <w:tab w:val="left" w:pos="4962"/>
        </w:tabs>
        <w:spacing w:after="0" w:line="240" w:lineRule="auto"/>
        <w:rPr>
          <w:b/>
          <w:sz w:val="24"/>
          <w:szCs w:val="24"/>
        </w:rPr>
      </w:pPr>
      <w:r>
        <w:rPr>
          <w:b/>
          <w:sz w:val="24"/>
          <w:szCs w:val="24"/>
        </w:rPr>
        <w:br w:type="page"/>
      </w:r>
    </w:p>
    <w:p w:rsidR="007E27CB" w:rsidRDefault="008F141F">
      <w:pPr>
        <w:tabs>
          <w:tab w:val="left" w:pos="4962"/>
        </w:tabs>
        <w:spacing w:after="0" w:line="240" w:lineRule="auto"/>
        <w:jc w:val="both"/>
        <w:rPr>
          <w:b/>
          <w:sz w:val="24"/>
          <w:szCs w:val="24"/>
        </w:rPr>
      </w:pPr>
      <w:r>
        <w:rPr>
          <w:b/>
          <w:sz w:val="24"/>
          <w:szCs w:val="24"/>
        </w:rPr>
        <w:lastRenderedPageBreak/>
        <w:t>Список обозначений</w:t>
      </w:r>
    </w:p>
    <w:p w:rsidR="007E27CB" w:rsidRDefault="007E27CB">
      <w:pPr>
        <w:tabs>
          <w:tab w:val="left" w:pos="4962"/>
        </w:tabs>
        <w:spacing w:after="0" w:line="240" w:lineRule="auto"/>
        <w:jc w:val="both"/>
        <w:rPr>
          <w:sz w:val="24"/>
          <w:szCs w:val="24"/>
        </w:rPr>
      </w:pPr>
    </w:p>
    <w:p w:rsidR="007E27CB" w:rsidRDefault="008F141F">
      <w:pPr>
        <w:tabs>
          <w:tab w:val="left" w:pos="4962"/>
        </w:tabs>
        <w:spacing w:after="0" w:line="240" w:lineRule="auto"/>
        <w:jc w:val="both"/>
        <w:rPr>
          <w:sz w:val="24"/>
          <w:szCs w:val="24"/>
        </w:rPr>
      </w:pPr>
      <w:r>
        <w:rPr>
          <w:b/>
          <w:sz w:val="24"/>
          <w:szCs w:val="24"/>
        </w:rPr>
        <w:t>АПК</w:t>
      </w:r>
      <w:r>
        <w:rPr>
          <w:sz w:val="24"/>
          <w:szCs w:val="24"/>
        </w:rPr>
        <w:t xml:space="preserve"> – агропромышленный комплекс</w:t>
      </w:r>
    </w:p>
    <w:p w:rsidR="007E27CB" w:rsidRDefault="008F141F">
      <w:pPr>
        <w:tabs>
          <w:tab w:val="left" w:pos="4962"/>
        </w:tabs>
        <w:spacing w:after="0" w:line="240" w:lineRule="auto"/>
        <w:jc w:val="both"/>
        <w:rPr>
          <w:sz w:val="24"/>
          <w:szCs w:val="24"/>
        </w:rPr>
      </w:pPr>
      <w:r>
        <w:rPr>
          <w:b/>
          <w:sz w:val="24"/>
          <w:szCs w:val="24"/>
        </w:rPr>
        <w:t>ВВП</w:t>
      </w:r>
      <w:r>
        <w:rPr>
          <w:sz w:val="24"/>
          <w:szCs w:val="24"/>
        </w:rPr>
        <w:t xml:space="preserve"> – валовой внутренний продукт</w:t>
      </w:r>
    </w:p>
    <w:p w:rsidR="007E27CB" w:rsidRDefault="008F141F">
      <w:pPr>
        <w:tabs>
          <w:tab w:val="left" w:pos="4962"/>
        </w:tabs>
        <w:spacing w:after="0" w:line="240" w:lineRule="auto"/>
        <w:jc w:val="both"/>
        <w:rPr>
          <w:sz w:val="24"/>
          <w:szCs w:val="24"/>
        </w:rPr>
      </w:pPr>
      <w:r>
        <w:rPr>
          <w:b/>
          <w:sz w:val="24"/>
          <w:szCs w:val="24"/>
        </w:rPr>
        <w:t>ВНС и</w:t>
      </w:r>
      <w:r>
        <w:rPr>
          <w:sz w:val="24"/>
          <w:szCs w:val="24"/>
        </w:rPr>
        <w:t xml:space="preserve"> </w:t>
      </w:r>
      <w:r>
        <w:rPr>
          <w:b/>
          <w:sz w:val="24"/>
          <w:szCs w:val="24"/>
        </w:rPr>
        <w:t>КНС</w:t>
      </w:r>
      <w:r>
        <w:rPr>
          <w:sz w:val="24"/>
          <w:szCs w:val="24"/>
        </w:rPr>
        <w:t xml:space="preserve"> – водопроводная насосная станция и канализационная насосная станция</w:t>
      </w:r>
    </w:p>
    <w:p w:rsidR="007E27CB" w:rsidRDefault="008F141F">
      <w:pPr>
        <w:tabs>
          <w:tab w:val="left" w:pos="4962"/>
        </w:tabs>
        <w:spacing w:after="0" w:line="240" w:lineRule="auto"/>
        <w:jc w:val="both"/>
        <w:rPr>
          <w:sz w:val="24"/>
          <w:szCs w:val="24"/>
        </w:rPr>
      </w:pPr>
      <w:r>
        <w:rPr>
          <w:b/>
          <w:sz w:val="24"/>
          <w:szCs w:val="24"/>
        </w:rPr>
        <w:t xml:space="preserve">ВПРМ –  </w:t>
      </w:r>
      <w:r>
        <w:rPr>
          <w:sz w:val="24"/>
          <w:szCs w:val="24"/>
        </w:rPr>
        <w:t>высокопроизводительные рабочие места</w:t>
      </w:r>
    </w:p>
    <w:p w:rsidR="007E27CB" w:rsidRDefault="008F141F">
      <w:pPr>
        <w:tabs>
          <w:tab w:val="left" w:pos="4962"/>
        </w:tabs>
        <w:spacing w:after="0" w:line="240" w:lineRule="auto"/>
        <w:jc w:val="both"/>
        <w:rPr>
          <w:sz w:val="24"/>
          <w:szCs w:val="24"/>
        </w:rPr>
      </w:pPr>
      <w:r>
        <w:rPr>
          <w:b/>
          <w:sz w:val="24"/>
          <w:szCs w:val="24"/>
        </w:rPr>
        <w:t>ВРП</w:t>
      </w:r>
      <w:r>
        <w:rPr>
          <w:sz w:val="24"/>
          <w:szCs w:val="24"/>
        </w:rPr>
        <w:t xml:space="preserve"> – внутренний региональный продукт</w:t>
      </w:r>
    </w:p>
    <w:p w:rsidR="007E27CB" w:rsidRDefault="008F141F">
      <w:pPr>
        <w:tabs>
          <w:tab w:val="left" w:pos="4962"/>
        </w:tabs>
        <w:spacing w:after="0" w:line="240" w:lineRule="auto"/>
        <w:jc w:val="both"/>
        <w:rPr>
          <w:sz w:val="24"/>
          <w:szCs w:val="24"/>
        </w:rPr>
      </w:pPr>
      <w:r>
        <w:rPr>
          <w:b/>
          <w:sz w:val="24"/>
          <w:szCs w:val="24"/>
        </w:rPr>
        <w:t>ГП</w:t>
      </w:r>
      <w:r>
        <w:rPr>
          <w:sz w:val="24"/>
          <w:szCs w:val="24"/>
        </w:rPr>
        <w:t xml:space="preserve"> – государственная программа</w:t>
      </w:r>
    </w:p>
    <w:p w:rsidR="007E27CB" w:rsidRDefault="008F141F">
      <w:pPr>
        <w:tabs>
          <w:tab w:val="left" w:pos="4962"/>
        </w:tabs>
        <w:spacing w:after="0" w:line="240" w:lineRule="auto"/>
        <w:jc w:val="both"/>
        <w:rPr>
          <w:sz w:val="24"/>
          <w:szCs w:val="24"/>
        </w:rPr>
      </w:pPr>
      <w:r>
        <w:rPr>
          <w:b/>
          <w:sz w:val="24"/>
          <w:szCs w:val="24"/>
        </w:rPr>
        <w:t>ГЧП</w:t>
      </w:r>
      <w:r>
        <w:rPr>
          <w:sz w:val="24"/>
          <w:szCs w:val="24"/>
        </w:rPr>
        <w:t xml:space="preserve"> – государственно-частное партнерство</w:t>
      </w:r>
    </w:p>
    <w:p w:rsidR="007E27CB" w:rsidRDefault="008F141F">
      <w:pPr>
        <w:tabs>
          <w:tab w:val="left" w:pos="4962"/>
        </w:tabs>
        <w:spacing w:after="0" w:line="240" w:lineRule="auto"/>
        <w:jc w:val="both"/>
        <w:rPr>
          <w:sz w:val="24"/>
          <w:szCs w:val="24"/>
        </w:rPr>
      </w:pPr>
      <w:r>
        <w:rPr>
          <w:b/>
          <w:sz w:val="24"/>
          <w:szCs w:val="24"/>
        </w:rPr>
        <w:t>ЕГРН</w:t>
      </w:r>
      <w:r>
        <w:rPr>
          <w:sz w:val="24"/>
          <w:szCs w:val="24"/>
        </w:rPr>
        <w:t xml:space="preserve"> – единый государственный реестр недвижимости</w:t>
      </w:r>
    </w:p>
    <w:p w:rsidR="007E27CB" w:rsidRDefault="008F141F">
      <w:pPr>
        <w:tabs>
          <w:tab w:val="left" w:pos="4962"/>
        </w:tabs>
        <w:spacing w:after="0" w:line="240" w:lineRule="auto"/>
        <w:jc w:val="both"/>
        <w:rPr>
          <w:sz w:val="24"/>
          <w:szCs w:val="24"/>
        </w:rPr>
      </w:pPr>
      <w:r>
        <w:rPr>
          <w:b/>
          <w:sz w:val="24"/>
          <w:szCs w:val="24"/>
        </w:rPr>
        <w:t>ИКТ</w:t>
      </w:r>
      <w:r>
        <w:rPr>
          <w:sz w:val="24"/>
          <w:szCs w:val="24"/>
        </w:rPr>
        <w:t xml:space="preserve"> – информационно-коммуникационные технологии </w:t>
      </w:r>
    </w:p>
    <w:p w:rsidR="007E27CB" w:rsidRDefault="008F141F">
      <w:pPr>
        <w:tabs>
          <w:tab w:val="left" w:pos="4962"/>
        </w:tabs>
        <w:spacing w:after="0" w:line="240" w:lineRule="auto"/>
        <w:jc w:val="both"/>
        <w:rPr>
          <w:sz w:val="24"/>
          <w:szCs w:val="24"/>
        </w:rPr>
      </w:pPr>
      <w:r>
        <w:rPr>
          <w:b/>
          <w:sz w:val="24"/>
          <w:szCs w:val="24"/>
        </w:rPr>
        <w:t>ИПП</w:t>
      </w:r>
      <w:r>
        <w:rPr>
          <w:sz w:val="24"/>
          <w:szCs w:val="24"/>
        </w:rPr>
        <w:t xml:space="preserve"> – индекс промышленного производства</w:t>
      </w:r>
    </w:p>
    <w:p w:rsidR="007E27CB" w:rsidRDefault="008F141F">
      <w:pPr>
        <w:tabs>
          <w:tab w:val="left" w:pos="4962"/>
        </w:tabs>
        <w:spacing w:after="0" w:line="240" w:lineRule="auto"/>
        <w:jc w:val="both"/>
        <w:rPr>
          <w:sz w:val="24"/>
          <w:szCs w:val="24"/>
        </w:rPr>
      </w:pPr>
      <w:r>
        <w:rPr>
          <w:b/>
          <w:sz w:val="24"/>
          <w:szCs w:val="24"/>
        </w:rPr>
        <w:t>ИПЦ</w:t>
      </w:r>
      <w:r>
        <w:rPr>
          <w:sz w:val="24"/>
          <w:szCs w:val="24"/>
        </w:rPr>
        <w:t xml:space="preserve"> – индекс потребительских цен</w:t>
      </w:r>
    </w:p>
    <w:p w:rsidR="007E27CB" w:rsidRDefault="008F141F">
      <w:pPr>
        <w:tabs>
          <w:tab w:val="left" w:pos="4962"/>
        </w:tabs>
        <w:spacing w:after="0" w:line="240" w:lineRule="auto"/>
        <w:jc w:val="both"/>
        <w:rPr>
          <w:sz w:val="24"/>
          <w:szCs w:val="24"/>
        </w:rPr>
      </w:pPr>
      <w:r>
        <w:rPr>
          <w:b/>
          <w:sz w:val="24"/>
          <w:szCs w:val="24"/>
        </w:rPr>
        <w:t>ИФО</w:t>
      </w:r>
      <w:r>
        <w:rPr>
          <w:sz w:val="24"/>
          <w:szCs w:val="24"/>
        </w:rPr>
        <w:t xml:space="preserve"> – индекс физического объема</w:t>
      </w:r>
    </w:p>
    <w:p w:rsidR="007E27CB" w:rsidRDefault="008F141F">
      <w:pPr>
        <w:tabs>
          <w:tab w:val="left" w:pos="4962"/>
        </w:tabs>
        <w:spacing w:after="0" w:line="240" w:lineRule="auto"/>
        <w:jc w:val="both"/>
        <w:rPr>
          <w:sz w:val="24"/>
          <w:szCs w:val="24"/>
        </w:rPr>
      </w:pPr>
      <w:r>
        <w:rPr>
          <w:b/>
          <w:sz w:val="24"/>
          <w:szCs w:val="24"/>
        </w:rPr>
        <w:t>ИОГВ ТО</w:t>
      </w:r>
      <w:r>
        <w:rPr>
          <w:sz w:val="24"/>
          <w:szCs w:val="24"/>
        </w:rPr>
        <w:t xml:space="preserve"> – исполнительные органы государственной власти Томской области</w:t>
      </w:r>
    </w:p>
    <w:p w:rsidR="007E27CB" w:rsidRDefault="008F141F">
      <w:pPr>
        <w:tabs>
          <w:tab w:val="left" w:pos="4962"/>
        </w:tabs>
        <w:spacing w:after="0" w:line="240" w:lineRule="auto"/>
        <w:jc w:val="both"/>
        <w:rPr>
          <w:sz w:val="24"/>
          <w:szCs w:val="24"/>
        </w:rPr>
      </w:pPr>
      <w:r>
        <w:rPr>
          <w:b/>
          <w:sz w:val="24"/>
          <w:szCs w:val="24"/>
        </w:rPr>
        <w:t>КНД</w:t>
      </w:r>
      <w:r>
        <w:rPr>
          <w:sz w:val="24"/>
          <w:szCs w:val="24"/>
        </w:rPr>
        <w:t xml:space="preserve"> – контрольно-надзорная деятельность</w:t>
      </w:r>
    </w:p>
    <w:p w:rsidR="007E27CB" w:rsidRDefault="008F141F">
      <w:pPr>
        <w:tabs>
          <w:tab w:val="left" w:pos="4962"/>
        </w:tabs>
        <w:spacing w:after="0" w:line="240" w:lineRule="auto"/>
        <w:jc w:val="both"/>
        <w:rPr>
          <w:sz w:val="24"/>
          <w:szCs w:val="24"/>
        </w:rPr>
      </w:pPr>
      <w:r>
        <w:rPr>
          <w:b/>
          <w:sz w:val="24"/>
          <w:szCs w:val="24"/>
        </w:rPr>
        <w:t>КРС</w:t>
      </w:r>
      <w:r>
        <w:rPr>
          <w:sz w:val="24"/>
          <w:szCs w:val="24"/>
        </w:rPr>
        <w:t xml:space="preserve"> – крупный рогатый скот</w:t>
      </w:r>
    </w:p>
    <w:p w:rsidR="007E27CB" w:rsidRDefault="008F141F">
      <w:pPr>
        <w:tabs>
          <w:tab w:val="left" w:pos="4962"/>
        </w:tabs>
        <w:spacing w:after="0" w:line="240" w:lineRule="auto"/>
        <w:jc w:val="both"/>
        <w:rPr>
          <w:sz w:val="24"/>
          <w:szCs w:val="24"/>
        </w:rPr>
      </w:pPr>
      <w:r>
        <w:rPr>
          <w:b/>
          <w:sz w:val="24"/>
          <w:szCs w:val="24"/>
        </w:rPr>
        <w:t>КФХ</w:t>
      </w:r>
      <w:r>
        <w:rPr>
          <w:sz w:val="24"/>
          <w:szCs w:val="24"/>
        </w:rPr>
        <w:t xml:space="preserve"> – крестьянское фермерское хозяйство</w:t>
      </w:r>
    </w:p>
    <w:p w:rsidR="007E27CB" w:rsidRDefault="008F141F">
      <w:pPr>
        <w:tabs>
          <w:tab w:val="left" w:pos="4962"/>
        </w:tabs>
        <w:spacing w:after="0" w:line="240" w:lineRule="auto"/>
        <w:jc w:val="both"/>
        <w:rPr>
          <w:sz w:val="24"/>
          <w:szCs w:val="24"/>
        </w:rPr>
      </w:pPr>
      <w:r>
        <w:rPr>
          <w:b/>
          <w:sz w:val="24"/>
          <w:szCs w:val="24"/>
        </w:rPr>
        <w:t>НОК</w:t>
      </w:r>
      <w:r>
        <w:rPr>
          <w:sz w:val="24"/>
          <w:szCs w:val="24"/>
        </w:rPr>
        <w:t xml:space="preserve"> – независимая оценка качества оказания услуг организациями в сфере культуры, социального обслуживания, охраны здоровья и образования </w:t>
      </w:r>
    </w:p>
    <w:p w:rsidR="007E27CB" w:rsidRDefault="008F141F">
      <w:pPr>
        <w:tabs>
          <w:tab w:val="left" w:pos="4962"/>
        </w:tabs>
        <w:spacing w:after="0" w:line="240" w:lineRule="auto"/>
        <w:jc w:val="both"/>
        <w:rPr>
          <w:sz w:val="24"/>
          <w:szCs w:val="24"/>
        </w:rPr>
      </w:pPr>
      <w:r>
        <w:rPr>
          <w:b/>
          <w:sz w:val="24"/>
          <w:szCs w:val="24"/>
        </w:rPr>
        <w:t>МОТ</w:t>
      </w:r>
      <w:r>
        <w:rPr>
          <w:sz w:val="24"/>
          <w:szCs w:val="24"/>
        </w:rPr>
        <w:t xml:space="preserve"> – Международная организация труда </w:t>
      </w:r>
    </w:p>
    <w:p w:rsidR="007E27CB" w:rsidRDefault="008F141F">
      <w:pPr>
        <w:tabs>
          <w:tab w:val="left" w:pos="4962"/>
        </w:tabs>
        <w:spacing w:after="0" w:line="240" w:lineRule="auto"/>
        <w:jc w:val="both"/>
        <w:rPr>
          <w:b/>
          <w:sz w:val="24"/>
          <w:szCs w:val="24"/>
        </w:rPr>
      </w:pPr>
      <w:r>
        <w:rPr>
          <w:b/>
          <w:sz w:val="24"/>
          <w:szCs w:val="24"/>
        </w:rPr>
        <w:t xml:space="preserve">МРОТ – </w:t>
      </w:r>
      <w:r>
        <w:rPr>
          <w:sz w:val="24"/>
          <w:szCs w:val="24"/>
        </w:rPr>
        <w:t>минимальный размер оплаты труда</w:t>
      </w:r>
    </w:p>
    <w:p w:rsidR="007E27CB" w:rsidRDefault="008F141F">
      <w:pPr>
        <w:tabs>
          <w:tab w:val="left" w:pos="4962"/>
        </w:tabs>
        <w:spacing w:after="0" w:line="240" w:lineRule="auto"/>
        <w:jc w:val="both"/>
        <w:rPr>
          <w:sz w:val="24"/>
          <w:szCs w:val="24"/>
        </w:rPr>
      </w:pPr>
      <w:r>
        <w:rPr>
          <w:b/>
          <w:sz w:val="24"/>
          <w:szCs w:val="24"/>
        </w:rPr>
        <w:t>МСП</w:t>
      </w:r>
      <w:r>
        <w:rPr>
          <w:sz w:val="24"/>
          <w:szCs w:val="24"/>
        </w:rPr>
        <w:t xml:space="preserve"> – малое и среднее предпринимательство</w:t>
      </w:r>
    </w:p>
    <w:p w:rsidR="007E27CB" w:rsidRDefault="008F141F">
      <w:pPr>
        <w:tabs>
          <w:tab w:val="left" w:pos="4962"/>
        </w:tabs>
        <w:spacing w:after="0" w:line="240" w:lineRule="auto"/>
        <w:jc w:val="both"/>
        <w:rPr>
          <w:sz w:val="24"/>
          <w:szCs w:val="24"/>
        </w:rPr>
      </w:pPr>
      <w:r>
        <w:rPr>
          <w:b/>
          <w:sz w:val="24"/>
          <w:szCs w:val="24"/>
        </w:rPr>
        <w:t>МФЦ</w:t>
      </w:r>
      <w:r>
        <w:rPr>
          <w:sz w:val="24"/>
          <w:szCs w:val="24"/>
        </w:rPr>
        <w:t xml:space="preserve"> – </w:t>
      </w:r>
      <w:r>
        <w:rPr>
          <w:rFonts w:eastAsia="Times New Roman"/>
          <w:sz w:val="24"/>
          <w:szCs w:val="24"/>
        </w:rPr>
        <w:t>областное государственное казенное учреждение «Томский областной многофункциональный центр по предоставлению государственных и муниципальных услуг»</w:t>
      </w:r>
    </w:p>
    <w:p w:rsidR="007E27CB" w:rsidRDefault="008F141F">
      <w:pPr>
        <w:tabs>
          <w:tab w:val="left" w:pos="4962"/>
        </w:tabs>
        <w:spacing w:after="0" w:line="240" w:lineRule="auto"/>
        <w:jc w:val="both"/>
        <w:rPr>
          <w:b/>
          <w:sz w:val="24"/>
          <w:szCs w:val="24"/>
        </w:rPr>
      </w:pPr>
      <w:r>
        <w:rPr>
          <w:b/>
          <w:sz w:val="24"/>
          <w:szCs w:val="24"/>
        </w:rPr>
        <w:t xml:space="preserve">НОЦ – </w:t>
      </w:r>
      <w:r>
        <w:rPr>
          <w:sz w:val="24"/>
          <w:szCs w:val="24"/>
        </w:rPr>
        <w:t>Научно-образовательный центр</w:t>
      </w:r>
    </w:p>
    <w:p w:rsidR="007E27CB" w:rsidRDefault="008F141F">
      <w:pPr>
        <w:tabs>
          <w:tab w:val="left" w:pos="4962"/>
        </w:tabs>
        <w:spacing w:after="0" w:line="240" w:lineRule="auto"/>
        <w:jc w:val="both"/>
        <w:rPr>
          <w:sz w:val="24"/>
          <w:szCs w:val="24"/>
        </w:rPr>
      </w:pPr>
      <w:r>
        <w:rPr>
          <w:b/>
          <w:sz w:val="24"/>
          <w:szCs w:val="24"/>
        </w:rPr>
        <w:t>НТИ</w:t>
      </w:r>
      <w:r>
        <w:rPr>
          <w:sz w:val="24"/>
          <w:szCs w:val="24"/>
        </w:rPr>
        <w:t xml:space="preserve"> – Национальная технологическая инициатива</w:t>
      </w:r>
    </w:p>
    <w:p w:rsidR="007E27CB" w:rsidRDefault="008F141F">
      <w:pPr>
        <w:tabs>
          <w:tab w:val="left" w:pos="4962"/>
        </w:tabs>
        <w:spacing w:after="0" w:line="240" w:lineRule="auto"/>
        <w:jc w:val="both"/>
        <w:rPr>
          <w:sz w:val="24"/>
          <w:szCs w:val="24"/>
        </w:rPr>
      </w:pPr>
      <w:r>
        <w:rPr>
          <w:b/>
          <w:sz w:val="24"/>
          <w:szCs w:val="24"/>
        </w:rPr>
        <w:t>НДПИ</w:t>
      </w:r>
      <w:r>
        <w:rPr>
          <w:sz w:val="24"/>
          <w:szCs w:val="24"/>
        </w:rPr>
        <w:t xml:space="preserve"> – налог на добычу полезных ископаемых</w:t>
      </w:r>
    </w:p>
    <w:p w:rsidR="007E27CB" w:rsidRDefault="008F141F">
      <w:pPr>
        <w:tabs>
          <w:tab w:val="left" w:pos="4962"/>
        </w:tabs>
        <w:spacing w:after="0" w:line="240" w:lineRule="auto"/>
        <w:jc w:val="both"/>
        <w:rPr>
          <w:sz w:val="24"/>
          <w:szCs w:val="24"/>
        </w:rPr>
      </w:pPr>
      <w:r>
        <w:rPr>
          <w:b/>
          <w:sz w:val="24"/>
          <w:szCs w:val="24"/>
        </w:rPr>
        <w:t>ОВП</w:t>
      </w:r>
      <w:r>
        <w:rPr>
          <w:sz w:val="24"/>
          <w:szCs w:val="24"/>
        </w:rPr>
        <w:t xml:space="preserve">  – общая врачебная практика</w:t>
      </w:r>
    </w:p>
    <w:p w:rsidR="007E27CB" w:rsidRDefault="008F141F">
      <w:pPr>
        <w:tabs>
          <w:tab w:val="left" w:pos="4962"/>
        </w:tabs>
        <w:spacing w:after="0" w:line="240" w:lineRule="auto"/>
        <w:jc w:val="both"/>
        <w:rPr>
          <w:sz w:val="24"/>
          <w:szCs w:val="24"/>
        </w:rPr>
      </w:pPr>
      <w:r>
        <w:rPr>
          <w:b/>
          <w:sz w:val="24"/>
          <w:szCs w:val="24"/>
        </w:rPr>
        <w:t>ОКВЭД</w:t>
      </w:r>
      <w:r>
        <w:rPr>
          <w:sz w:val="24"/>
          <w:szCs w:val="24"/>
        </w:rPr>
        <w:t xml:space="preserve"> – Общероссийский классификатор видов экономической деятельности</w:t>
      </w:r>
    </w:p>
    <w:p w:rsidR="007E27CB" w:rsidRDefault="008F141F">
      <w:pPr>
        <w:tabs>
          <w:tab w:val="left" w:pos="4962"/>
        </w:tabs>
        <w:spacing w:after="0" w:line="240" w:lineRule="auto"/>
        <w:jc w:val="both"/>
        <w:rPr>
          <w:sz w:val="24"/>
          <w:szCs w:val="24"/>
        </w:rPr>
      </w:pPr>
      <w:r>
        <w:rPr>
          <w:b/>
          <w:sz w:val="24"/>
          <w:szCs w:val="24"/>
        </w:rPr>
        <w:t>ОКН</w:t>
      </w:r>
      <w:r>
        <w:rPr>
          <w:sz w:val="24"/>
          <w:szCs w:val="24"/>
        </w:rPr>
        <w:t xml:space="preserve"> – объекты культурного наследия </w:t>
      </w:r>
    </w:p>
    <w:p w:rsidR="007E27CB" w:rsidRDefault="008F141F">
      <w:pPr>
        <w:tabs>
          <w:tab w:val="left" w:pos="4962"/>
        </w:tabs>
        <w:spacing w:after="0" w:line="240" w:lineRule="auto"/>
        <w:jc w:val="both"/>
        <w:rPr>
          <w:sz w:val="24"/>
          <w:szCs w:val="24"/>
        </w:rPr>
      </w:pPr>
      <w:r>
        <w:rPr>
          <w:b/>
          <w:sz w:val="24"/>
          <w:szCs w:val="24"/>
        </w:rPr>
        <w:t>ОРВ</w:t>
      </w:r>
      <w:r>
        <w:rPr>
          <w:sz w:val="24"/>
          <w:szCs w:val="24"/>
        </w:rPr>
        <w:t xml:space="preserve"> – оценка регулирующего воздействия</w:t>
      </w:r>
    </w:p>
    <w:p w:rsidR="007E27CB" w:rsidRDefault="008F141F">
      <w:pPr>
        <w:tabs>
          <w:tab w:val="left" w:pos="4962"/>
        </w:tabs>
        <w:spacing w:after="0" w:line="240" w:lineRule="auto"/>
        <w:jc w:val="both"/>
        <w:rPr>
          <w:sz w:val="24"/>
          <w:szCs w:val="24"/>
        </w:rPr>
      </w:pPr>
      <w:r>
        <w:rPr>
          <w:b/>
          <w:sz w:val="24"/>
          <w:szCs w:val="24"/>
        </w:rPr>
        <w:t>ОЭЗ ТВТ «Томск»</w:t>
      </w:r>
      <w:r>
        <w:rPr>
          <w:sz w:val="24"/>
          <w:szCs w:val="24"/>
        </w:rPr>
        <w:t xml:space="preserve"> – особая экономическая зона технико-внедренческого типа «Томск»</w:t>
      </w:r>
    </w:p>
    <w:p w:rsidR="007E27CB" w:rsidRDefault="008F141F">
      <w:pPr>
        <w:tabs>
          <w:tab w:val="left" w:pos="4962"/>
        </w:tabs>
        <w:spacing w:after="0" w:line="240" w:lineRule="auto"/>
        <w:jc w:val="both"/>
        <w:rPr>
          <w:sz w:val="24"/>
          <w:szCs w:val="24"/>
        </w:rPr>
      </w:pPr>
      <w:r>
        <w:rPr>
          <w:b/>
          <w:sz w:val="24"/>
          <w:szCs w:val="24"/>
        </w:rPr>
        <w:t>Промпарк</w:t>
      </w:r>
      <w:r>
        <w:rPr>
          <w:sz w:val="24"/>
          <w:szCs w:val="24"/>
        </w:rPr>
        <w:t xml:space="preserve"> – промышленный (индустриальный) парк «Томск»</w:t>
      </w:r>
    </w:p>
    <w:p w:rsidR="007E27CB" w:rsidRDefault="008F141F">
      <w:pPr>
        <w:tabs>
          <w:tab w:val="left" w:pos="4962"/>
        </w:tabs>
        <w:spacing w:after="0" w:line="240" w:lineRule="auto"/>
        <w:jc w:val="both"/>
        <w:rPr>
          <w:sz w:val="24"/>
          <w:szCs w:val="24"/>
        </w:rPr>
      </w:pPr>
      <w:r>
        <w:rPr>
          <w:b/>
          <w:sz w:val="24"/>
          <w:szCs w:val="24"/>
        </w:rPr>
        <w:t>СО НКО</w:t>
      </w:r>
      <w:r>
        <w:rPr>
          <w:sz w:val="24"/>
          <w:szCs w:val="24"/>
        </w:rPr>
        <w:t xml:space="preserve"> – социально ориентированная некоммерческая организация</w:t>
      </w:r>
    </w:p>
    <w:p w:rsidR="007E27CB" w:rsidRDefault="008F141F">
      <w:pPr>
        <w:tabs>
          <w:tab w:val="left" w:pos="4962"/>
        </w:tabs>
        <w:spacing w:after="0" w:line="240" w:lineRule="auto"/>
        <w:jc w:val="both"/>
        <w:rPr>
          <w:sz w:val="24"/>
          <w:szCs w:val="24"/>
        </w:rPr>
      </w:pPr>
      <w:r>
        <w:rPr>
          <w:b/>
          <w:sz w:val="24"/>
          <w:szCs w:val="24"/>
        </w:rPr>
        <w:t>Стратегия развития</w:t>
      </w:r>
      <w:r>
        <w:rPr>
          <w:sz w:val="24"/>
          <w:szCs w:val="24"/>
        </w:rPr>
        <w:t xml:space="preserve"> – Стратегия социально-экономического развития Томской области до 2030 года</w:t>
      </w:r>
    </w:p>
    <w:p w:rsidR="007E27CB" w:rsidRDefault="008F141F">
      <w:pPr>
        <w:tabs>
          <w:tab w:val="left" w:pos="4962"/>
        </w:tabs>
        <w:spacing w:after="0" w:line="240" w:lineRule="auto"/>
        <w:jc w:val="both"/>
        <w:rPr>
          <w:sz w:val="24"/>
          <w:szCs w:val="24"/>
        </w:rPr>
      </w:pPr>
      <w:r>
        <w:rPr>
          <w:b/>
          <w:sz w:val="24"/>
          <w:szCs w:val="24"/>
        </w:rPr>
        <w:t>СПО</w:t>
      </w:r>
      <w:r>
        <w:rPr>
          <w:sz w:val="24"/>
          <w:szCs w:val="24"/>
        </w:rPr>
        <w:t xml:space="preserve"> – среднее профессиональное образование</w:t>
      </w:r>
    </w:p>
    <w:p w:rsidR="007E27CB" w:rsidRDefault="008F141F">
      <w:pPr>
        <w:tabs>
          <w:tab w:val="left" w:pos="4962"/>
        </w:tabs>
        <w:spacing w:after="0" w:line="240" w:lineRule="auto"/>
        <w:jc w:val="both"/>
        <w:rPr>
          <w:sz w:val="24"/>
          <w:szCs w:val="24"/>
        </w:rPr>
      </w:pPr>
      <w:r>
        <w:rPr>
          <w:b/>
          <w:sz w:val="24"/>
          <w:szCs w:val="24"/>
        </w:rPr>
        <w:t>СФО</w:t>
      </w:r>
      <w:r>
        <w:rPr>
          <w:sz w:val="24"/>
          <w:szCs w:val="24"/>
        </w:rPr>
        <w:t xml:space="preserve"> – Сибирский федеральный округ</w:t>
      </w:r>
    </w:p>
    <w:p w:rsidR="007E27CB" w:rsidRDefault="008F141F">
      <w:pPr>
        <w:tabs>
          <w:tab w:val="left" w:pos="4962"/>
        </w:tabs>
        <w:spacing w:after="0" w:line="240" w:lineRule="auto"/>
        <w:jc w:val="both"/>
        <w:rPr>
          <w:b/>
          <w:sz w:val="24"/>
          <w:szCs w:val="24"/>
        </w:rPr>
      </w:pPr>
      <w:r>
        <w:rPr>
          <w:b/>
          <w:sz w:val="24"/>
          <w:szCs w:val="24"/>
        </w:rPr>
        <w:t xml:space="preserve">ТКО – </w:t>
      </w:r>
      <w:r>
        <w:rPr>
          <w:sz w:val="24"/>
          <w:szCs w:val="24"/>
        </w:rPr>
        <w:t>твердые коммунальные отходы</w:t>
      </w:r>
    </w:p>
    <w:p w:rsidR="007E27CB" w:rsidRDefault="008F141F">
      <w:pPr>
        <w:tabs>
          <w:tab w:val="left" w:pos="4962"/>
        </w:tabs>
        <w:spacing w:after="0" w:line="240" w:lineRule="auto"/>
        <w:jc w:val="both"/>
        <w:rPr>
          <w:sz w:val="24"/>
          <w:szCs w:val="24"/>
        </w:rPr>
      </w:pPr>
      <w:r>
        <w:rPr>
          <w:b/>
          <w:sz w:val="24"/>
          <w:szCs w:val="24"/>
        </w:rPr>
        <w:t>ТОР</w:t>
      </w:r>
      <w:r>
        <w:rPr>
          <w:sz w:val="24"/>
          <w:szCs w:val="24"/>
        </w:rPr>
        <w:t xml:space="preserve"> – территория опережающего социально-экономического развития</w:t>
      </w:r>
    </w:p>
    <w:p w:rsidR="007E27CB" w:rsidRDefault="008F141F">
      <w:pPr>
        <w:tabs>
          <w:tab w:val="left" w:pos="4962"/>
        </w:tabs>
        <w:spacing w:after="0" w:line="240" w:lineRule="auto"/>
        <w:jc w:val="both"/>
        <w:rPr>
          <w:sz w:val="24"/>
          <w:szCs w:val="24"/>
        </w:rPr>
      </w:pPr>
      <w:r>
        <w:rPr>
          <w:b/>
          <w:sz w:val="24"/>
          <w:szCs w:val="24"/>
        </w:rPr>
        <w:t>ФАП</w:t>
      </w:r>
      <w:r>
        <w:rPr>
          <w:sz w:val="24"/>
          <w:szCs w:val="24"/>
        </w:rPr>
        <w:t xml:space="preserve"> – фельдшерско-акушерский пункт</w:t>
      </w:r>
    </w:p>
    <w:p w:rsidR="007E27CB" w:rsidRDefault="008F141F">
      <w:pPr>
        <w:tabs>
          <w:tab w:val="left" w:pos="4962"/>
        </w:tabs>
        <w:spacing w:after="0" w:line="240" w:lineRule="auto"/>
        <w:ind w:left="567" w:hanging="567"/>
        <w:rPr>
          <w:b/>
          <w:color w:val="FF0000"/>
          <w:sz w:val="24"/>
          <w:szCs w:val="24"/>
        </w:rPr>
      </w:pPr>
      <w:r>
        <w:rPr>
          <w:b/>
          <w:color w:val="FF0000"/>
          <w:sz w:val="24"/>
          <w:szCs w:val="24"/>
        </w:rPr>
        <w:br w:type="page"/>
      </w:r>
    </w:p>
    <w:p w:rsidR="007E27CB" w:rsidRDefault="008F141F">
      <w:pPr>
        <w:tabs>
          <w:tab w:val="left" w:pos="4962"/>
        </w:tabs>
        <w:spacing w:after="0" w:line="240" w:lineRule="auto"/>
        <w:jc w:val="both"/>
        <w:rPr>
          <w:b/>
          <w:sz w:val="24"/>
          <w:szCs w:val="24"/>
        </w:rPr>
      </w:pPr>
      <w:r>
        <w:rPr>
          <w:b/>
          <w:sz w:val="24"/>
          <w:szCs w:val="24"/>
        </w:rPr>
        <w:lastRenderedPageBreak/>
        <w:t>ВВЕДЕНИЕ</w:t>
      </w:r>
    </w:p>
    <w:p w:rsidR="007E27CB" w:rsidRDefault="007E27CB">
      <w:pPr>
        <w:tabs>
          <w:tab w:val="left" w:pos="4962"/>
        </w:tabs>
        <w:spacing w:after="0" w:line="240" w:lineRule="auto"/>
        <w:jc w:val="both"/>
        <w:rPr>
          <w:b/>
          <w:color w:val="FF0000"/>
          <w:sz w:val="24"/>
          <w:szCs w:val="24"/>
        </w:rPr>
      </w:pPr>
    </w:p>
    <w:p w:rsidR="007E27CB" w:rsidRDefault="008F141F">
      <w:pPr>
        <w:tabs>
          <w:tab w:val="left" w:pos="4962"/>
        </w:tabs>
        <w:spacing w:after="0" w:line="240" w:lineRule="auto"/>
        <w:jc w:val="both"/>
        <w:rPr>
          <w:b/>
          <w:sz w:val="24"/>
          <w:szCs w:val="24"/>
        </w:rPr>
      </w:pPr>
      <w:r>
        <w:rPr>
          <w:b/>
          <w:sz w:val="24"/>
          <w:szCs w:val="24"/>
        </w:rPr>
        <w:t>1. Макроэкономический анализ параметров развития в 2019 году</w:t>
      </w:r>
    </w:p>
    <w:p w:rsidR="007E27CB" w:rsidRDefault="007E27CB">
      <w:pPr>
        <w:tabs>
          <w:tab w:val="left" w:pos="567"/>
          <w:tab w:val="left" w:pos="4962"/>
        </w:tabs>
        <w:spacing w:after="0" w:line="240" w:lineRule="auto"/>
        <w:ind w:firstLine="567"/>
        <w:jc w:val="both"/>
        <w:rPr>
          <w:rFonts w:eastAsia="Times New Roman"/>
          <w:sz w:val="24"/>
          <w:szCs w:val="24"/>
          <w:lang w:eastAsia="ru-RU"/>
        </w:rPr>
      </w:pPr>
    </w:p>
    <w:p w:rsidR="007E27CB" w:rsidRDefault="008F141F">
      <w:pPr>
        <w:tabs>
          <w:tab w:val="left" w:pos="4962"/>
        </w:tabs>
        <w:spacing w:after="0" w:line="240" w:lineRule="auto"/>
        <w:ind w:firstLine="567"/>
        <w:jc w:val="both"/>
        <w:rPr>
          <w:sz w:val="24"/>
          <w:szCs w:val="24"/>
        </w:rPr>
      </w:pPr>
      <w:r>
        <w:rPr>
          <w:sz w:val="24"/>
          <w:szCs w:val="24"/>
        </w:rPr>
        <w:t xml:space="preserve">Томская область в течение 2019 года активно решала задачи социально-экономического, инновационного и технологического развития, в первую очередь с учетом ориентиров, обозначенных в Указе Президента Российской Федерации от 07.05.2018 № 204 «О национальных целях и стратегических задачах развития Российской Федерации на период до 2024 года». </w:t>
      </w:r>
    </w:p>
    <w:p w:rsidR="007E27CB" w:rsidRDefault="008F141F">
      <w:pPr>
        <w:tabs>
          <w:tab w:val="left" w:pos="4962"/>
        </w:tabs>
        <w:spacing w:after="0" w:line="240" w:lineRule="auto"/>
        <w:ind w:firstLine="567"/>
        <w:jc w:val="both"/>
        <w:rPr>
          <w:sz w:val="24"/>
          <w:szCs w:val="24"/>
        </w:rPr>
      </w:pPr>
      <w:r>
        <w:rPr>
          <w:sz w:val="24"/>
          <w:szCs w:val="24"/>
        </w:rPr>
        <w:t>Регион принимал участие во всех 12 национальных проектах и комплексном плане модернизации и расширения магистральной инфраструктуры, реализуя 56 региональных проектов</w:t>
      </w:r>
      <w:r>
        <w:rPr>
          <w:rStyle w:val="af3"/>
          <w:sz w:val="24"/>
          <w:szCs w:val="24"/>
        </w:rPr>
        <w:footnoteReference w:id="1"/>
      </w:r>
      <w:r>
        <w:rPr>
          <w:sz w:val="24"/>
          <w:szCs w:val="24"/>
        </w:rPr>
        <w:t xml:space="preserve">. Благодаря слаженной работе проектных команд удалось выполнить большинство запланированных мероприятий проектов, достичь более 90% из 225 установленных целевых показателей. </w:t>
      </w:r>
    </w:p>
    <w:p w:rsidR="007E27CB" w:rsidRDefault="008F141F">
      <w:pPr>
        <w:spacing w:after="0" w:line="240" w:lineRule="auto"/>
        <w:ind w:firstLine="567"/>
        <w:jc w:val="both"/>
        <w:rPr>
          <w:sz w:val="24"/>
          <w:szCs w:val="24"/>
        </w:rPr>
      </w:pPr>
      <w:r>
        <w:rPr>
          <w:sz w:val="24"/>
          <w:szCs w:val="24"/>
        </w:rPr>
        <w:t>Мониторинг параметров прогноза социально-экономического развития Томской области</w:t>
      </w:r>
      <w:r>
        <w:rPr>
          <w:rStyle w:val="af3"/>
          <w:sz w:val="24"/>
          <w:szCs w:val="24"/>
        </w:rPr>
        <w:footnoteReference w:id="2"/>
      </w:r>
      <w:r>
        <w:rPr>
          <w:sz w:val="24"/>
          <w:szCs w:val="24"/>
        </w:rPr>
        <w:t xml:space="preserve"> показывает, что за счет реализации Стратегии социально-экономического развития Томской области, региональных проектов, совместных мероприятий с наукой, бизнесом, гражданами удалось добиться положительных темпов роста  в обрабатывающей промышленности (ИФО – 103,7%) за счет роста производства пищевых продуктов, электрического оборудования, обработки древесины и в  строительстве (ИФО – 121,7%) за счет увеличения объемов работ по строительству инженерных сооружений и строительству зданий. Увеличился оборот розничной торговли (ИФО – 103,1%) за счет восстановления потребительского спроса. </w:t>
      </w:r>
    </w:p>
    <w:p w:rsidR="007E27CB" w:rsidRDefault="008F141F">
      <w:pPr>
        <w:spacing w:after="0" w:line="240" w:lineRule="auto"/>
        <w:ind w:firstLine="567"/>
        <w:jc w:val="both"/>
        <w:rPr>
          <w:sz w:val="24"/>
          <w:szCs w:val="24"/>
        </w:rPr>
      </w:pPr>
      <w:r>
        <w:rPr>
          <w:sz w:val="24"/>
          <w:szCs w:val="24"/>
        </w:rPr>
        <w:t>В регионе за год создано более 3,7 тыс. высокопроизводительных рабочих мест и их число на 01.01.2020 составляет 143,6 тыс. единиц.</w:t>
      </w:r>
    </w:p>
    <w:p w:rsidR="007E27CB" w:rsidRDefault="008F141F">
      <w:pPr>
        <w:spacing w:after="0" w:line="240" w:lineRule="auto"/>
        <w:ind w:firstLine="567"/>
        <w:jc w:val="both"/>
        <w:rPr>
          <w:sz w:val="24"/>
          <w:szCs w:val="24"/>
        </w:rPr>
      </w:pPr>
      <w:r>
        <w:rPr>
          <w:sz w:val="24"/>
          <w:szCs w:val="24"/>
        </w:rPr>
        <w:tab/>
        <w:t>Производительность труда на томских предприятиях, по оценке, в 2019 году выросла на 2,2% в результате реализации национального проекта «Производительность труда и поддержка занятости» и к 2024 году ежегодно будет расти на 5%.</w:t>
      </w:r>
    </w:p>
    <w:p w:rsidR="007E27CB" w:rsidRDefault="008F141F">
      <w:pPr>
        <w:spacing w:after="0" w:line="240" w:lineRule="auto"/>
        <w:ind w:firstLine="567"/>
        <w:jc w:val="both"/>
        <w:rPr>
          <w:sz w:val="24"/>
          <w:szCs w:val="24"/>
        </w:rPr>
      </w:pPr>
      <w:r>
        <w:rPr>
          <w:sz w:val="24"/>
          <w:szCs w:val="24"/>
        </w:rPr>
        <w:tab/>
        <w:t>По рейтингу инновационных регионов России Томская область сохранила свои позиции в группе «сильных инноваторов», удерживая третий год подряд четвертое место после Санкт-Петербурга, Татарстана и Москвы.</w:t>
      </w:r>
      <w:r>
        <w:rPr>
          <w:bCs/>
          <w:sz w:val="24"/>
          <w:szCs w:val="24"/>
        </w:rPr>
        <w:t xml:space="preserve"> </w:t>
      </w:r>
      <w:r>
        <w:rPr>
          <w:sz w:val="24"/>
          <w:szCs w:val="24"/>
        </w:rPr>
        <w:t>По доле внутренних затрат на исследования и разработки в ВРП Томская область с результатом 2,82% занимает первое место в СФО и практически в 2 раза опережает среднероссийское значение.</w:t>
      </w:r>
    </w:p>
    <w:p w:rsidR="007E27CB" w:rsidRDefault="008F141F">
      <w:pPr>
        <w:tabs>
          <w:tab w:val="left" w:pos="4962"/>
        </w:tabs>
        <w:spacing w:after="0" w:line="240" w:lineRule="auto"/>
        <w:ind w:firstLine="567"/>
        <w:jc w:val="both"/>
        <w:rPr>
          <w:sz w:val="24"/>
          <w:szCs w:val="24"/>
        </w:rPr>
      </w:pPr>
      <w:r>
        <w:rPr>
          <w:sz w:val="24"/>
          <w:szCs w:val="24"/>
        </w:rPr>
        <w:t>Зафиксирован рост среднемесячной начисленной заработной платы (105,0%) за счет опережающих темпов роста заработной платы в сфере информации и связи (115,6%), в финансовой и страховой деятельности (110,5%), в сельском и лесном хозяйстве (109,0%).</w:t>
      </w:r>
    </w:p>
    <w:p w:rsidR="007E27CB" w:rsidRDefault="008F141F">
      <w:pPr>
        <w:spacing w:after="0" w:line="240" w:lineRule="auto"/>
        <w:ind w:firstLine="567"/>
        <w:jc w:val="both"/>
        <w:rPr>
          <w:color w:val="0000FF"/>
          <w:sz w:val="24"/>
          <w:szCs w:val="24"/>
        </w:rPr>
      </w:pPr>
      <w:r>
        <w:rPr>
          <w:sz w:val="24"/>
          <w:szCs w:val="24"/>
        </w:rPr>
        <w:t>Однако напряженная ситуация остается в демографии, в привлечении инвестиций,   что характерно для большинства регионов страны.  Для решения вызовов Томская область приступила к актуализации Стратегии социально-экономического развития Томской области. Стратегия будет сфокусирована на достижение национальных целей страны в соответствии с Указом Президента Российской Федерации от 07.05.2018 № 204 и реализацию прорывных проектов в  новых специализациях экономики региона. Стоит задача за счет развития новых специализаций обеспечить рост экономики региона в 1,5 раза к 2024 году и удвоить его к 2030 году. Это позволит довести объем ВРП области до 1% ВВП России (сейчас вклад региона чуть ниже 0,7%).</w:t>
      </w:r>
    </w:p>
    <w:p w:rsidR="007E27CB" w:rsidRDefault="007E27CB">
      <w:pPr>
        <w:tabs>
          <w:tab w:val="left" w:pos="567"/>
          <w:tab w:val="left" w:pos="4962"/>
        </w:tabs>
        <w:spacing w:after="0" w:line="240" w:lineRule="auto"/>
        <w:rPr>
          <w:b/>
          <w:sz w:val="24"/>
          <w:szCs w:val="24"/>
        </w:rPr>
      </w:pPr>
    </w:p>
    <w:p w:rsidR="007E27CB" w:rsidRDefault="007E27CB">
      <w:pPr>
        <w:tabs>
          <w:tab w:val="left" w:pos="567"/>
          <w:tab w:val="left" w:pos="4962"/>
        </w:tabs>
        <w:spacing w:after="0" w:line="240" w:lineRule="auto"/>
        <w:ind w:firstLine="567"/>
        <w:rPr>
          <w:b/>
          <w:sz w:val="24"/>
          <w:szCs w:val="24"/>
        </w:rPr>
      </w:pPr>
    </w:p>
    <w:p w:rsidR="007E27CB" w:rsidRDefault="008F141F">
      <w:pPr>
        <w:tabs>
          <w:tab w:val="left" w:pos="567"/>
          <w:tab w:val="left" w:pos="4962"/>
        </w:tabs>
        <w:spacing w:after="0" w:line="240" w:lineRule="auto"/>
        <w:ind w:firstLine="567"/>
        <w:rPr>
          <w:b/>
          <w:sz w:val="24"/>
          <w:szCs w:val="24"/>
        </w:rPr>
      </w:pPr>
      <w:r>
        <w:rPr>
          <w:b/>
          <w:sz w:val="24"/>
          <w:szCs w:val="24"/>
        </w:rPr>
        <w:lastRenderedPageBreak/>
        <w:t>ВАЛОВОЙ РЕГИОНАЛЬНЫЙ ПРОДУКТ</w:t>
      </w:r>
    </w:p>
    <w:p w:rsidR="007E27CB" w:rsidRDefault="007E27CB">
      <w:pPr>
        <w:tabs>
          <w:tab w:val="left" w:pos="567"/>
          <w:tab w:val="left" w:pos="4962"/>
        </w:tabs>
        <w:spacing w:after="0" w:line="240" w:lineRule="auto"/>
        <w:ind w:firstLine="567"/>
        <w:jc w:val="both"/>
        <w:rPr>
          <w:color w:val="FF0000"/>
          <w:sz w:val="24"/>
          <w:szCs w:val="24"/>
        </w:rPr>
      </w:pPr>
    </w:p>
    <w:p w:rsidR="007E27CB" w:rsidRDefault="008F141F">
      <w:pPr>
        <w:spacing w:after="0" w:line="240" w:lineRule="auto"/>
        <w:ind w:firstLine="567"/>
        <w:jc w:val="both"/>
        <w:rPr>
          <w:sz w:val="24"/>
          <w:szCs w:val="24"/>
          <w:lang w:eastAsia="ru-RU"/>
        </w:rPr>
      </w:pPr>
      <w:r>
        <w:rPr>
          <w:sz w:val="24"/>
          <w:szCs w:val="24"/>
          <w:lang w:eastAsia="ru-RU"/>
        </w:rPr>
        <w:t xml:space="preserve">По первой статистической оценке объем ВРП в 2018 году составил 579,3 млрд. рублей, что на 0,7% выше уровня 2017 года в сопоставимых ценах. По оценке Департамента экономики Администрации Томской области (далее по разделу – Департамент экономики), в 2019 году ВРП достигнет 607 млрд. рублей, прирост составит 1,4%. </w:t>
      </w:r>
    </w:p>
    <w:p w:rsidR="007E27CB" w:rsidRDefault="008F141F">
      <w:pPr>
        <w:spacing w:after="0" w:line="240" w:lineRule="auto"/>
        <w:ind w:firstLine="567"/>
        <w:jc w:val="both"/>
        <w:rPr>
          <w:sz w:val="24"/>
          <w:szCs w:val="24"/>
          <w:lang w:eastAsia="ru-RU"/>
        </w:rPr>
      </w:pPr>
      <w:r>
        <w:rPr>
          <w:sz w:val="24"/>
          <w:szCs w:val="24"/>
          <w:lang w:eastAsia="ru-RU"/>
        </w:rPr>
        <w:t>По показателю валового регионального продукта на душу населения (473,8 тыс. рублей в 2017 году) Томская область занимает 3-е место среди регионов СФО, в рейтинге регионов Российской Федерации – 23-е место. Значение показателя по Томской области на 72 тыс. рублей или на 17,9% превышает среднее значение по СФО.</w:t>
      </w:r>
    </w:p>
    <w:p w:rsidR="007E27CB" w:rsidRDefault="008F141F">
      <w:pPr>
        <w:spacing w:after="0" w:line="240" w:lineRule="auto"/>
        <w:ind w:firstLine="567"/>
        <w:jc w:val="both"/>
        <w:rPr>
          <w:sz w:val="24"/>
          <w:szCs w:val="24"/>
          <w:lang w:eastAsia="ru-RU"/>
        </w:rPr>
      </w:pPr>
      <w:r>
        <w:rPr>
          <w:sz w:val="24"/>
          <w:szCs w:val="24"/>
          <w:lang w:eastAsia="ru-RU"/>
        </w:rPr>
        <w:t>Наибольший удельный вес в структуре ВРП в 2018 году занимает производство валовой добавленной стоимости в добыче полезных ископаемых – 32%, обрабатывающих производствах – 11,1%, транспортировке и хранении – 7,9%, торговле – 7,8%, деятельности по операциям с недвижимом имуществом – 5,3%, строительстве – 5%.</w:t>
      </w:r>
    </w:p>
    <w:p w:rsidR="007E27CB" w:rsidRDefault="008F141F">
      <w:pPr>
        <w:spacing w:after="0" w:line="240" w:lineRule="auto"/>
        <w:ind w:firstLine="567"/>
        <w:jc w:val="both"/>
        <w:rPr>
          <w:sz w:val="24"/>
          <w:szCs w:val="24"/>
          <w:lang w:eastAsia="ru-RU"/>
        </w:rPr>
      </w:pPr>
      <w:r>
        <w:rPr>
          <w:sz w:val="24"/>
          <w:szCs w:val="24"/>
          <w:lang w:eastAsia="ru-RU"/>
        </w:rPr>
        <w:t>Основным фактором, вносящим положительный вклад в рост ВРП, является положительная динамика валовой добавленной стоимости по следующим видам деятельности: обрабатывающие производства (117,8%), операции с недвижимым имуществом (114,3%), сельское, лесное хозяйство, охота, рыболовство и рыбоводство (116,8%), образование (103,7%), информатизация и связь (102,9%).</w:t>
      </w:r>
    </w:p>
    <w:p w:rsidR="007E27CB" w:rsidRDefault="008F141F">
      <w:pPr>
        <w:spacing w:after="0" w:line="240" w:lineRule="auto"/>
        <w:ind w:firstLine="567"/>
        <w:jc w:val="both"/>
        <w:rPr>
          <w:sz w:val="24"/>
          <w:szCs w:val="24"/>
          <w:lang w:eastAsia="ru-RU"/>
        </w:rPr>
      </w:pPr>
      <w:r>
        <w:rPr>
          <w:color w:val="1F497D"/>
          <w:sz w:val="24"/>
          <w:szCs w:val="24"/>
          <w:lang w:eastAsia="ru-RU"/>
        </w:rPr>
        <w:tab/>
      </w:r>
      <w:r>
        <w:rPr>
          <w:sz w:val="24"/>
          <w:szCs w:val="24"/>
          <w:lang w:eastAsia="ru-RU"/>
        </w:rPr>
        <w:t>В то же время объем добавленной стоимости снизился по таким видам деятельности, как добыча полезных ископаемых (96,8%), строительство (87%) из-за падения объемов их производства (93,9% и 87,1% соответственно в 2018 году).</w:t>
      </w:r>
    </w:p>
    <w:p w:rsidR="007E27CB" w:rsidRDefault="007E27CB">
      <w:pPr>
        <w:spacing w:after="0" w:line="240" w:lineRule="auto"/>
        <w:ind w:firstLine="567"/>
        <w:jc w:val="both"/>
        <w:rPr>
          <w:sz w:val="24"/>
          <w:szCs w:val="24"/>
          <w:lang w:eastAsia="ru-RU"/>
        </w:rPr>
      </w:pPr>
    </w:p>
    <w:p w:rsidR="007E27CB" w:rsidRDefault="008F141F">
      <w:pPr>
        <w:tabs>
          <w:tab w:val="left" w:pos="4962"/>
        </w:tabs>
        <w:spacing w:after="0" w:line="240" w:lineRule="auto"/>
        <w:jc w:val="both"/>
        <w:rPr>
          <w:rFonts w:eastAsia="Times New Roman"/>
          <w:sz w:val="24"/>
          <w:szCs w:val="24"/>
          <w:lang w:eastAsia="ru-RU"/>
        </w:rPr>
      </w:pPr>
      <w:r>
        <w:rPr>
          <w:noProof/>
          <w:lang w:eastAsia="ru-RU"/>
        </w:rPr>
        <w:drawing>
          <wp:inline distT="0" distB="0" distL="0" distR="0">
            <wp:extent cx="5280338" cy="3284113"/>
            <wp:effectExtent l="0" t="0" r="0" b="0"/>
            <wp:docPr id="15" name="Диаграмма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7E27CB" w:rsidRDefault="007E27CB">
      <w:pPr>
        <w:pStyle w:val="Default"/>
        <w:tabs>
          <w:tab w:val="left" w:pos="567"/>
          <w:tab w:val="left" w:pos="4962"/>
        </w:tabs>
        <w:ind w:firstLine="567"/>
        <w:jc w:val="both"/>
        <w:rPr>
          <w:b/>
          <w:color w:val="auto"/>
        </w:rPr>
      </w:pPr>
    </w:p>
    <w:p w:rsidR="007E27CB" w:rsidRDefault="008F141F">
      <w:pPr>
        <w:pStyle w:val="Default"/>
        <w:tabs>
          <w:tab w:val="left" w:pos="567"/>
          <w:tab w:val="left" w:pos="4962"/>
        </w:tabs>
        <w:ind w:firstLine="567"/>
        <w:jc w:val="both"/>
        <w:rPr>
          <w:b/>
          <w:color w:val="auto"/>
        </w:rPr>
      </w:pPr>
      <w:r>
        <w:rPr>
          <w:b/>
          <w:color w:val="auto"/>
        </w:rPr>
        <w:t>ИНФЛЯЦИЯ</w:t>
      </w:r>
    </w:p>
    <w:p w:rsidR="007E27CB" w:rsidRDefault="007E27CB">
      <w:pPr>
        <w:tabs>
          <w:tab w:val="left" w:pos="567"/>
          <w:tab w:val="left" w:pos="4962"/>
        </w:tabs>
        <w:spacing w:after="0" w:line="240" w:lineRule="auto"/>
        <w:ind w:firstLine="567"/>
        <w:jc w:val="both"/>
        <w:rPr>
          <w:rFonts w:eastAsia="Times New Roman"/>
          <w:color w:val="FF0000"/>
          <w:sz w:val="24"/>
          <w:szCs w:val="24"/>
          <w:lang w:eastAsia="ru-RU"/>
        </w:rPr>
      </w:pPr>
    </w:p>
    <w:p w:rsidR="007E27CB" w:rsidRDefault="008F141F">
      <w:pPr>
        <w:pStyle w:val="Pa1"/>
        <w:tabs>
          <w:tab w:val="left" w:pos="4962"/>
        </w:tabs>
        <w:spacing w:line="240" w:lineRule="auto"/>
        <w:ind w:firstLine="567"/>
        <w:jc w:val="both"/>
        <w:rPr>
          <w:rFonts w:ascii="Times New Roman" w:hAnsi="Times New Roman" w:cs="Times New Roman"/>
        </w:rPr>
      </w:pPr>
      <w:r>
        <w:rPr>
          <w:rFonts w:ascii="Times New Roman" w:hAnsi="Times New Roman" w:cs="Times New Roman"/>
        </w:rPr>
        <w:t xml:space="preserve">По итогам 2019 года уровень инфляции Томской области составил 103,8% (декабрь к декабрю предыдущего года), что ниже показателя 2018 года (104,5%). На изменение темпов роста индекса потребительских цен (далее по разделу </w:t>
      </w:r>
      <w:r>
        <w:rPr>
          <w:lang w:eastAsia="ru-RU"/>
        </w:rPr>
        <w:t>–</w:t>
      </w:r>
      <w:r>
        <w:rPr>
          <w:rFonts w:ascii="Times New Roman" w:hAnsi="Times New Roman" w:cs="Times New Roman"/>
        </w:rPr>
        <w:t xml:space="preserve"> ИПЦ) повлияли как монетарные факторы (снижение Банком России ключевой ставки в течение 2019 года с 7,75% до 6,25%), так и немонетарные аспекты </w:t>
      </w:r>
      <w:r>
        <w:rPr>
          <w:lang w:eastAsia="ru-RU"/>
        </w:rPr>
        <w:t>–</w:t>
      </w:r>
      <w:r>
        <w:rPr>
          <w:rFonts w:ascii="Times New Roman" w:hAnsi="Times New Roman" w:cs="Times New Roman"/>
        </w:rPr>
        <w:t xml:space="preserve"> увеличение стоимости тарифов за коммунальные услуги, кроме того в 2019 году введен новый тариф на услугу </w:t>
      </w:r>
      <w:r>
        <w:rPr>
          <w:rFonts w:ascii="Times New Roman" w:hAnsi="Times New Roman" w:cs="Times New Roman"/>
        </w:rPr>
        <w:lastRenderedPageBreak/>
        <w:t>регионального оператора по обращению с твердыми коммунальными отходами, а также с 01.01.2019 повышена ставка НДС.</w:t>
      </w:r>
    </w:p>
    <w:p w:rsidR="007E27CB" w:rsidRDefault="008F141F">
      <w:pPr>
        <w:pStyle w:val="Pa2"/>
        <w:tabs>
          <w:tab w:val="left" w:pos="4962"/>
        </w:tabs>
        <w:spacing w:line="240" w:lineRule="auto"/>
        <w:ind w:firstLine="567"/>
        <w:jc w:val="both"/>
        <w:rPr>
          <w:rFonts w:ascii="Times New Roman" w:hAnsi="Times New Roman" w:cs="Times New Roman"/>
        </w:rPr>
      </w:pPr>
      <w:r>
        <w:rPr>
          <w:rFonts w:ascii="Times New Roman" w:hAnsi="Times New Roman" w:cs="Times New Roman"/>
        </w:rPr>
        <w:t xml:space="preserve">Наибольший вклад в прирост ИПЦ в 2019 году внесли группы платных услуг – 1,6 процентных пункта и продовольственных товаров (включая алкогольные напитки) </w:t>
      </w:r>
      <w:r>
        <w:rPr>
          <w:lang w:eastAsia="ru-RU"/>
        </w:rPr>
        <w:t>–</w:t>
      </w:r>
      <w:r>
        <w:rPr>
          <w:rFonts w:ascii="Times New Roman" w:hAnsi="Times New Roman" w:cs="Times New Roman"/>
        </w:rPr>
        <w:t xml:space="preserve"> 1,4 процентных пункта, непродовольственные товары добавили 0,8 процентных пункта. </w:t>
      </w:r>
    </w:p>
    <w:p w:rsidR="007E27CB" w:rsidRDefault="008F141F">
      <w:pPr>
        <w:pStyle w:val="Default"/>
      </w:pPr>
      <w:r>
        <w:rPr>
          <w:noProof/>
          <w:lang w:eastAsia="ru-RU"/>
        </w:rPr>
        <w:drawing>
          <wp:anchor distT="0" distB="0" distL="114300" distR="114300" simplePos="0" relativeHeight="251630080" behindDoc="0" locked="0" layoutInCell="1" allowOverlap="1">
            <wp:simplePos x="0" y="0"/>
            <wp:positionH relativeFrom="column">
              <wp:posOffset>-115570</wp:posOffset>
            </wp:positionH>
            <wp:positionV relativeFrom="paragraph">
              <wp:posOffset>193040</wp:posOffset>
            </wp:positionV>
            <wp:extent cx="5911215" cy="3206750"/>
            <wp:effectExtent l="0" t="0" r="0" b="0"/>
            <wp:wrapSquare wrapText="bothSides"/>
            <wp:docPr id="14"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p w:rsidR="007E27CB" w:rsidRDefault="007E27CB">
      <w:pPr>
        <w:pStyle w:val="Default"/>
      </w:pPr>
    </w:p>
    <w:p w:rsidR="007E27CB" w:rsidRDefault="008F141F">
      <w:pPr>
        <w:pStyle w:val="Default"/>
        <w:tabs>
          <w:tab w:val="left" w:pos="567"/>
        </w:tabs>
        <w:ind w:firstLine="567"/>
        <w:jc w:val="both"/>
        <w:rPr>
          <w:b/>
          <w:color w:val="auto"/>
        </w:rPr>
      </w:pPr>
      <w:r>
        <w:rPr>
          <w:b/>
          <w:color w:val="auto"/>
        </w:rPr>
        <w:tab/>
        <w:t>ДЕМОГРАФИЯ</w:t>
      </w:r>
    </w:p>
    <w:p w:rsidR="007E27CB" w:rsidRDefault="008F141F">
      <w:pPr>
        <w:tabs>
          <w:tab w:val="left" w:pos="4962"/>
        </w:tabs>
        <w:spacing w:after="0" w:line="240" w:lineRule="auto"/>
        <w:ind w:firstLine="567"/>
        <w:jc w:val="both"/>
        <w:rPr>
          <w:b/>
          <w:sz w:val="24"/>
          <w:szCs w:val="24"/>
          <w:shd w:val="clear" w:color="auto" w:fill="FFFFFF"/>
        </w:rPr>
      </w:pPr>
      <w:r>
        <w:rPr>
          <w:b/>
          <w:sz w:val="24"/>
          <w:szCs w:val="24"/>
          <w:shd w:val="clear" w:color="auto" w:fill="FFFFFF"/>
        </w:rPr>
        <w:t xml:space="preserve"> </w:t>
      </w:r>
    </w:p>
    <w:p w:rsidR="007E27CB" w:rsidRDefault="008F141F">
      <w:pPr>
        <w:tabs>
          <w:tab w:val="left" w:pos="4962"/>
        </w:tabs>
        <w:spacing w:after="0" w:line="240" w:lineRule="auto"/>
        <w:ind w:firstLine="567"/>
        <w:jc w:val="both"/>
        <w:rPr>
          <w:sz w:val="24"/>
          <w:szCs w:val="24"/>
        </w:rPr>
      </w:pPr>
      <w:r>
        <w:rPr>
          <w:sz w:val="24"/>
          <w:szCs w:val="24"/>
        </w:rPr>
        <w:t>По состоянию на 1 января 2020 года численность населения Томской области составила 1 079,1 тыс. человек. После двухлетнего сокращения численность населения вновь увеличилась (прирост составил 1,7 тыс. человек).</w:t>
      </w:r>
    </w:p>
    <w:p w:rsidR="007E27CB" w:rsidRDefault="008F141F">
      <w:pPr>
        <w:tabs>
          <w:tab w:val="left" w:pos="4962"/>
        </w:tabs>
        <w:spacing w:after="0" w:line="240" w:lineRule="auto"/>
        <w:ind w:firstLine="567"/>
        <w:jc w:val="both"/>
        <w:rPr>
          <w:sz w:val="24"/>
          <w:szCs w:val="24"/>
        </w:rPr>
      </w:pPr>
      <w:r>
        <w:rPr>
          <w:sz w:val="24"/>
          <w:szCs w:val="24"/>
        </w:rPr>
        <w:t>Увеличение численности обусловлено миграционным приростом населения (3 263 человека), который компенсировал естественную убыль населения (- 1 560 человек).</w:t>
      </w:r>
    </w:p>
    <w:p w:rsidR="007E27CB" w:rsidRDefault="008F141F">
      <w:pPr>
        <w:tabs>
          <w:tab w:val="left" w:pos="4962"/>
        </w:tabs>
        <w:spacing w:after="0" w:line="240" w:lineRule="auto"/>
        <w:ind w:firstLine="567"/>
        <w:jc w:val="both"/>
        <w:rPr>
          <w:sz w:val="24"/>
          <w:szCs w:val="24"/>
        </w:rPr>
      </w:pPr>
      <w:r>
        <w:rPr>
          <w:sz w:val="24"/>
          <w:szCs w:val="24"/>
        </w:rPr>
        <w:t xml:space="preserve">По итогам 2019 года сохраняются напряженные тенденции, связанные с низкой рождаемостью. </w:t>
      </w:r>
    </w:p>
    <w:p w:rsidR="007E27CB" w:rsidRDefault="008F141F">
      <w:pPr>
        <w:tabs>
          <w:tab w:val="left" w:pos="4962"/>
        </w:tabs>
        <w:spacing w:after="0" w:line="240" w:lineRule="auto"/>
        <w:ind w:firstLine="567"/>
        <w:jc w:val="both"/>
        <w:rPr>
          <w:sz w:val="24"/>
          <w:szCs w:val="24"/>
        </w:rPr>
      </w:pPr>
      <w:r>
        <w:rPr>
          <w:sz w:val="24"/>
          <w:szCs w:val="24"/>
        </w:rPr>
        <w:t>Общий коэффициент рождаемости в области снизился по отношению к 2018 году с 10,9 до 9,7 случаев рождений на тысячу человек населения, уступая среднему по СФО (10,4) и по Российской Федерации (10,1).</w:t>
      </w:r>
    </w:p>
    <w:p w:rsidR="007E27CB" w:rsidRDefault="008F141F">
      <w:pPr>
        <w:tabs>
          <w:tab w:val="left" w:pos="4962"/>
        </w:tabs>
        <w:spacing w:after="0" w:line="240" w:lineRule="auto"/>
        <w:ind w:firstLine="567"/>
        <w:jc w:val="both"/>
        <w:rPr>
          <w:sz w:val="24"/>
          <w:szCs w:val="24"/>
        </w:rPr>
      </w:pPr>
      <w:r>
        <w:rPr>
          <w:noProof/>
          <w:lang w:eastAsia="ru-RU"/>
        </w:rPr>
        <w:drawing>
          <wp:inline distT="0" distB="0" distL="0" distR="0">
            <wp:extent cx="3487420" cy="2530475"/>
            <wp:effectExtent l="0" t="0" r="0" b="3175"/>
            <wp:docPr id="13"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7E27CB" w:rsidRDefault="008F141F">
      <w:pPr>
        <w:tabs>
          <w:tab w:val="left" w:pos="4962"/>
        </w:tabs>
        <w:spacing w:after="0" w:line="240" w:lineRule="auto"/>
        <w:ind w:firstLine="567"/>
        <w:jc w:val="both"/>
        <w:rPr>
          <w:sz w:val="24"/>
          <w:szCs w:val="24"/>
        </w:rPr>
      </w:pPr>
      <w:r>
        <w:rPr>
          <w:sz w:val="24"/>
          <w:szCs w:val="24"/>
        </w:rPr>
        <w:lastRenderedPageBreak/>
        <w:t xml:space="preserve">По-прежнему тренд на снижение рождаемости определяют факторы, заложенные прошлыми периодами. Сейчас семьи создают малочисленные поколения 90-х годов, что определяет текущую демографическую ситуацию, характерную для большей части субъектов Российской Федерации. </w:t>
      </w:r>
    </w:p>
    <w:p w:rsidR="007E27CB" w:rsidRDefault="008F141F">
      <w:pPr>
        <w:tabs>
          <w:tab w:val="left" w:pos="4962"/>
        </w:tabs>
        <w:spacing w:after="0" w:line="240" w:lineRule="auto"/>
        <w:ind w:firstLine="567"/>
        <w:jc w:val="both"/>
        <w:rPr>
          <w:sz w:val="24"/>
          <w:szCs w:val="24"/>
        </w:rPr>
      </w:pPr>
      <w:r>
        <w:rPr>
          <w:sz w:val="24"/>
          <w:szCs w:val="24"/>
        </w:rPr>
        <w:t>Кроме того, особенностью региона является наличие большого числа студентов (10% жителей областного центра), большинство из которых не стремятся заводить семью и рожать детей до окончания вуза.</w:t>
      </w:r>
    </w:p>
    <w:p w:rsidR="007E27CB" w:rsidRDefault="008F141F">
      <w:pPr>
        <w:tabs>
          <w:tab w:val="left" w:pos="4962"/>
        </w:tabs>
        <w:spacing w:after="0" w:line="240" w:lineRule="auto"/>
        <w:ind w:firstLine="567"/>
        <w:jc w:val="both"/>
        <w:rPr>
          <w:sz w:val="24"/>
          <w:szCs w:val="24"/>
          <w:lang w:eastAsia="ru-RU"/>
        </w:rPr>
      </w:pPr>
      <w:r>
        <w:rPr>
          <w:sz w:val="24"/>
          <w:szCs w:val="24"/>
        </w:rPr>
        <w:t>По показателям смертности Томская область в 2019 году продолжает сохранять одно из самых низких значений показателя по СФО и по Российской Федерации. Общий коэффициент смертности в регионе в 2019 году составил 11,2 случая на тысячу человек населения</w:t>
      </w:r>
      <w:r>
        <w:rPr>
          <w:sz w:val="24"/>
          <w:szCs w:val="24"/>
          <w:lang w:eastAsia="ru-RU"/>
        </w:rPr>
        <w:t xml:space="preserve">. В СФО показатель смертности существенно выше – 12,9 случаев на тысячу человек населения, в Российской Федерации – 12,3 случаев на 1 000 человек населения. </w:t>
      </w:r>
    </w:p>
    <w:p w:rsidR="007E27CB" w:rsidRDefault="008F141F">
      <w:pPr>
        <w:tabs>
          <w:tab w:val="left" w:pos="4962"/>
        </w:tabs>
        <w:spacing w:after="0" w:line="240" w:lineRule="auto"/>
        <w:ind w:firstLine="567"/>
        <w:jc w:val="both"/>
        <w:rPr>
          <w:sz w:val="24"/>
          <w:szCs w:val="24"/>
        </w:rPr>
      </w:pPr>
      <w:r>
        <w:rPr>
          <w:sz w:val="24"/>
          <w:szCs w:val="24"/>
        </w:rPr>
        <w:t>По итогам 2019 года коэффициент младенческой смертности снизился по сравнению с предыдущим годом на 13,7% и составил 4,4 случая на тысячу родившихся (в 2018 году – 5,1). Это самый низкий показатель среди субъектов, входящих в СФО (5,9), и один из самых низких в Российской Федерации (4,9).</w:t>
      </w:r>
    </w:p>
    <w:p w:rsidR="007E27CB" w:rsidRDefault="008F141F">
      <w:pPr>
        <w:tabs>
          <w:tab w:val="left" w:pos="4962"/>
        </w:tabs>
        <w:spacing w:after="0" w:line="240" w:lineRule="auto"/>
        <w:ind w:firstLine="567"/>
        <w:jc w:val="both"/>
        <w:rPr>
          <w:color w:val="0000FF"/>
          <w:sz w:val="24"/>
          <w:szCs w:val="24"/>
        </w:rPr>
      </w:pPr>
      <w:r>
        <w:rPr>
          <w:sz w:val="24"/>
          <w:szCs w:val="24"/>
        </w:rPr>
        <w:t xml:space="preserve">С учетом показателей по рождаемости и смертности естественная убыль населения в Томской области составила 1,5 на тысячу человек населения, что гораздо лучше среднероссийского значения </w:t>
      </w:r>
      <w:r>
        <w:rPr>
          <w:sz w:val="24"/>
          <w:szCs w:val="24"/>
          <w:lang w:eastAsia="ru-RU"/>
        </w:rPr>
        <w:t xml:space="preserve">–  </w:t>
      </w:r>
      <w:r>
        <w:rPr>
          <w:sz w:val="24"/>
          <w:szCs w:val="24"/>
        </w:rPr>
        <w:t xml:space="preserve">2,2 и среднего по СФО </w:t>
      </w:r>
      <w:r>
        <w:rPr>
          <w:sz w:val="24"/>
          <w:szCs w:val="24"/>
          <w:lang w:eastAsia="ru-RU"/>
        </w:rPr>
        <w:t xml:space="preserve">–  </w:t>
      </w:r>
      <w:r>
        <w:rPr>
          <w:sz w:val="24"/>
          <w:szCs w:val="24"/>
        </w:rPr>
        <w:t xml:space="preserve">2,5. </w:t>
      </w:r>
    </w:p>
    <w:p w:rsidR="007E27CB" w:rsidRDefault="008F141F">
      <w:pPr>
        <w:tabs>
          <w:tab w:val="left" w:pos="4962"/>
        </w:tabs>
        <w:spacing w:after="0" w:line="240" w:lineRule="auto"/>
        <w:ind w:firstLine="567"/>
        <w:jc w:val="both"/>
        <w:rPr>
          <w:sz w:val="24"/>
          <w:szCs w:val="24"/>
        </w:rPr>
      </w:pPr>
      <w:r>
        <w:rPr>
          <w:sz w:val="24"/>
          <w:szCs w:val="24"/>
        </w:rPr>
        <w:t>Важным фактором, стабилизирующим демографический потенциал региона, является компенсирование естественной убыли населения за счет миграционного прироста.</w:t>
      </w:r>
    </w:p>
    <w:p w:rsidR="007E27CB" w:rsidRDefault="008F141F">
      <w:pPr>
        <w:tabs>
          <w:tab w:val="left" w:pos="4962"/>
        </w:tabs>
        <w:spacing w:after="0" w:line="240" w:lineRule="auto"/>
        <w:ind w:firstLine="567"/>
        <w:jc w:val="both"/>
        <w:rPr>
          <w:sz w:val="24"/>
          <w:szCs w:val="24"/>
        </w:rPr>
      </w:pPr>
      <w:r>
        <w:rPr>
          <w:sz w:val="24"/>
          <w:szCs w:val="24"/>
        </w:rPr>
        <w:t>В 2019 году миграционная убыль населения сменилась миграционным приростом – число прибывших в регион превысило число лиц, покинувших регион, на 3,3 тыс. человек. Коэффициент миграционного прироста составил 3,0 на тысячу человек населения, в 2018 году  (-0,6).</w:t>
      </w:r>
    </w:p>
    <w:p w:rsidR="007E27CB" w:rsidRDefault="008F141F">
      <w:pPr>
        <w:tabs>
          <w:tab w:val="left" w:pos="4962"/>
        </w:tabs>
        <w:spacing w:after="0" w:line="240" w:lineRule="auto"/>
        <w:ind w:firstLine="567"/>
        <w:jc w:val="both"/>
        <w:rPr>
          <w:sz w:val="24"/>
          <w:szCs w:val="24"/>
        </w:rPr>
      </w:pPr>
      <w:r>
        <w:rPr>
          <w:sz w:val="24"/>
          <w:szCs w:val="24"/>
        </w:rPr>
        <w:t>Общий миграционный прирост обеспечен за счет увеличения в 5,3 раза международного миграционного притока, в том числе из стран СНГ (доля 95,3%) и из стран дальнего зарубежья.</w:t>
      </w:r>
    </w:p>
    <w:p w:rsidR="007E27CB" w:rsidRDefault="008F141F">
      <w:pPr>
        <w:tabs>
          <w:tab w:val="left" w:pos="4962"/>
        </w:tabs>
        <w:spacing w:after="0" w:line="240" w:lineRule="auto"/>
        <w:ind w:firstLine="567"/>
        <w:jc w:val="both"/>
        <w:rPr>
          <w:sz w:val="24"/>
          <w:szCs w:val="24"/>
        </w:rPr>
      </w:pPr>
      <w:r>
        <w:rPr>
          <w:sz w:val="24"/>
          <w:szCs w:val="24"/>
        </w:rPr>
        <w:t xml:space="preserve">При этом сохраняется миграционный отток населения из Томской области в другие регионы России, в первую очередь, в направлении крупных экономических центров: Москва, Санкт-Петербург, Новосибирск. За 2019 год он составил 2,6 тыс. человек, увеличившись на 47%. </w:t>
      </w:r>
    </w:p>
    <w:p w:rsidR="007E27CB" w:rsidRDefault="008F141F">
      <w:pPr>
        <w:tabs>
          <w:tab w:val="left" w:pos="4962"/>
        </w:tabs>
        <w:spacing w:after="0" w:line="240" w:lineRule="auto"/>
        <w:ind w:firstLine="567"/>
        <w:jc w:val="both"/>
        <w:rPr>
          <w:sz w:val="24"/>
          <w:szCs w:val="24"/>
        </w:rPr>
      </w:pPr>
      <w:r>
        <w:rPr>
          <w:sz w:val="24"/>
          <w:szCs w:val="24"/>
        </w:rPr>
        <w:t xml:space="preserve">В результате реализации мероприятий пенсионной реформы, в связи с поэтапным увеличением пенсионного возраста, в 2019 году изменилась демографическая возрастная структура населения. При одновременном сокращении доли населения старше трудоспособного возраста (на 1% в 2019 году) произошло увеличение доли лиц трудоспособного возраста (на 1% в 2019 году). </w:t>
      </w:r>
    </w:p>
    <w:p w:rsidR="007E27CB" w:rsidRDefault="008F141F">
      <w:pPr>
        <w:tabs>
          <w:tab w:val="left" w:pos="4962"/>
        </w:tabs>
        <w:spacing w:after="0" w:line="240" w:lineRule="auto"/>
        <w:ind w:firstLine="567"/>
        <w:jc w:val="both"/>
        <w:rPr>
          <w:sz w:val="24"/>
          <w:szCs w:val="24"/>
        </w:rPr>
      </w:pPr>
      <w:r>
        <w:rPr>
          <w:sz w:val="24"/>
          <w:szCs w:val="24"/>
        </w:rPr>
        <w:t>В результате коэффициент демографической нагрузки (соотношение численности детей и пожилых людей к числу людей трудоспособного возраста) в 2019 году снизился до 712,1 человек на тысячу человек трудоспособного населения (в 2018 году – 740,1).</w:t>
      </w:r>
    </w:p>
    <w:p w:rsidR="007E27CB" w:rsidRDefault="007E27CB">
      <w:pPr>
        <w:tabs>
          <w:tab w:val="left" w:pos="4962"/>
        </w:tabs>
        <w:spacing w:after="0" w:line="240" w:lineRule="auto"/>
        <w:jc w:val="both"/>
        <w:rPr>
          <w:b/>
          <w:sz w:val="24"/>
          <w:szCs w:val="24"/>
        </w:rPr>
      </w:pPr>
    </w:p>
    <w:p w:rsidR="007E27CB" w:rsidRDefault="008F141F">
      <w:pPr>
        <w:tabs>
          <w:tab w:val="left" w:pos="4962"/>
        </w:tabs>
        <w:spacing w:after="0" w:line="240" w:lineRule="auto"/>
        <w:ind w:firstLine="567"/>
        <w:jc w:val="both"/>
        <w:rPr>
          <w:b/>
          <w:sz w:val="24"/>
          <w:szCs w:val="24"/>
        </w:rPr>
      </w:pPr>
      <w:r>
        <w:rPr>
          <w:b/>
          <w:sz w:val="24"/>
          <w:szCs w:val="24"/>
        </w:rPr>
        <w:t xml:space="preserve">УРОВЕНЬ ЖИЗНИ НАСЕЛЕНИЯ </w:t>
      </w:r>
    </w:p>
    <w:p w:rsidR="007E27CB" w:rsidRDefault="007E27CB">
      <w:pPr>
        <w:tabs>
          <w:tab w:val="left" w:pos="4962"/>
        </w:tabs>
        <w:spacing w:after="0" w:line="240" w:lineRule="auto"/>
        <w:ind w:firstLine="567"/>
        <w:jc w:val="both"/>
        <w:rPr>
          <w:b/>
          <w:color w:val="FF0000"/>
          <w:sz w:val="24"/>
          <w:szCs w:val="24"/>
        </w:rPr>
      </w:pPr>
    </w:p>
    <w:p w:rsidR="007E27CB" w:rsidRDefault="008F141F">
      <w:pPr>
        <w:tabs>
          <w:tab w:val="left" w:pos="4962"/>
        </w:tabs>
        <w:spacing w:after="0" w:line="240" w:lineRule="auto"/>
        <w:ind w:firstLine="567"/>
        <w:jc w:val="both"/>
        <w:rPr>
          <w:sz w:val="24"/>
          <w:szCs w:val="24"/>
        </w:rPr>
      </w:pPr>
      <w:r>
        <w:rPr>
          <w:sz w:val="24"/>
          <w:szCs w:val="24"/>
        </w:rPr>
        <w:t>На повышение уровня жизни населения направлен комплекс мер по реализации Концепции повышения благосостояния населения Томской области.</w:t>
      </w:r>
    </w:p>
    <w:p w:rsidR="007E27CB" w:rsidRDefault="008F141F">
      <w:pPr>
        <w:tabs>
          <w:tab w:val="left" w:pos="4962"/>
        </w:tabs>
        <w:spacing w:after="0" w:line="240" w:lineRule="auto"/>
        <w:ind w:firstLine="567"/>
        <w:jc w:val="both"/>
        <w:rPr>
          <w:sz w:val="24"/>
          <w:szCs w:val="24"/>
        </w:rPr>
      </w:pPr>
      <w:r>
        <w:rPr>
          <w:sz w:val="24"/>
          <w:szCs w:val="24"/>
        </w:rPr>
        <w:t>Необходимым условием устойчивого роста уровня жизни населения является сохранение высоких темпов роста трудовых доходов населения. За 2019 год среднемесячная номинальная начисленная заработная плата увеличилась на 5,0% по сравнению с 2018 годом и составила 43,7 тыс. рублей. Рост заработной платы отмечен практически по всем наблюдаемым видам экономической деятельности.</w:t>
      </w:r>
    </w:p>
    <w:p w:rsidR="007E27CB" w:rsidRDefault="008F141F">
      <w:pPr>
        <w:tabs>
          <w:tab w:val="left" w:pos="4962"/>
        </w:tabs>
        <w:spacing w:after="0" w:line="240" w:lineRule="auto"/>
        <w:ind w:firstLine="567"/>
        <w:jc w:val="both"/>
        <w:rPr>
          <w:sz w:val="24"/>
          <w:szCs w:val="24"/>
        </w:rPr>
      </w:pPr>
      <w:r>
        <w:rPr>
          <w:sz w:val="24"/>
          <w:szCs w:val="24"/>
        </w:rPr>
        <w:lastRenderedPageBreak/>
        <w:t xml:space="preserve">Среди регионов СФО по номинальной величине заработной платы Томская область сохраняет место в тройке лидеров, уступая лишь Красноярскому краю и Иркутской области. </w:t>
      </w:r>
    </w:p>
    <w:p w:rsidR="007E27CB" w:rsidRDefault="008F141F">
      <w:pPr>
        <w:tabs>
          <w:tab w:val="left" w:pos="4962"/>
        </w:tabs>
        <w:spacing w:after="0" w:line="240" w:lineRule="auto"/>
        <w:ind w:firstLine="567"/>
        <w:jc w:val="both"/>
        <w:rPr>
          <w:sz w:val="24"/>
          <w:szCs w:val="24"/>
        </w:rPr>
      </w:pPr>
      <w:r>
        <w:rPr>
          <w:sz w:val="24"/>
          <w:szCs w:val="24"/>
        </w:rPr>
        <w:t xml:space="preserve">Бюджетный сектор экономики по-прежнему демонстрирует опережающие темпы роста заработной платы (105,4%). В бюджетной сфере региона, как и в целом по стране, продолжено исполнение обязательств по заработной плате, как для отдельных категорий работников социальной сферы и науки, подпадающих под действие майских указов, так и для прочих категорий работников бюджетной сферы. </w:t>
      </w:r>
    </w:p>
    <w:p w:rsidR="007E27CB" w:rsidRDefault="008F141F">
      <w:pPr>
        <w:tabs>
          <w:tab w:val="left" w:pos="4962"/>
        </w:tabs>
        <w:spacing w:after="0" w:line="240" w:lineRule="auto"/>
        <w:ind w:firstLine="567"/>
        <w:jc w:val="both"/>
        <w:rPr>
          <w:sz w:val="24"/>
          <w:szCs w:val="24"/>
        </w:rPr>
      </w:pPr>
      <w:r>
        <w:rPr>
          <w:sz w:val="24"/>
          <w:szCs w:val="24"/>
        </w:rPr>
        <w:t>В реальном секторе экономики заработная плата увеличилась на 104,8%. Динамику определяют более сдержанные темпы роста по группировке видов экономической деятельности «Промышленность» (103,4%), в составе которой увеличение по наиболее значимым отраслям составило:</w:t>
      </w:r>
    </w:p>
    <w:p w:rsidR="007E27CB" w:rsidRDefault="008F141F">
      <w:pPr>
        <w:pStyle w:val="a6"/>
        <w:numPr>
          <w:ilvl w:val="0"/>
          <w:numId w:val="31"/>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в добыче полезных ископаемых – 102,5%, что обусловлено продолжающимся снижением объемов добычи нефти и, соответственно, отсутствием возможности для более значительной индексации оплаты труда;</w:t>
      </w:r>
    </w:p>
    <w:p w:rsidR="007E27CB" w:rsidRDefault="008F141F">
      <w:pPr>
        <w:pStyle w:val="a6"/>
        <w:numPr>
          <w:ilvl w:val="0"/>
          <w:numId w:val="31"/>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в обрабатывающих производствах – 103,9%, что обусловлено более сдержанным увеличением индекса промышленного производства по сравнению с 2018 годом.</w:t>
      </w:r>
    </w:p>
    <w:p w:rsidR="007E27CB" w:rsidRDefault="008F141F">
      <w:pPr>
        <w:tabs>
          <w:tab w:val="left" w:pos="4962"/>
        </w:tabs>
        <w:spacing w:after="0" w:line="240" w:lineRule="auto"/>
        <w:jc w:val="both"/>
        <w:rPr>
          <w:sz w:val="24"/>
          <w:szCs w:val="24"/>
        </w:rPr>
      </w:pPr>
      <w:r>
        <w:rPr>
          <w:noProof/>
          <w:lang w:eastAsia="ru-RU"/>
        </w:rPr>
        <w:drawing>
          <wp:inline distT="0" distB="0" distL="0" distR="0">
            <wp:extent cx="5939790" cy="6160689"/>
            <wp:effectExtent l="0" t="0" r="381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7E27CB" w:rsidRDefault="008F141F">
      <w:pPr>
        <w:tabs>
          <w:tab w:val="left" w:pos="4962"/>
        </w:tabs>
        <w:spacing w:after="0" w:line="240" w:lineRule="auto"/>
        <w:ind w:firstLine="567"/>
        <w:jc w:val="both"/>
        <w:rPr>
          <w:sz w:val="24"/>
          <w:szCs w:val="24"/>
        </w:rPr>
      </w:pPr>
      <w:r>
        <w:rPr>
          <w:sz w:val="24"/>
          <w:szCs w:val="24"/>
        </w:rPr>
        <w:lastRenderedPageBreak/>
        <w:t xml:space="preserve">Развитие цифровой экономики способствовало динамичному росту заработной платы в области информации и связи – 115,6% к уровню предыдущего года. Специалисты этой сферы деятельности входят в топ-3 наиболее высокооплачиваемых по региону. </w:t>
      </w:r>
    </w:p>
    <w:p w:rsidR="007E27CB" w:rsidRDefault="008F141F">
      <w:pPr>
        <w:tabs>
          <w:tab w:val="left" w:pos="4962"/>
        </w:tabs>
        <w:spacing w:after="0" w:line="240" w:lineRule="auto"/>
        <w:ind w:firstLine="567"/>
        <w:jc w:val="both"/>
        <w:rPr>
          <w:strike/>
          <w:sz w:val="24"/>
          <w:szCs w:val="24"/>
        </w:rPr>
      </w:pPr>
      <w:r>
        <w:rPr>
          <w:sz w:val="24"/>
          <w:szCs w:val="24"/>
        </w:rPr>
        <w:t xml:space="preserve">Лидирующую позицию по величине заработной платы традиционно занимает добывающая отрасль, где заработная плата превышает среднеобластную в 2 раза. </w:t>
      </w:r>
    </w:p>
    <w:p w:rsidR="007E27CB" w:rsidRDefault="008F141F">
      <w:pPr>
        <w:tabs>
          <w:tab w:val="left" w:pos="4962"/>
        </w:tabs>
        <w:autoSpaceDE w:val="0"/>
        <w:autoSpaceDN w:val="0"/>
        <w:adjustRightInd w:val="0"/>
        <w:spacing w:after="0" w:line="240" w:lineRule="auto"/>
        <w:ind w:firstLine="567"/>
        <w:jc w:val="both"/>
        <w:rPr>
          <w:sz w:val="24"/>
          <w:szCs w:val="24"/>
        </w:rPr>
      </w:pPr>
      <w:r>
        <w:rPr>
          <w:sz w:val="24"/>
          <w:szCs w:val="24"/>
        </w:rPr>
        <w:t>По предварительным данным Томскстата, рост реальной заработной платы на территории Томской области в 2019 году составил 99,9%. Отрицательная динамика обусловлена, в первую очередь, высокой базой 2018 года: за счет доведения до целевых значений заработной платы работников, подпадающих под действие майских указов, индексации заработной платы прочих работников бюджетного сектора, а также повышения МРОТ в 1,4 раза рост реальной заработной платы стал максимальным для Томской области за последние 10 лет (108,5%).</w:t>
      </w:r>
    </w:p>
    <w:p w:rsidR="007E27CB" w:rsidRDefault="008F141F">
      <w:pPr>
        <w:tabs>
          <w:tab w:val="left" w:pos="4962"/>
        </w:tabs>
        <w:spacing w:after="0" w:line="240" w:lineRule="auto"/>
        <w:ind w:firstLine="567"/>
        <w:jc w:val="both"/>
        <w:rPr>
          <w:sz w:val="24"/>
          <w:szCs w:val="24"/>
        </w:rPr>
      </w:pPr>
      <w:r>
        <w:rPr>
          <w:sz w:val="24"/>
          <w:szCs w:val="24"/>
        </w:rPr>
        <w:t xml:space="preserve">Просроченная задолженность по заработной плате по состоянию на 1 января 2020 года составила 13,5 млн. рублей, что составляет менее 0,1% месячного фонда заработной платы работников наблюдаемых видов экономической деятельности. Сложившийся уровень задолженности остается одним из самых минимальных за последние 10 лет. Задолженность сформирована тремя организациями, две из которых являются банкротами. Просроченная задолженность по выплате заработной платы из бюджетов всех уровней отсутствует. </w:t>
      </w:r>
    </w:p>
    <w:p w:rsidR="007E27CB" w:rsidRDefault="008F141F">
      <w:pPr>
        <w:tabs>
          <w:tab w:val="left" w:pos="4962"/>
        </w:tabs>
        <w:spacing w:after="0" w:line="240" w:lineRule="auto"/>
        <w:ind w:firstLine="567"/>
        <w:jc w:val="both"/>
        <w:rPr>
          <w:sz w:val="24"/>
          <w:szCs w:val="24"/>
        </w:rPr>
      </w:pPr>
      <w:r>
        <w:rPr>
          <w:sz w:val="24"/>
          <w:szCs w:val="24"/>
        </w:rPr>
        <w:t xml:space="preserve">Наряду с ростом среднемесячной начисленной заработной платы уверенный рост показало пенсионное обеспечение (105,6%). По состоянию на 1 января 2020 года средний размер назначенных пенсий в Томской области составил 16,2 тыс. рублей (в целом по Российской Федерации </w:t>
      </w:r>
      <w:r>
        <w:rPr>
          <w:sz w:val="24"/>
          <w:szCs w:val="24"/>
          <w:lang w:eastAsia="ru-RU"/>
        </w:rPr>
        <w:t>–</w:t>
      </w:r>
      <w:r>
        <w:rPr>
          <w:sz w:val="24"/>
          <w:szCs w:val="24"/>
        </w:rPr>
        <w:t xml:space="preserve"> 14,9 тыс. рублей). </w:t>
      </w:r>
    </w:p>
    <w:p w:rsidR="007E27CB" w:rsidRDefault="008F141F">
      <w:pPr>
        <w:tabs>
          <w:tab w:val="left" w:pos="4962"/>
        </w:tabs>
        <w:spacing w:after="0" w:line="240" w:lineRule="auto"/>
        <w:ind w:firstLine="567"/>
        <w:jc w:val="both"/>
        <w:rPr>
          <w:sz w:val="24"/>
          <w:szCs w:val="24"/>
        </w:rPr>
      </w:pPr>
      <w:r>
        <w:rPr>
          <w:sz w:val="24"/>
          <w:szCs w:val="24"/>
        </w:rPr>
        <w:t xml:space="preserve">По размеру назначенных пенсий Томская область сохраняет лидирующую позицию среди регионов СФО и входит в топ-20 среди всех субъектов Российской Федерации. Рост пенсий в реальном выражении составил 102,4%, превысив динамику 2018 года (100,1%), что стало возможным благодаря реализации пенсионной реформы. </w:t>
      </w:r>
    </w:p>
    <w:p w:rsidR="007E27CB" w:rsidRDefault="008F141F">
      <w:pPr>
        <w:tabs>
          <w:tab w:val="left" w:pos="4962"/>
        </w:tabs>
        <w:spacing w:after="0" w:line="240" w:lineRule="auto"/>
        <w:ind w:firstLine="567"/>
        <w:jc w:val="both"/>
        <w:rPr>
          <w:sz w:val="24"/>
          <w:szCs w:val="24"/>
        </w:rPr>
      </w:pPr>
      <w:r>
        <w:rPr>
          <w:sz w:val="24"/>
          <w:szCs w:val="24"/>
        </w:rPr>
        <w:t xml:space="preserve">Таким образом, основные источники денежных доходов населения в 2019 году демонстрировали положительную динамику. Объем денежных доходов за год увеличился на 3,9% по сравнению с 2018 годом. Вместе с тем высокая среднегодовая инфляция и опережающий рост обязательных платежей не позволили реально располагаемым денежным доходам войти в зону положительных значений (98,6%). </w:t>
      </w:r>
    </w:p>
    <w:p w:rsidR="007E27CB" w:rsidRDefault="008F141F">
      <w:pPr>
        <w:spacing w:after="0" w:line="240" w:lineRule="auto"/>
        <w:ind w:firstLine="567"/>
        <w:jc w:val="both"/>
        <w:rPr>
          <w:strike/>
          <w:sz w:val="24"/>
          <w:szCs w:val="24"/>
        </w:rPr>
      </w:pPr>
      <w:r>
        <w:rPr>
          <w:sz w:val="24"/>
          <w:szCs w:val="24"/>
        </w:rPr>
        <w:t>Несмотря на снижение реальных располагаемых денежных доходов населения, показатели, косвенно свидетельствующие о позитивных изменениях уровня жизни, демонстрировали положительную динамику: увеличение продаж товаров длительного пользования (на 15%), расходов на покупку недвижимости (на 23%), уменьшение объема просроченной задолженности по предоставленным кредитам населению (на 10%).</w:t>
      </w:r>
      <w:r>
        <w:rPr>
          <w:color w:val="FF0000"/>
          <w:sz w:val="24"/>
          <w:szCs w:val="24"/>
        </w:rPr>
        <w:t xml:space="preserve"> </w:t>
      </w:r>
    </w:p>
    <w:p w:rsidR="007E27CB" w:rsidRDefault="008F141F">
      <w:pPr>
        <w:tabs>
          <w:tab w:val="left" w:pos="4962"/>
        </w:tabs>
        <w:spacing w:after="0" w:line="240" w:lineRule="auto"/>
        <w:ind w:firstLine="567"/>
        <w:jc w:val="both"/>
        <w:rPr>
          <w:sz w:val="24"/>
          <w:szCs w:val="24"/>
        </w:rPr>
      </w:pPr>
      <w:r>
        <w:rPr>
          <w:sz w:val="24"/>
          <w:szCs w:val="24"/>
        </w:rPr>
        <w:t>О положительной динамике уровня жизни населения Томской области свидетельствует снижение третий год подряд доли населения с денежными доходами ниже прожиточного минимума. По оценке в 2019 году уровень бедности составил 14,5% (98,6% к уровню прошлого года), что является минимальным значением за последние пять лет.</w:t>
      </w:r>
    </w:p>
    <w:p w:rsidR="007E27CB" w:rsidRDefault="008F141F">
      <w:pPr>
        <w:tabs>
          <w:tab w:val="left" w:pos="4962"/>
        </w:tabs>
        <w:spacing w:after="0" w:line="240" w:lineRule="auto"/>
        <w:ind w:firstLine="567"/>
        <w:jc w:val="both"/>
        <w:rPr>
          <w:sz w:val="24"/>
          <w:szCs w:val="24"/>
        </w:rPr>
      </w:pPr>
      <w:r>
        <w:rPr>
          <w:sz w:val="24"/>
          <w:szCs w:val="24"/>
        </w:rPr>
        <w:t xml:space="preserve">В целях выработки новых эффективных мер, направленных на рост реальных доходов населения и снижение бедности, Томская область в числе других 20 субъектов Российской Федерации реализует на своей территории пилотный проект. </w:t>
      </w:r>
    </w:p>
    <w:p w:rsidR="007E27CB" w:rsidRDefault="008F141F">
      <w:pPr>
        <w:tabs>
          <w:tab w:val="left" w:pos="4962"/>
        </w:tabs>
        <w:spacing w:after="0" w:line="240" w:lineRule="auto"/>
        <w:ind w:firstLine="567"/>
        <w:jc w:val="both"/>
        <w:rPr>
          <w:sz w:val="24"/>
          <w:szCs w:val="24"/>
        </w:rPr>
      </w:pPr>
      <w:r>
        <w:rPr>
          <w:sz w:val="24"/>
          <w:szCs w:val="24"/>
        </w:rPr>
        <w:t>В рамках первого года реализации пилотного проекта проведен многомерный анализ причин и структуры бедности на региональном уровне и в разрезе муниципальных образований. Среди демографических и социальных групп населения выявлены наиболее проблемные – это семьи с детьми и сельские жители. Разработан план мероприятий Томской области по снижению уровня бедности к 2024 году до 8,0%. Ключевым инструментом станет оказание государственной социальной помощи на основании социального контракта.</w:t>
      </w:r>
      <w:r>
        <w:rPr>
          <w:sz w:val="24"/>
          <w:szCs w:val="24"/>
        </w:rPr>
        <w:br w:type="page"/>
      </w:r>
    </w:p>
    <w:p w:rsidR="007E27CB" w:rsidRDefault="00987900">
      <w:pPr>
        <w:tabs>
          <w:tab w:val="left" w:pos="4962"/>
        </w:tabs>
        <w:spacing w:after="0" w:line="240" w:lineRule="auto"/>
        <w:rPr>
          <w:rFonts w:eastAsia="Times New Roman"/>
          <w:b/>
          <w:caps/>
          <w:sz w:val="24"/>
          <w:szCs w:val="24"/>
        </w:rPr>
      </w:pPr>
      <w:hyperlink r:id="rId13" w:history="1">
        <w:r w:rsidR="008F141F">
          <w:rPr>
            <w:rFonts w:eastAsia="Times New Roman"/>
            <w:b/>
            <w:caps/>
            <w:sz w:val="24"/>
            <w:szCs w:val="24"/>
          </w:rPr>
          <w:t>РАЗДЕЛ I</w:t>
        </w:r>
      </w:hyperlink>
    </w:p>
    <w:p w:rsidR="007E27CB" w:rsidRDefault="008F141F">
      <w:pPr>
        <w:tabs>
          <w:tab w:val="left" w:pos="4962"/>
        </w:tabs>
        <w:spacing w:after="0" w:line="240" w:lineRule="auto"/>
        <w:jc w:val="both"/>
        <w:rPr>
          <w:rFonts w:eastAsia="Times New Roman"/>
          <w:b/>
          <w:caps/>
          <w:sz w:val="24"/>
          <w:szCs w:val="24"/>
        </w:rPr>
      </w:pPr>
      <w:r>
        <w:rPr>
          <w:rFonts w:eastAsia="Times New Roman"/>
          <w:b/>
          <w:caps/>
          <w:sz w:val="24"/>
          <w:szCs w:val="24"/>
        </w:rPr>
        <w:t>Реализация модели интенсивного развития, включая развитие высокотехнологичных производств на основе потенциала научно-образовательного комплекса, создание условий для инвестиций, развитие предпринимательства</w:t>
      </w:r>
    </w:p>
    <w:p w:rsidR="007E27CB" w:rsidRDefault="007E27CB">
      <w:pPr>
        <w:tabs>
          <w:tab w:val="left" w:pos="4962"/>
        </w:tabs>
        <w:spacing w:after="0" w:line="240" w:lineRule="auto"/>
        <w:jc w:val="both"/>
        <w:rPr>
          <w:rFonts w:eastAsia="Times New Roman"/>
          <w:b/>
          <w:caps/>
          <w:sz w:val="24"/>
          <w:szCs w:val="24"/>
        </w:rPr>
      </w:pPr>
    </w:p>
    <w:p w:rsidR="007E27CB" w:rsidRDefault="008F141F">
      <w:pPr>
        <w:tabs>
          <w:tab w:val="left" w:pos="4962"/>
        </w:tabs>
        <w:spacing w:after="0" w:line="240" w:lineRule="auto"/>
        <w:ind w:left="567" w:hanging="567"/>
        <w:jc w:val="both"/>
        <w:rPr>
          <w:rFonts w:eastAsia="Times New Roman"/>
          <w:b/>
          <w:sz w:val="24"/>
          <w:szCs w:val="24"/>
        </w:rPr>
      </w:pPr>
      <w:r>
        <w:rPr>
          <w:rFonts w:eastAsia="Times New Roman"/>
          <w:b/>
          <w:sz w:val="24"/>
          <w:szCs w:val="24"/>
        </w:rPr>
        <w:t>1.1. Обеспечение развития промышленности и предпринимательства</w:t>
      </w:r>
    </w:p>
    <w:p w:rsidR="007E27CB" w:rsidRDefault="007E27CB">
      <w:pPr>
        <w:tabs>
          <w:tab w:val="left" w:pos="4962"/>
        </w:tabs>
        <w:spacing w:after="0" w:line="240" w:lineRule="auto"/>
        <w:ind w:firstLine="567"/>
        <w:jc w:val="both"/>
        <w:rPr>
          <w:b/>
          <w:bCs/>
          <w:sz w:val="24"/>
          <w:szCs w:val="24"/>
        </w:rPr>
      </w:pPr>
    </w:p>
    <w:p w:rsidR="007E27CB" w:rsidRDefault="008F141F">
      <w:pPr>
        <w:tabs>
          <w:tab w:val="left" w:pos="4962"/>
        </w:tabs>
        <w:spacing w:after="0" w:line="240" w:lineRule="auto"/>
        <w:ind w:firstLine="567"/>
        <w:jc w:val="both"/>
        <w:rPr>
          <w:b/>
          <w:bCs/>
          <w:sz w:val="24"/>
          <w:szCs w:val="24"/>
        </w:rPr>
      </w:pPr>
      <w:r>
        <w:rPr>
          <w:b/>
          <w:bCs/>
          <w:sz w:val="24"/>
          <w:szCs w:val="24"/>
        </w:rPr>
        <w:t>ПРОМЫШЛЕННОЕ ПРОИЗВОДСТВО</w:t>
      </w:r>
    </w:p>
    <w:p w:rsidR="007E27CB" w:rsidRDefault="007E27CB">
      <w:pPr>
        <w:tabs>
          <w:tab w:val="left" w:pos="4962"/>
        </w:tabs>
        <w:spacing w:after="0" w:line="240" w:lineRule="auto"/>
        <w:ind w:firstLine="567"/>
        <w:jc w:val="both"/>
        <w:rPr>
          <w:b/>
          <w:sz w:val="24"/>
          <w:szCs w:val="24"/>
        </w:rPr>
      </w:pPr>
    </w:p>
    <w:p w:rsidR="007E27CB" w:rsidRDefault="008F141F">
      <w:pPr>
        <w:spacing w:after="0" w:line="240" w:lineRule="auto"/>
        <w:ind w:firstLine="567"/>
        <w:jc w:val="both"/>
        <w:outlineLvl w:val="1"/>
        <w:rPr>
          <w:rFonts w:eastAsia="Times New Roman"/>
          <w:sz w:val="24"/>
          <w:szCs w:val="24"/>
          <w:lang w:eastAsia="x-none"/>
        </w:rPr>
      </w:pPr>
      <w:r>
        <w:rPr>
          <w:rFonts w:eastAsia="Times New Roman"/>
          <w:sz w:val="24"/>
          <w:szCs w:val="24"/>
          <w:lang w:eastAsia="x-none"/>
        </w:rPr>
        <w:t xml:space="preserve">Более 40% ВРП Томской области формирует промышленность, в которой доля добычи полезных ископаемых составляет 43%, обрабатывающих производств – 46%. </w:t>
      </w:r>
    </w:p>
    <w:p w:rsidR="007E27CB" w:rsidRDefault="008F141F">
      <w:pPr>
        <w:spacing w:after="0" w:line="240" w:lineRule="auto"/>
        <w:ind w:firstLine="567"/>
        <w:jc w:val="both"/>
        <w:outlineLvl w:val="1"/>
        <w:rPr>
          <w:rFonts w:eastAsia="Times New Roman"/>
          <w:sz w:val="24"/>
          <w:szCs w:val="24"/>
          <w:lang w:eastAsia="x-none"/>
        </w:rPr>
      </w:pPr>
      <w:r>
        <w:rPr>
          <w:rFonts w:eastAsia="Times New Roman"/>
          <w:sz w:val="24"/>
          <w:szCs w:val="24"/>
          <w:lang w:eastAsia="x-none"/>
        </w:rPr>
        <w:t>Технологическое развитие промышленности, заложенное в основу реализации первого этапа Стратегии социально-экономического развития Томской области до 2030 года, нашло отражение в модернизации производственной деятельности томских компаний и увеличении производительности труда за счет внедрения системы бережливого производства.</w:t>
      </w:r>
    </w:p>
    <w:p w:rsidR="007E27CB" w:rsidRDefault="008F141F">
      <w:pPr>
        <w:tabs>
          <w:tab w:val="left" w:pos="993"/>
          <w:tab w:val="left" w:pos="4962"/>
        </w:tabs>
        <w:spacing w:after="0" w:line="240" w:lineRule="auto"/>
        <w:ind w:firstLine="567"/>
        <w:jc w:val="both"/>
        <w:rPr>
          <w:rFonts w:eastAsia="Times New Roman"/>
          <w:sz w:val="24"/>
          <w:szCs w:val="24"/>
        </w:rPr>
      </w:pPr>
      <w:r>
        <w:rPr>
          <w:rFonts w:eastAsia="Times New Roman"/>
          <w:sz w:val="24"/>
          <w:szCs w:val="24"/>
        </w:rPr>
        <w:t xml:space="preserve">Производственный индекс в промышленности по итогам 2019 года составил 100% в первую очередь за счет обрабатывающих производств, где рост составил 103,7%. В добыче полезных ископаемых производственный индекс составил 95,4%, в энергетике – 97%, в водоснабжении, водоотведении, организации сбора и утилизации отходов, деятельности по ликвидации загрязнений – 97,3%. </w:t>
      </w:r>
    </w:p>
    <w:p w:rsidR="007E27CB" w:rsidRDefault="008F141F">
      <w:pPr>
        <w:tabs>
          <w:tab w:val="left" w:pos="993"/>
          <w:tab w:val="left" w:pos="4962"/>
        </w:tabs>
        <w:spacing w:after="0" w:line="240" w:lineRule="auto"/>
        <w:ind w:firstLine="567"/>
        <w:jc w:val="both"/>
        <w:rPr>
          <w:rFonts w:eastAsia="Times New Roman"/>
          <w:sz w:val="24"/>
          <w:szCs w:val="24"/>
        </w:rPr>
      </w:pPr>
      <w:r>
        <w:rPr>
          <w:rFonts w:eastAsia="Times New Roman"/>
          <w:sz w:val="24"/>
          <w:szCs w:val="24"/>
        </w:rPr>
        <w:t>С целью эффективного развития промышленного сектора Томской области, соответствующего российским и мировым тенденциям, используются такие инструменты и механизмы, как:</w:t>
      </w:r>
    </w:p>
    <w:p w:rsidR="007E27CB" w:rsidRDefault="008F141F">
      <w:pPr>
        <w:pStyle w:val="a6"/>
        <w:numPr>
          <w:ilvl w:val="0"/>
          <w:numId w:val="115"/>
        </w:numPr>
        <w:tabs>
          <w:tab w:val="left" w:pos="851"/>
        </w:tabs>
        <w:autoSpaceDE w:val="0"/>
        <w:autoSpaceDN w:val="0"/>
        <w:spacing w:after="0" w:line="240" w:lineRule="auto"/>
        <w:ind w:left="0" w:firstLine="567"/>
        <w:jc w:val="both"/>
        <w:rPr>
          <w:rFonts w:ascii="Times New Roman" w:hAnsi="Times New Roman"/>
          <w:sz w:val="24"/>
          <w:szCs w:val="24"/>
        </w:rPr>
      </w:pPr>
      <w:r>
        <w:rPr>
          <w:rFonts w:ascii="Times New Roman" w:hAnsi="Times New Roman"/>
          <w:sz w:val="24"/>
          <w:szCs w:val="24"/>
        </w:rPr>
        <w:t>реализация планов мероприятий («дорожных карт») по расширению использования продукции и технологий предприятий Томской области, в том числе импортозамещающих, для вертикально интегрированных компаний России. На сегодняшний день действуют семь «дорожных карт»: ПАО «Газпром», ПАО «Газпромнефть», ПАО «Интер РАО», ПАО «Россети», ПАО «Сибур Холдинг», ПАО «НК Роснефть», АО «ТВЭЛ». В 2020 году планируется подписать еще одну «дорожную карту» с концерном военно-космической обороны «Алмаз-Антей».</w:t>
      </w:r>
    </w:p>
    <w:p w:rsidR="007E27CB" w:rsidRDefault="008F141F">
      <w:pPr>
        <w:tabs>
          <w:tab w:val="left" w:pos="851"/>
        </w:tabs>
        <w:spacing w:after="0" w:line="240" w:lineRule="auto"/>
        <w:ind w:firstLine="567"/>
        <w:jc w:val="both"/>
        <w:rPr>
          <w:sz w:val="24"/>
          <w:szCs w:val="24"/>
        </w:rPr>
      </w:pPr>
      <w:r>
        <w:rPr>
          <w:sz w:val="24"/>
          <w:szCs w:val="24"/>
        </w:rPr>
        <w:t xml:space="preserve">С 2013 по 2019 год общий объем поставок продукции томских компаний в рамках реализации «дорожных карт» составил более 55 млрд. рублей. </w:t>
      </w:r>
    </w:p>
    <w:p w:rsidR="007E27CB" w:rsidRDefault="008F141F">
      <w:pPr>
        <w:tabs>
          <w:tab w:val="left" w:pos="851"/>
        </w:tabs>
        <w:spacing w:after="0" w:line="240" w:lineRule="auto"/>
        <w:ind w:firstLine="567"/>
        <w:jc w:val="both"/>
        <w:rPr>
          <w:sz w:val="24"/>
          <w:szCs w:val="24"/>
        </w:rPr>
      </w:pPr>
      <w:r>
        <w:rPr>
          <w:sz w:val="24"/>
          <w:szCs w:val="24"/>
        </w:rPr>
        <w:t>Учитывая успешное сотрудничество томских организаций с крупными российскими компаниями, в 2020 году планируется актуализация ряда «дорожных карт». Томские предприятия готовы предложить компаниям новые проекты по организации производства импортозамещающих видов продукции.</w:t>
      </w:r>
    </w:p>
    <w:p w:rsidR="007E27CB" w:rsidRDefault="008F141F">
      <w:pPr>
        <w:tabs>
          <w:tab w:val="left" w:pos="851"/>
        </w:tabs>
        <w:spacing w:after="0" w:line="240" w:lineRule="auto"/>
        <w:ind w:firstLine="567"/>
        <w:jc w:val="both"/>
        <w:rPr>
          <w:sz w:val="24"/>
          <w:szCs w:val="24"/>
        </w:rPr>
      </w:pPr>
      <w:r>
        <w:rPr>
          <w:sz w:val="24"/>
          <w:szCs w:val="24"/>
        </w:rPr>
        <w:t>Взаимодействие с крупными холдингами позволило томским предприятиям зарекомендовать себя в качестве надежных и значимых партнеров, производящих импортозамещающую продукцию высокого качества;</w:t>
      </w:r>
    </w:p>
    <w:p w:rsidR="007E27CB" w:rsidRDefault="008F141F">
      <w:pPr>
        <w:pStyle w:val="a6"/>
        <w:numPr>
          <w:ilvl w:val="0"/>
          <w:numId w:val="115"/>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 достижение стратегических целей опирается на производственную и технологическую базу промышленных предприятий региона, которая создана в последние годы в рамках программ импортозамещения и технического перевооружения. </w:t>
      </w:r>
    </w:p>
    <w:p w:rsidR="007E27CB" w:rsidRDefault="008F141F">
      <w:pPr>
        <w:tabs>
          <w:tab w:val="left" w:pos="993"/>
          <w:tab w:val="left" w:pos="4962"/>
        </w:tabs>
        <w:spacing w:after="0" w:line="240" w:lineRule="auto"/>
        <w:ind w:firstLine="567"/>
        <w:jc w:val="both"/>
        <w:rPr>
          <w:rFonts w:eastAsia="Calibri"/>
          <w:sz w:val="24"/>
          <w:szCs w:val="24"/>
        </w:rPr>
      </w:pPr>
      <w:r>
        <w:rPr>
          <w:rFonts w:eastAsia="Calibri"/>
          <w:sz w:val="24"/>
          <w:szCs w:val="24"/>
        </w:rPr>
        <w:t>Для вовлечения промышленных предприятий в государственные и муниципальные закупки сформирована потребность заказчиков Томской области в продукции, включенной в номенклатурный Перечень Минпромторга России, с указанием планируемого объема закупок до 2024 года. Эта работа будет продолжена в 2020 году.</w:t>
      </w:r>
      <w:r>
        <w:rPr>
          <w:sz w:val="24"/>
          <w:szCs w:val="24"/>
        </w:rPr>
        <w:t xml:space="preserve"> П</w:t>
      </w:r>
      <w:r>
        <w:rPr>
          <w:rFonts w:eastAsia="Calibri"/>
          <w:sz w:val="24"/>
          <w:szCs w:val="24"/>
        </w:rPr>
        <w:t>ланируется внесение изменений в ряд федеральных нормативных актов, которыми будет предусмотрена приоритетная государственная поддержка мероприятий, направленных на разработку и серийное производство российской промышленной продукции, входящей в Перечень, а также преференции при ее закупках для государственных нужд.</w:t>
      </w:r>
    </w:p>
    <w:p w:rsidR="007E27CB" w:rsidRDefault="008F141F">
      <w:pPr>
        <w:tabs>
          <w:tab w:val="left" w:pos="993"/>
          <w:tab w:val="left" w:pos="4962"/>
        </w:tabs>
        <w:spacing w:after="0" w:line="240" w:lineRule="auto"/>
        <w:ind w:firstLine="567"/>
        <w:jc w:val="both"/>
        <w:rPr>
          <w:rFonts w:eastAsia="Calibri"/>
          <w:sz w:val="24"/>
          <w:szCs w:val="24"/>
        </w:rPr>
      </w:pPr>
      <w:r>
        <w:rPr>
          <w:sz w:val="24"/>
          <w:szCs w:val="24"/>
          <w:shd w:val="clear" w:color="auto" w:fill="FFFFFF"/>
        </w:rPr>
        <w:lastRenderedPageBreak/>
        <w:t>В соответствии с региональным проектом «Промышленный экспорт» национального проекта «Международная кооперация и экспорт»</w:t>
      </w:r>
      <w:r>
        <w:rPr>
          <w:rStyle w:val="af3"/>
          <w:rFonts w:eastAsia="Calibri"/>
          <w:sz w:val="24"/>
          <w:szCs w:val="24"/>
        </w:rPr>
        <w:footnoteReference w:id="3"/>
      </w:r>
      <w:r>
        <w:rPr>
          <w:sz w:val="24"/>
          <w:szCs w:val="24"/>
          <w:shd w:val="clear" w:color="auto" w:fill="FFFFFF"/>
        </w:rPr>
        <w:t xml:space="preserve"> на территории Томской области, в 2019 </w:t>
      </w:r>
      <w:r>
        <w:rPr>
          <w:sz w:val="24"/>
          <w:szCs w:val="24"/>
        </w:rPr>
        <w:t xml:space="preserve">году </w:t>
      </w:r>
      <w:r>
        <w:rPr>
          <w:sz w:val="24"/>
          <w:szCs w:val="24"/>
          <w:shd w:val="clear" w:color="auto" w:fill="FFFFFF"/>
        </w:rPr>
        <w:t>проведен первый квалификационный отбор на возможность заключения с Минпромторгом России соглашений о реализации корпоративных программ повышения конкурентоспособности</w:t>
      </w:r>
      <w:r>
        <w:rPr>
          <w:sz w:val="24"/>
          <w:szCs w:val="24"/>
        </w:rPr>
        <w:t>, сформирован и направлен в Минпромторг России перечень производителей регионального значения, в который вошли 7 томских предприятий (ОАО «Манотомь», ЗАО «НПК «Полимер-Компаунд», ООО «Лес-Экспорт», ООО «ТомИУС-ПРОЕКТ», АО «НПФ «Микран», ООО «Томсккабель», ООО «Томлесдрев»). С четырьмя предприятиями:  «Манотомь», «НПК «Полимер-Компаунд», «Томлесдрев» и «Лес-Экспорт» заключены соглашения о реализации корпоративных программ повышения конкурентоспособности, и эти предприятия смогут получить государственную поддержку в виде субсидирования 4,5 процентных пункта от ставки банковского кредита. В рамках реализации корпоративных программ повышения конкурентоспособности на 2020 год предусмотрено 518,7 млн. рублей за счет собственных и заемных средств на реализацию инвестиционных проектов по организации экспортно ориентированных производств.</w:t>
      </w:r>
    </w:p>
    <w:p w:rsidR="007E27CB" w:rsidRDefault="008F141F">
      <w:pPr>
        <w:tabs>
          <w:tab w:val="left" w:pos="993"/>
          <w:tab w:val="left" w:pos="4962"/>
        </w:tabs>
        <w:spacing w:after="0" w:line="240" w:lineRule="auto"/>
        <w:ind w:firstLine="567"/>
        <w:jc w:val="both"/>
        <w:rPr>
          <w:rFonts w:eastAsia="Calibri"/>
          <w:sz w:val="24"/>
          <w:szCs w:val="24"/>
        </w:rPr>
      </w:pPr>
      <w:r>
        <w:rPr>
          <w:rFonts w:eastAsia="Calibri"/>
          <w:sz w:val="24"/>
          <w:szCs w:val="24"/>
        </w:rPr>
        <w:t>Итогом реализации указанных программ будет модернизация двух действующих производств, создание одного нового производства и повышение конкурентоспособности продукции четвертого производства;</w:t>
      </w:r>
    </w:p>
    <w:p w:rsidR="007E27CB" w:rsidRDefault="008F141F">
      <w:pPr>
        <w:tabs>
          <w:tab w:val="left" w:pos="993"/>
          <w:tab w:val="left" w:pos="4962"/>
        </w:tabs>
        <w:spacing w:after="0" w:line="240" w:lineRule="auto"/>
        <w:ind w:firstLine="567"/>
        <w:jc w:val="both"/>
        <w:rPr>
          <w:rFonts w:eastAsia="Times New Roman"/>
          <w:sz w:val="24"/>
          <w:szCs w:val="24"/>
          <w:lang w:eastAsia="ru-RU"/>
        </w:rPr>
      </w:pPr>
      <w:r>
        <w:rPr>
          <w:rFonts w:eastAsia="Calibri"/>
          <w:sz w:val="24"/>
          <w:szCs w:val="24"/>
        </w:rPr>
        <w:t xml:space="preserve"> 3) применение инструментов промышленной политики (поддержка развития промышленных парков, особой экономической зоны технико-внедренческого типа на территории города Томска и пр.) и новых форм государственной поддержки субъектов деятельности в сфере промышленности. Так, одним из наиболее эффективных инструментов поддержки является Фонд развития промышленности.</w:t>
      </w:r>
      <w:r>
        <w:rPr>
          <w:rFonts w:eastAsia="Times New Roman"/>
          <w:sz w:val="24"/>
          <w:szCs w:val="24"/>
          <w:lang w:eastAsia="ru-RU"/>
        </w:rPr>
        <w:t xml:space="preserve"> Томскими компаниями уже реализовано 3 проекта с привлечением льготных заемных средств Фонда, в том числе:</w:t>
      </w:r>
    </w:p>
    <w:p w:rsidR="007E27CB" w:rsidRDefault="008F141F">
      <w:pPr>
        <w:pStyle w:val="a6"/>
        <w:numPr>
          <w:ilvl w:val="0"/>
          <w:numId w:val="144"/>
        </w:numPr>
        <w:tabs>
          <w:tab w:val="left" w:pos="993"/>
        </w:tabs>
        <w:spacing w:after="0" w:line="240" w:lineRule="auto"/>
        <w:ind w:left="0"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«Томский инструментальный завод» создал высокотехнологичное производство режущего инструмента</w:t>
      </w:r>
      <w:r>
        <w:rPr>
          <w:rFonts w:ascii="Times New Roman" w:hAnsi="Times New Roman"/>
          <w:sz w:val="24"/>
          <w:szCs w:val="24"/>
        </w:rPr>
        <w:t xml:space="preserve"> </w:t>
      </w:r>
      <w:r>
        <w:rPr>
          <w:rFonts w:ascii="Times New Roman" w:eastAsia="Times New Roman" w:hAnsi="Times New Roman"/>
          <w:sz w:val="24"/>
          <w:szCs w:val="24"/>
          <w:lang w:eastAsia="ru-RU"/>
        </w:rPr>
        <w:t>с износостойкими покрытиями для обработки легких и титановых сплавов;</w:t>
      </w:r>
    </w:p>
    <w:p w:rsidR="007E27CB" w:rsidRDefault="008F141F">
      <w:pPr>
        <w:pStyle w:val="a6"/>
        <w:numPr>
          <w:ilvl w:val="0"/>
          <w:numId w:val="144"/>
        </w:numPr>
        <w:tabs>
          <w:tab w:val="left" w:pos="993"/>
        </w:tabs>
        <w:spacing w:after="0" w:line="240" w:lineRule="auto"/>
        <w:ind w:left="0"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«Сибкабель» приобрел и ввел в эксплуатацию новую линию непрерывной вулканизации</w:t>
      </w:r>
      <w:r>
        <w:rPr>
          <w:rFonts w:ascii="Times New Roman" w:hAnsi="Times New Roman"/>
          <w:sz w:val="24"/>
          <w:szCs w:val="24"/>
        </w:rPr>
        <w:t xml:space="preserve"> </w:t>
      </w:r>
      <w:r>
        <w:rPr>
          <w:rFonts w:ascii="Times New Roman" w:eastAsia="Times New Roman" w:hAnsi="Times New Roman"/>
          <w:sz w:val="24"/>
          <w:szCs w:val="24"/>
          <w:lang w:eastAsia="ru-RU"/>
        </w:rPr>
        <w:t>для кабелей с резиновой изоляцией;</w:t>
      </w:r>
    </w:p>
    <w:p w:rsidR="007E27CB" w:rsidRDefault="008F141F">
      <w:pPr>
        <w:pStyle w:val="a6"/>
        <w:numPr>
          <w:ilvl w:val="0"/>
          <w:numId w:val="144"/>
        </w:numPr>
        <w:tabs>
          <w:tab w:val="left" w:pos="993"/>
        </w:tabs>
        <w:spacing w:after="0" w:line="240" w:lineRule="auto"/>
        <w:ind w:left="0"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«ЭлеСи» организовало производство электронных печатных плат по технологии автоматического поверхностного монтажа.</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Суммарно объем инвестиций в указанные проекты составил около 600 млн. рублей, в том числе средств Фонда – около 250 млн. рублей.</w:t>
      </w:r>
    </w:p>
    <w:p w:rsidR="007E27CB" w:rsidRDefault="008F141F">
      <w:pPr>
        <w:spacing w:after="0" w:line="240" w:lineRule="auto"/>
        <w:ind w:firstLine="567"/>
        <w:jc w:val="both"/>
        <w:rPr>
          <w:rFonts w:eastAsia="Times New Roman"/>
          <w:sz w:val="24"/>
          <w:szCs w:val="24"/>
          <w:lang w:eastAsia="ru-RU"/>
        </w:rPr>
      </w:pPr>
      <w:r>
        <w:rPr>
          <w:rFonts w:eastAsia="Calibri"/>
          <w:sz w:val="24"/>
          <w:szCs w:val="24"/>
        </w:rPr>
        <w:t xml:space="preserve">В 2019 году Экспертным советом Фонда развития промышленности одобрено предоставление займа ООО «Интергласс» в размере 244 млн. рублей сроком на 5 лет для реализации первого этапа проекта по развитию стеклотарного завода в п. Самусь, ЗАТО Северск. На первом этапе будет проведена модернизация стекловаренной печи и дооснащение технологическим оборудованием (поставщик </w:t>
      </w:r>
      <w:r>
        <w:rPr>
          <w:sz w:val="24"/>
          <w:szCs w:val="24"/>
          <w:lang w:eastAsia="ru-RU"/>
        </w:rPr>
        <w:t>–</w:t>
      </w:r>
      <w:r>
        <w:rPr>
          <w:rFonts w:eastAsia="Calibri"/>
          <w:sz w:val="24"/>
          <w:szCs w:val="24"/>
        </w:rPr>
        <w:t xml:space="preserve"> Markus Trading s.r.o. Чехия). </w:t>
      </w:r>
    </w:p>
    <w:p w:rsidR="007E27CB" w:rsidRDefault="007E27CB">
      <w:pPr>
        <w:tabs>
          <w:tab w:val="left" w:pos="4962"/>
        </w:tabs>
        <w:spacing w:after="0" w:line="240" w:lineRule="auto"/>
        <w:ind w:firstLine="567"/>
        <w:jc w:val="both"/>
        <w:rPr>
          <w:rFonts w:eastAsia="Calibri"/>
          <w:b/>
          <w:sz w:val="24"/>
          <w:szCs w:val="24"/>
        </w:rPr>
      </w:pPr>
    </w:p>
    <w:p w:rsidR="007E27CB" w:rsidRDefault="008F141F">
      <w:pPr>
        <w:tabs>
          <w:tab w:val="left" w:pos="4962"/>
        </w:tabs>
        <w:spacing w:after="0" w:line="240" w:lineRule="auto"/>
        <w:ind w:firstLine="567"/>
        <w:jc w:val="both"/>
        <w:rPr>
          <w:rFonts w:eastAsia="Calibri"/>
          <w:b/>
          <w:sz w:val="24"/>
          <w:szCs w:val="24"/>
        </w:rPr>
      </w:pPr>
      <w:r>
        <w:rPr>
          <w:rFonts w:eastAsia="Calibri"/>
          <w:b/>
          <w:sz w:val="24"/>
          <w:szCs w:val="24"/>
        </w:rPr>
        <w:t>ДОБЫЧА УГЛЕВОДОРОДНОГО СЫРЬЯ</w:t>
      </w:r>
    </w:p>
    <w:p w:rsidR="007E27CB" w:rsidRDefault="007E27CB">
      <w:pPr>
        <w:tabs>
          <w:tab w:val="left" w:pos="4962"/>
        </w:tabs>
        <w:spacing w:after="0" w:line="240" w:lineRule="auto"/>
        <w:ind w:firstLine="567"/>
        <w:jc w:val="both"/>
        <w:rPr>
          <w:rFonts w:eastAsia="Calibri"/>
          <w:b/>
          <w:sz w:val="24"/>
          <w:szCs w:val="24"/>
        </w:rPr>
      </w:pPr>
    </w:p>
    <w:p w:rsidR="007E27CB" w:rsidRDefault="008F141F">
      <w:pPr>
        <w:tabs>
          <w:tab w:val="left" w:pos="4962"/>
        </w:tabs>
        <w:spacing w:after="0" w:line="240" w:lineRule="auto"/>
        <w:ind w:firstLine="567"/>
        <w:jc w:val="both"/>
        <w:rPr>
          <w:rFonts w:eastAsia="Calibri"/>
          <w:sz w:val="24"/>
          <w:szCs w:val="24"/>
        </w:rPr>
      </w:pPr>
      <w:r>
        <w:rPr>
          <w:rFonts w:eastAsia="Calibri"/>
          <w:sz w:val="24"/>
          <w:szCs w:val="24"/>
        </w:rPr>
        <w:t>Отрицательная динамика в объемах добычи нефти, включая газовый конденсат, наблюдается с 2013 года. Причиной является увеличение трудноизвлекаемых запасов, труднодоступность месторождений, низкая дебетовость скважин. Производственный индекс по итогам 2019 года составил 95,4%, снижение к уровню 2013 года на 20,3%.</w:t>
      </w:r>
    </w:p>
    <w:p w:rsidR="007E27CB" w:rsidRDefault="007E27CB">
      <w:pPr>
        <w:tabs>
          <w:tab w:val="left" w:pos="4962"/>
        </w:tabs>
        <w:spacing w:after="0" w:line="240" w:lineRule="auto"/>
        <w:ind w:firstLine="567"/>
        <w:jc w:val="both"/>
        <w:rPr>
          <w:rFonts w:eastAsia="Calibri"/>
          <w:sz w:val="24"/>
          <w:szCs w:val="24"/>
        </w:rPr>
      </w:pPr>
    </w:p>
    <w:p w:rsidR="007E27CB" w:rsidRDefault="007E27CB">
      <w:pPr>
        <w:tabs>
          <w:tab w:val="left" w:pos="4962"/>
        </w:tabs>
        <w:spacing w:after="0" w:line="240" w:lineRule="auto"/>
        <w:ind w:firstLine="567"/>
        <w:jc w:val="both"/>
        <w:rPr>
          <w:rFonts w:eastAsia="Calibri"/>
          <w:sz w:val="24"/>
          <w:szCs w:val="24"/>
        </w:rPr>
      </w:pPr>
    </w:p>
    <w:p w:rsidR="007E27CB" w:rsidRDefault="008F141F">
      <w:pPr>
        <w:tabs>
          <w:tab w:val="left" w:pos="4962"/>
        </w:tabs>
        <w:spacing w:after="0" w:line="240" w:lineRule="auto"/>
        <w:ind w:firstLine="567"/>
        <w:jc w:val="both"/>
        <w:rPr>
          <w:rFonts w:eastAsia="Calibri"/>
          <w:sz w:val="24"/>
          <w:szCs w:val="24"/>
        </w:rPr>
      </w:pPr>
      <w:r>
        <w:rPr>
          <w:rFonts w:eastAsia="Calibri"/>
          <w:sz w:val="24"/>
          <w:szCs w:val="24"/>
        </w:rPr>
        <w:lastRenderedPageBreak/>
        <w:t>По объему добычи газа динамика стабильная, по данным Томскстата:</w:t>
      </w:r>
    </w:p>
    <w:tbl>
      <w:tblPr>
        <w:tblpPr w:leftFromText="180" w:rightFromText="180" w:bottomFromText="200" w:vertAnchor="text" w:horzAnchor="margin" w:tblpX="108" w:tblpY="135"/>
        <w:tblW w:w="9322" w:type="dxa"/>
        <w:tblCellMar>
          <w:left w:w="0" w:type="dxa"/>
          <w:right w:w="0" w:type="dxa"/>
        </w:tblCellMar>
        <w:tblLook w:val="04A0" w:firstRow="1" w:lastRow="0" w:firstColumn="1" w:lastColumn="0" w:noHBand="0" w:noVBand="1"/>
      </w:tblPr>
      <w:tblGrid>
        <w:gridCol w:w="2657"/>
        <w:gridCol w:w="992"/>
        <w:gridCol w:w="992"/>
        <w:gridCol w:w="993"/>
        <w:gridCol w:w="855"/>
        <w:gridCol w:w="991"/>
        <w:gridCol w:w="992"/>
        <w:gridCol w:w="850"/>
      </w:tblGrid>
      <w:tr w:rsidR="007E27CB">
        <w:tc>
          <w:tcPr>
            <w:tcW w:w="266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7E27CB" w:rsidRDefault="007E27CB">
            <w:pPr>
              <w:tabs>
                <w:tab w:val="left" w:pos="4962"/>
              </w:tabs>
              <w:spacing w:after="0" w:line="240" w:lineRule="auto"/>
              <w:ind w:firstLine="720"/>
              <w:jc w:val="center"/>
              <w:outlineLvl w:val="1"/>
              <w:rPr>
                <w:rFonts w:eastAsia="Calibri"/>
                <w:sz w:val="24"/>
                <w:szCs w:val="24"/>
              </w:rPr>
            </w:pP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E27CB" w:rsidRDefault="008F141F">
            <w:pPr>
              <w:tabs>
                <w:tab w:val="left" w:pos="4962"/>
              </w:tabs>
              <w:spacing w:after="0" w:line="240" w:lineRule="auto"/>
              <w:jc w:val="center"/>
              <w:outlineLvl w:val="1"/>
              <w:rPr>
                <w:rFonts w:eastAsia="Calibri"/>
                <w:sz w:val="24"/>
                <w:szCs w:val="24"/>
              </w:rPr>
            </w:pPr>
            <w:r>
              <w:rPr>
                <w:rFonts w:eastAsia="Calibri"/>
                <w:sz w:val="24"/>
                <w:szCs w:val="24"/>
              </w:rPr>
              <w:t>2013г.</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E27CB" w:rsidRDefault="008F141F">
            <w:pPr>
              <w:tabs>
                <w:tab w:val="left" w:pos="4962"/>
              </w:tabs>
              <w:spacing w:after="0" w:line="240" w:lineRule="auto"/>
              <w:jc w:val="center"/>
              <w:outlineLvl w:val="1"/>
              <w:rPr>
                <w:rFonts w:eastAsia="Calibri"/>
                <w:sz w:val="24"/>
                <w:szCs w:val="24"/>
              </w:rPr>
            </w:pPr>
            <w:r>
              <w:rPr>
                <w:rFonts w:eastAsia="Calibri"/>
                <w:sz w:val="24"/>
                <w:szCs w:val="24"/>
              </w:rPr>
              <w:t>2014г.</w:t>
            </w:r>
          </w:p>
        </w:tc>
        <w:tc>
          <w:tcPr>
            <w:tcW w:w="99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E27CB" w:rsidRDefault="008F141F">
            <w:pPr>
              <w:tabs>
                <w:tab w:val="left" w:pos="4962"/>
              </w:tabs>
              <w:spacing w:after="0" w:line="240" w:lineRule="auto"/>
              <w:jc w:val="center"/>
              <w:outlineLvl w:val="1"/>
              <w:rPr>
                <w:rFonts w:eastAsia="Calibri"/>
                <w:sz w:val="24"/>
                <w:szCs w:val="24"/>
              </w:rPr>
            </w:pPr>
            <w:r>
              <w:rPr>
                <w:rFonts w:eastAsia="Calibri"/>
                <w:sz w:val="24"/>
                <w:szCs w:val="24"/>
              </w:rPr>
              <w:t>2015г.</w:t>
            </w:r>
          </w:p>
        </w:tc>
        <w:tc>
          <w:tcPr>
            <w:tcW w:w="85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E27CB" w:rsidRDefault="008F141F">
            <w:pPr>
              <w:tabs>
                <w:tab w:val="left" w:pos="4962"/>
              </w:tabs>
              <w:spacing w:after="0" w:line="240" w:lineRule="auto"/>
              <w:jc w:val="center"/>
              <w:outlineLvl w:val="1"/>
              <w:rPr>
                <w:rFonts w:eastAsia="Calibri"/>
                <w:sz w:val="24"/>
                <w:szCs w:val="24"/>
              </w:rPr>
            </w:pPr>
            <w:r>
              <w:rPr>
                <w:rFonts w:eastAsia="Calibri"/>
                <w:sz w:val="24"/>
                <w:szCs w:val="24"/>
              </w:rPr>
              <w:t>2016г.</w:t>
            </w:r>
          </w:p>
        </w:tc>
        <w:tc>
          <w:tcPr>
            <w:tcW w:w="992" w:type="dxa"/>
            <w:tcBorders>
              <w:top w:val="single" w:sz="8" w:space="0" w:color="auto"/>
              <w:left w:val="nil"/>
              <w:bottom w:val="single" w:sz="8" w:space="0" w:color="auto"/>
              <w:right w:val="single" w:sz="8" w:space="0" w:color="auto"/>
            </w:tcBorders>
            <w:hideMark/>
          </w:tcPr>
          <w:p w:rsidR="007E27CB" w:rsidRDefault="008F141F">
            <w:pPr>
              <w:tabs>
                <w:tab w:val="left" w:pos="4962"/>
              </w:tabs>
              <w:spacing w:after="0" w:line="240" w:lineRule="auto"/>
              <w:jc w:val="center"/>
              <w:outlineLvl w:val="1"/>
              <w:rPr>
                <w:rFonts w:eastAsia="Calibri"/>
                <w:sz w:val="24"/>
                <w:szCs w:val="24"/>
              </w:rPr>
            </w:pPr>
            <w:r>
              <w:rPr>
                <w:rFonts w:eastAsia="Calibri"/>
                <w:sz w:val="24"/>
                <w:szCs w:val="24"/>
              </w:rPr>
              <w:t>2017г.</w:t>
            </w:r>
          </w:p>
        </w:tc>
        <w:tc>
          <w:tcPr>
            <w:tcW w:w="993" w:type="dxa"/>
            <w:tcBorders>
              <w:top w:val="single" w:sz="8" w:space="0" w:color="auto"/>
              <w:left w:val="nil"/>
              <w:bottom w:val="single" w:sz="8" w:space="0" w:color="auto"/>
              <w:right w:val="single" w:sz="8" w:space="0" w:color="auto"/>
            </w:tcBorders>
            <w:hideMark/>
          </w:tcPr>
          <w:p w:rsidR="007E27CB" w:rsidRDefault="008F141F">
            <w:pPr>
              <w:tabs>
                <w:tab w:val="left" w:pos="4962"/>
              </w:tabs>
              <w:spacing w:after="0" w:line="240" w:lineRule="auto"/>
              <w:jc w:val="center"/>
              <w:outlineLvl w:val="1"/>
              <w:rPr>
                <w:rFonts w:eastAsia="Calibri"/>
                <w:sz w:val="24"/>
                <w:szCs w:val="24"/>
              </w:rPr>
            </w:pPr>
            <w:r>
              <w:rPr>
                <w:rFonts w:eastAsia="Calibri"/>
                <w:sz w:val="24"/>
                <w:szCs w:val="24"/>
              </w:rPr>
              <w:t>2018г.</w:t>
            </w:r>
          </w:p>
        </w:tc>
        <w:tc>
          <w:tcPr>
            <w:tcW w:w="850" w:type="dxa"/>
            <w:tcBorders>
              <w:top w:val="single" w:sz="8" w:space="0" w:color="auto"/>
              <w:left w:val="nil"/>
              <w:bottom w:val="single" w:sz="8" w:space="0" w:color="auto"/>
              <w:right w:val="single" w:sz="8" w:space="0" w:color="auto"/>
            </w:tcBorders>
            <w:hideMark/>
          </w:tcPr>
          <w:p w:rsidR="007E27CB" w:rsidRDefault="008F141F">
            <w:pPr>
              <w:tabs>
                <w:tab w:val="left" w:pos="4962"/>
              </w:tabs>
              <w:spacing w:after="0" w:line="240" w:lineRule="auto"/>
              <w:jc w:val="center"/>
              <w:outlineLvl w:val="1"/>
              <w:rPr>
                <w:rFonts w:eastAsia="Calibri"/>
                <w:sz w:val="24"/>
                <w:szCs w:val="24"/>
              </w:rPr>
            </w:pPr>
            <w:r>
              <w:rPr>
                <w:rFonts w:eastAsia="Calibri"/>
                <w:sz w:val="24"/>
                <w:szCs w:val="24"/>
              </w:rPr>
              <w:t>2019г.</w:t>
            </w:r>
          </w:p>
        </w:tc>
      </w:tr>
      <w:tr w:rsidR="007E27CB">
        <w:tc>
          <w:tcPr>
            <w:tcW w:w="2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E27CB" w:rsidRDefault="008F141F">
            <w:pPr>
              <w:tabs>
                <w:tab w:val="left" w:pos="4962"/>
              </w:tabs>
              <w:spacing w:after="0" w:line="240" w:lineRule="auto"/>
              <w:jc w:val="center"/>
              <w:outlineLvl w:val="1"/>
              <w:rPr>
                <w:rFonts w:eastAsia="Calibri"/>
                <w:sz w:val="24"/>
                <w:szCs w:val="24"/>
              </w:rPr>
            </w:pPr>
            <w:r>
              <w:rPr>
                <w:rFonts w:eastAsia="Calibri"/>
                <w:sz w:val="24"/>
                <w:szCs w:val="24"/>
              </w:rPr>
              <w:t>Нефть добытая, включая газовый конденсат, млн. т</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E27CB" w:rsidRDefault="008F141F">
            <w:pPr>
              <w:tabs>
                <w:tab w:val="left" w:pos="4962"/>
              </w:tabs>
              <w:spacing w:after="0" w:line="240" w:lineRule="auto"/>
              <w:jc w:val="center"/>
              <w:rPr>
                <w:rFonts w:eastAsia="Calibri"/>
                <w:sz w:val="24"/>
                <w:szCs w:val="24"/>
              </w:rPr>
            </w:pPr>
            <w:r>
              <w:rPr>
                <w:rFonts w:eastAsia="Calibri"/>
                <w:sz w:val="24"/>
                <w:szCs w:val="24"/>
              </w:rPr>
              <w:t>11,9</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E27CB" w:rsidRDefault="008F141F">
            <w:pPr>
              <w:tabs>
                <w:tab w:val="left" w:pos="4962"/>
              </w:tabs>
              <w:spacing w:after="0" w:line="240" w:lineRule="auto"/>
              <w:jc w:val="center"/>
              <w:rPr>
                <w:rFonts w:eastAsia="Calibri"/>
                <w:sz w:val="24"/>
                <w:szCs w:val="24"/>
              </w:rPr>
            </w:pPr>
            <w:r>
              <w:rPr>
                <w:rFonts w:eastAsia="Calibri"/>
                <w:sz w:val="24"/>
                <w:szCs w:val="24"/>
              </w:rPr>
              <w:t>11,4</w:t>
            </w:r>
          </w:p>
        </w:tc>
        <w:tc>
          <w:tcPr>
            <w:tcW w:w="9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E27CB" w:rsidRDefault="008F141F">
            <w:pPr>
              <w:tabs>
                <w:tab w:val="left" w:pos="4962"/>
              </w:tabs>
              <w:spacing w:after="0" w:line="240" w:lineRule="auto"/>
              <w:jc w:val="center"/>
              <w:rPr>
                <w:rFonts w:eastAsia="Calibri"/>
                <w:sz w:val="24"/>
                <w:szCs w:val="24"/>
              </w:rPr>
            </w:pPr>
            <w:r>
              <w:rPr>
                <w:rFonts w:eastAsia="Calibri"/>
                <w:sz w:val="24"/>
                <w:szCs w:val="24"/>
              </w:rPr>
              <w:t>11,2</w:t>
            </w:r>
          </w:p>
        </w:tc>
        <w:tc>
          <w:tcPr>
            <w:tcW w:w="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E27CB" w:rsidRDefault="008F141F">
            <w:pPr>
              <w:tabs>
                <w:tab w:val="left" w:pos="4962"/>
              </w:tabs>
              <w:spacing w:after="0" w:line="240" w:lineRule="auto"/>
              <w:jc w:val="center"/>
              <w:rPr>
                <w:rFonts w:eastAsia="Calibri"/>
                <w:sz w:val="24"/>
                <w:szCs w:val="24"/>
              </w:rPr>
            </w:pPr>
            <w:r>
              <w:rPr>
                <w:rFonts w:eastAsia="Calibri"/>
                <w:sz w:val="24"/>
                <w:szCs w:val="24"/>
              </w:rPr>
              <w:t>11,0</w:t>
            </w:r>
          </w:p>
        </w:tc>
        <w:tc>
          <w:tcPr>
            <w:tcW w:w="992" w:type="dxa"/>
            <w:tcBorders>
              <w:top w:val="nil"/>
              <w:left w:val="nil"/>
              <w:bottom w:val="single" w:sz="8" w:space="0" w:color="auto"/>
              <w:right w:val="single" w:sz="8" w:space="0" w:color="auto"/>
            </w:tcBorders>
            <w:vAlign w:val="center"/>
            <w:hideMark/>
          </w:tcPr>
          <w:p w:rsidR="007E27CB" w:rsidRDefault="008F141F">
            <w:pPr>
              <w:tabs>
                <w:tab w:val="left" w:pos="4962"/>
              </w:tabs>
              <w:spacing w:after="0" w:line="240" w:lineRule="auto"/>
              <w:jc w:val="center"/>
              <w:rPr>
                <w:rFonts w:eastAsia="Calibri"/>
                <w:sz w:val="24"/>
                <w:szCs w:val="24"/>
              </w:rPr>
            </w:pPr>
            <w:r>
              <w:rPr>
                <w:rFonts w:eastAsia="Calibri"/>
                <w:sz w:val="24"/>
                <w:szCs w:val="24"/>
              </w:rPr>
              <w:t>10,3</w:t>
            </w:r>
          </w:p>
        </w:tc>
        <w:tc>
          <w:tcPr>
            <w:tcW w:w="993" w:type="dxa"/>
            <w:tcBorders>
              <w:top w:val="nil"/>
              <w:left w:val="nil"/>
              <w:bottom w:val="single" w:sz="8" w:space="0" w:color="auto"/>
              <w:right w:val="single" w:sz="8" w:space="0" w:color="auto"/>
            </w:tcBorders>
            <w:vAlign w:val="center"/>
            <w:hideMark/>
          </w:tcPr>
          <w:p w:rsidR="007E27CB" w:rsidRDefault="008F141F">
            <w:pPr>
              <w:tabs>
                <w:tab w:val="left" w:pos="4962"/>
              </w:tabs>
              <w:spacing w:after="0" w:line="240" w:lineRule="auto"/>
              <w:jc w:val="center"/>
              <w:rPr>
                <w:rFonts w:eastAsia="Calibri"/>
                <w:sz w:val="24"/>
                <w:szCs w:val="24"/>
              </w:rPr>
            </w:pPr>
            <w:r>
              <w:rPr>
                <w:rFonts w:eastAsia="Calibri"/>
                <w:sz w:val="24"/>
                <w:szCs w:val="24"/>
              </w:rPr>
              <w:t>9,6</w:t>
            </w:r>
          </w:p>
        </w:tc>
        <w:tc>
          <w:tcPr>
            <w:tcW w:w="850" w:type="dxa"/>
            <w:tcBorders>
              <w:top w:val="nil"/>
              <w:left w:val="nil"/>
              <w:bottom w:val="single" w:sz="8" w:space="0" w:color="auto"/>
              <w:right w:val="single" w:sz="8" w:space="0" w:color="auto"/>
            </w:tcBorders>
            <w:vAlign w:val="center"/>
            <w:hideMark/>
          </w:tcPr>
          <w:p w:rsidR="007E27CB" w:rsidRDefault="008F141F">
            <w:pPr>
              <w:tabs>
                <w:tab w:val="left" w:pos="4962"/>
              </w:tabs>
              <w:spacing w:after="0" w:line="240" w:lineRule="auto"/>
              <w:jc w:val="center"/>
              <w:rPr>
                <w:rFonts w:eastAsia="Calibri"/>
                <w:sz w:val="24"/>
                <w:szCs w:val="24"/>
              </w:rPr>
            </w:pPr>
            <w:r>
              <w:rPr>
                <w:rFonts w:eastAsia="Calibri"/>
                <w:sz w:val="24"/>
                <w:szCs w:val="24"/>
              </w:rPr>
              <w:t>9,1</w:t>
            </w:r>
          </w:p>
        </w:tc>
      </w:tr>
      <w:tr w:rsidR="007E27CB">
        <w:tc>
          <w:tcPr>
            <w:tcW w:w="26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E27CB" w:rsidRDefault="008F141F">
            <w:pPr>
              <w:tabs>
                <w:tab w:val="left" w:pos="4962"/>
              </w:tabs>
              <w:spacing w:after="0" w:line="240" w:lineRule="auto"/>
              <w:jc w:val="center"/>
              <w:outlineLvl w:val="1"/>
              <w:rPr>
                <w:rFonts w:eastAsia="Calibri"/>
                <w:sz w:val="24"/>
                <w:szCs w:val="24"/>
              </w:rPr>
            </w:pPr>
            <w:r>
              <w:rPr>
                <w:rFonts w:eastAsia="Calibri"/>
                <w:sz w:val="24"/>
                <w:szCs w:val="24"/>
              </w:rPr>
              <w:t>Газ природный и попутный, млрд. куб. м</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E27CB" w:rsidRDefault="008F141F">
            <w:pPr>
              <w:tabs>
                <w:tab w:val="left" w:pos="4962"/>
              </w:tabs>
              <w:spacing w:after="0" w:line="240" w:lineRule="auto"/>
              <w:jc w:val="center"/>
              <w:rPr>
                <w:rFonts w:eastAsia="Calibri"/>
                <w:sz w:val="24"/>
                <w:szCs w:val="24"/>
              </w:rPr>
            </w:pPr>
            <w:r>
              <w:rPr>
                <w:rFonts w:eastAsia="Calibri"/>
                <w:sz w:val="24"/>
                <w:szCs w:val="24"/>
              </w:rPr>
              <w:t>5,4</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E27CB" w:rsidRDefault="008F141F">
            <w:pPr>
              <w:tabs>
                <w:tab w:val="left" w:pos="4962"/>
              </w:tabs>
              <w:spacing w:after="0" w:line="240" w:lineRule="auto"/>
              <w:jc w:val="center"/>
              <w:rPr>
                <w:rFonts w:eastAsia="Calibri"/>
                <w:sz w:val="24"/>
                <w:szCs w:val="24"/>
              </w:rPr>
            </w:pPr>
            <w:r>
              <w:rPr>
                <w:rFonts w:eastAsia="Calibri"/>
                <w:sz w:val="24"/>
                <w:szCs w:val="24"/>
              </w:rPr>
              <w:t>5,4</w:t>
            </w:r>
          </w:p>
        </w:tc>
        <w:tc>
          <w:tcPr>
            <w:tcW w:w="9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E27CB" w:rsidRDefault="008F141F">
            <w:pPr>
              <w:tabs>
                <w:tab w:val="left" w:pos="4962"/>
              </w:tabs>
              <w:spacing w:after="0" w:line="240" w:lineRule="auto"/>
              <w:jc w:val="center"/>
              <w:rPr>
                <w:rFonts w:eastAsia="Calibri"/>
                <w:sz w:val="24"/>
                <w:szCs w:val="24"/>
              </w:rPr>
            </w:pPr>
            <w:r>
              <w:rPr>
                <w:rFonts w:eastAsia="Calibri"/>
                <w:sz w:val="24"/>
                <w:szCs w:val="24"/>
              </w:rPr>
              <w:t>5,7</w:t>
            </w:r>
          </w:p>
        </w:tc>
        <w:tc>
          <w:tcPr>
            <w:tcW w:w="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E27CB" w:rsidRDefault="008F141F">
            <w:pPr>
              <w:tabs>
                <w:tab w:val="left" w:pos="4962"/>
              </w:tabs>
              <w:spacing w:after="0" w:line="240" w:lineRule="auto"/>
              <w:jc w:val="center"/>
              <w:rPr>
                <w:rFonts w:eastAsia="Calibri"/>
                <w:sz w:val="24"/>
                <w:szCs w:val="24"/>
              </w:rPr>
            </w:pPr>
            <w:r>
              <w:rPr>
                <w:rFonts w:eastAsia="Calibri"/>
                <w:sz w:val="24"/>
                <w:szCs w:val="24"/>
              </w:rPr>
              <w:t>5,6</w:t>
            </w:r>
          </w:p>
        </w:tc>
        <w:tc>
          <w:tcPr>
            <w:tcW w:w="992" w:type="dxa"/>
            <w:tcBorders>
              <w:top w:val="nil"/>
              <w:left w:val="nil"/>
              <w:bottom w:val="single" w:sz="8" w:space="0" w:color="auto"/>
              <w:right w:val="single" w:sz="8" w:space="0" w:color="auto"/>
            </w:tcBorders>
            <w:vAlign w:val="center"/>
            <w:hideMark/>
          </w:tcPr>
          <w:p w:rsidR="007E27CB" w:rsidRDefault="008F141F">
            <w:pPr>
              <w:tabs>
                <w:tab w:val="left" w:pos="4962"/>
              </w:tabs>
              <w:spacing w:after="0" w:line="240" w:lineRule="auto"/>
              <w:jc w:val="center"/>
              <w:rPr>
                <w:rFonts w:eastAsia="Calibri"/>
                <w:sz w:val="24"/>
                <w:szCs w:val="24"/>
              </w:rPr>
            </w:pPr>
            <w:r>
              <w:rPr>
                <w:rFonts w:eastAsia="Calibri"/>
                <w:sz w:val="24"/>
                <w:szCs w:val="24"/>
              </w:rPr>
              <w:t>5,9</w:t>
            </w:r>
          </w:p>
        </w:tc>
        <w:tc>
          <w:tcPr>
            <w:tcW w:w="993" w:type="dxa"/>
            <w:tcBorders>
              <w:top w:val="nil"/>
              <w:left w:val="nil"/>
              <w:bottom w:val="single" w:sz="8" w:space="0" w:color="auto"/>
              <w:right w:val="single" w:sz="8" w:space="0" w:color="auto"/>
            </w:tcBorders>
            <w:vAlign w:val="center"/>
            <w:hideMark/>
          </w:tcPr>
          <w:p w:rsidR="007E27CB" w:rsidRDefault="008F141F">
            <w:pPr>
              <w:tabs>
                <w:tab w:val="left" w:pos="4962"/>
              </w:tabs>
              <w:spacing w:after="0" w:line="240" w:lineRule="auto"/>
              <w:jc w:val="center"/>
              <w:rPr>
                <w:rFonts w:eastAsia="Calibri"/>
                <w:sz w:val="24"/>
                <w:szCs w:val="24"/>
              </w:rPr>
            </w:pPr>
            <w:r>
              <w:rPr>
                <w:rFonts w:eastAsia="Calibri"/>
                <w:sz w:val="24"/>
                <w:szCs w:val="24"/>
              </w:rPr>
              <w:t>5,9</w:t>
            </w:r>
          </w:p>
        </w:tc>
        <w:tc>
          <w:tcPr>
            <w:tcW w:w="850" w:type="dxa"/>
            <w:tcBorders>
              <w:top w:val="nil"/>
              <w:left w:val="nil"/>
              <w:bottom w:val="single" w:sz="8" w:space="0" w:color="auto"/>
              <w:right w:val="single" w:sz="8" w:space="0" w:color="auto"/>
            </w:tcBorders>
            <w:vAlign w:val="center"/>
            <w:hideMark/>
          </w:tcPr>
          <w:p w:rsidR="007E27CB" w:rsidRDefault="008F141F">
            <w:pPr>
              <w:tabs>
                <w:tab w:val="left" w:pos="4962"/>
              </w:tabs>
              <w:spacing w:after="0" w:line="240" w:lineRule="auto"/>
              <w:jc w:val="center"/>
              <w:rPr>
                <w:rFonts w:eastAsia="Calibri"/>
                <w:sz w:val="24"/>
                <w:szCs w:val="24"/>
              </w:rPr>
            </w:pPr>
            <w:r>
              <w:rPr>
                <w:rFonts w:eastAsia="Calibri"/>
                <w:sz w:val="24"/>
                <w:szCs w:val="24"/>
              </w:rPr>
              <w:t>5,8</w:t>
            </w:r>
          </w:p>
        </w:tc>
      </w:tr>
    </w:tbl>
    <w:p w:rsidR="007E27CB" w:rsidRDefault="008F141F">
      <w:pPr>
        <w:tabs>
          <w:tab w:val="left" w:pos="4962"/>
          <w:tab w:val="left" w:pos="7740"/>
        </w:tabs>
        <w:spacing w:after="0" w:line="240" w:lineRule="auto"/>
        <w:ind w:firstLine="567"/>
        <w:jc w:val="both"/>
        <w:rPr>
          <w:rFonts w:eastAsia="Calibri"/>
          <w:sz w:val="24"/>
          <w:szCs w:val="24"/>
        </w:rPr>
      </w:pPr>
      <w:r>
        <w:rPr>
          <w:rFonts w:eastAsia="Calibri"/>
          <w:sz w:val="24"/>
          <w:szCs w:val="24"/>
        </w:rPr>
        <w:t xml:space="preserve">Перед нефтегазовыми компаниями в настоящее время ставится задача поддерживать добычу нефти и газа на достигнутом уровне. </w:t>
      </w:r>
    </w:p>
    <w:p w:rsidR="007E27CB" w:rsidRDefault="008F141F">
      <w:pPr>
        <w:tabs>
          <w:tab w:val="left" w:pos="4962"/>
        </w:tabs>
        <w:spacing w:after="0" w:line="240" w:lineRule="auto"/>
        <w:ind w:firstLine="567"/>
        <w:jc w:val="both"/>
        <w:outlineLvl w:val="1"/>
        <w:rPr>
          <w:rFonts w:eastAsia="Calibri"/>
          <w:sz w:val="24"/>
          <w:szCs w:val="24"/>
        </w:rPr>
      </w:pPr>
      <w:r>
        <w:rPr>
          <w:rFonts w:eastAsia="Calibri"/>
          <w:sz w:val="24"/>
          <w:szCs w:val="24"/>
        </w:rPr>
        <w:t xml:space="preserve">При этом высокие темпы роста демонстрирует отрасль по добыче прочих полезных ископаемых – 151% за счет роста добычи строительного песка. </w:t>
      </w:r>
    </w:p>
    <w:p w:rsidR="007E27CB" w:rsidRDefault="008F141F">
      <w:pPr>
        <w:tabs>
          <w:tab w:val="left" w:pos="4962"/>
        </w:tabs>
        <w:spacing w:after="0" w:line="240" w:lineRule="auto"/>
        <w:ind w:firstLine="567"/>
        <w:jc w:val="both"/>
        <w:outlineLvl w:val="1"/>
        <w:rPr>
          <w:rFonts w:eastAsia="Calibri"/>
          <w:sz w:val="24"/>
          <w:szCs w:val="24"/>
        </w:rPr>
      </w:pPr>
      <w:r>
        <w:rPr>
          <w:sz w:val="24"/>
          <w:szCs w:val="24"/>
        </w:rPr>
        <w:t>В 2019 году в добычу топливно-энергетических полезных ископаемых вложено 28,1 млрд. рублей инвестиций в основной капитал (в целом в сектор добычи – 32,9 млрд. рублей), что меньше, чем в 2018 году, на 2,4%.</w:t>
      </w:r>
    </w:p>
    <w:p w:rsidR="007E27CB" w:rsidRDefault="008F141F">
      <w:pPr>
        <w:tabs>
          <w:tab w:val="left" w:pos="4962"/>
        </w:tabs>
        <w:spacing w:after="0" w:line="240" w:lineRule="auto"/>
        <w:ind w:firstLine="567"/>
        <w:jc w:val="both"/>
        <w:outlineLvl w:val="1"/>
        <w:rPr>
          <w:rFonts w:eastAsia="Calibri"/>
          <w:sz w:val="24"/>
          <w:szCs w:val="24"/>
        </w:rPr>
      </w:pPr>
      <w:r>
        <w:rPr>
          <w:rFonts w:eastAsia="Calibri"/>
          <w:sz w:val="24"/>
          <w:szCs w:val="24"/>
        </w:rPr>
        <w:t xml:space="preserve">По итогам 2019 года можно выделить следующие </w:t>
      </w:r>
      <w:r>
        <w:rPr>
          <w:rFonts w:eastAsia="Calibri"/>
          <w:b/>
          <w:sz w:val="24"/>
          <w:szCs w:val="24"/>
        </w:rPr>
        <w:t>значимые события в сфере нефтегазодобывающего комплекса Томской области</w:t>
      </w:r>
      <w:r>
        <w:rPr>
          <w:rFonts w:eastAsia="Calibri"/>
          <w:sz w:val="24"/>
          <w:szCs w:val="24"/>
        </w:rPr>
        <w:t>:</w:t>
      </w:r>
    </w:p>
    <w:p w:rsidR="007E27CB" w:rsidRDefault="008F141F">
      <w:pPr>
        <w:pStyle w:val="a6"/>
        <w:numPr>
          <w:ilvl w:val="0"/>
          <w:numId w:val="116"/>
        </w:numPr>
        <w:tabs>
          <w:tab w:val="left" w:pos="851"/>
        </w:tabs>
        <w:spacing w:after="0" w:line="240" w:lineRule="auto"/>
        <w:ind w:left="0" w:firstLine="567"/>
        <w:jc w:val="both"/>
        <w:outlineLvl w:val="1"/>
        <w:rPr>
          <w:rFonts w:ascii="Times New Roman" w:hAnsi="Times New Roman"/>
          <w:sz w:val="24"/>
          <w:szCs w:val="24"/>
        </w:rPr>
      </w:pPr>
      <w:r>
        <w:rPr>
          <w:rFonts w:ascii="Times New Roman" w:hAnsi="Times New Roman"/>
          <w:sz w:val="24"/>
          <w:szCs w:val="24"/>
        </w:rPr>
        <w:t>в рамках проекта «Палеозой» ООО «Газпромнефть-Восток» в 2019 году выполнены научно-исследовательские работы по 24 этапам модулей «Геохимия», «Метод потенциальных полей», «Тектоника», «СРР+ГИС», «Керн» на сумму 41,7 млн. рублей. Пробурены скважины Урманская и Западно-Лугинецкая, объем финансирования составил 273 млн. рублей. Выполнено 3</w:t>
      </w:r>
      <w:r>
        <w:rPr>
          <w:rFonts w:ascii="Times New Roman" w:hAnsi="Times New Roman"/>
          <w:sz w:val="24"/>
          <w:szCs w:val="24"/>
          <w:lang w:val="en-US"/>
        </w:rPr>
        <w:t>D</w:t>
      </w:r>
      <w:r>
        <w:rPr>
          <w:rFonts w:ascii="Times New Roman" w:hAnsi="Times New Roman"/>
          <w:sz w:val="24"/>
          <w:szCs w:val="24"/>
        </w:rPr>
        <w:t xml:space="preserve"> моделирование 200 кв. м, интерпретация геоинформационной системы (локальный проект) 84 скважин. Проведены обработка и первичные исследования керна, литолого-седиментологические исследования, петрофизические и потоковые исследования керна 11 скважин. В планах компании в 2020 году пробурить скважины Шингинскую  и Кулгинскую с общим бюджетом 510 млн. рублей.</w:t>
      </w:r>
    </w:p>
    <w:p w:rsidR="007E27CB" w:rsidRDefault="008F141F">
      <w:pPr>
        <w:tabs>
          <w:tab w:val="left" w:pos="4962"/>
        </w:tabs>
        <w:spacing w:after="0" w:line="240" w:lineRule="auto"/>
        <w:ind w:firstLine="567"/>
        <w:jc w:val="both"/>
        <w:outlineLvl w:val="1"/>
        <w:rPr>
          <w:rFonts w:eastAsia="Calibri"/>
          <w:sz w:val="24"/>
          <w:szCs w:val="24"/>
        </w:rPr>
      </w:pPr>
      <w:r>
        <w:rPr>
          <w:rFonts w:eastAsia="Calibri"/>
          <w:sz w:val="24"/>
          <w:szCs w:val="24"/>
        </w:rPr>
        <w:t>В 2019 году с целью тиражирования технологии поиска трудноизвлекаемых запасов в доюрском комплексе и привлечения федеральных налоговых преференций инициирован запуск проекта «Платформа Палеозой». На базе проекта планируется формирование технологического полигона на нераспределенном фонде недр в Томской области для отработки технологий поиска и последующей разработки залежей доюрского комплекса, позволяющи[ создавать рентабельные кейсы по геологоразведке в Томской области и Западной Сибири;</w:t>
      </w:r>
    </w:p>
    <w:p w:rsidR="007E27CB" w:rsidRDefault="008F141F">
      <w:pPr>
        <w:tabs>
          <w:tab w:val="left" w:pos="4962"/>
        </w:tabs>
        <w:spacing w:after="0" w:line="240" w:lineRule="auto"/>
        <w:ind w:firstLine="567"/>
        <w:jc w:val="both"/>
        <w:outlineLvl w:val="1"/>
        <w:rPr>
          <w:rFonts w:eastAsia="Calibri"/>
          <w:sz w:val="24"/>
          <w:szCs w:val="24"/>
        </w:rPr>
      </w:pPr>
      <w:r>
        <w:rPr>
          <w:rFonts w:eastAsia="Calibri"/>
          <w:sz w:val="24"/>
          <w:szCs w:val="24"/>
        </w:rPr>
        <w:t>2) подготовлена к запуску газовая инфраструктура на Урмано-Арчинской группе месторождений ООО «Газпромнефть-Восток» мощностью 400 млн. куб. м в год;</w:t>
      </w:r>
    </w:p>
    <w:p w:rsidR="007E27CB" w:rsidRDefault="008F141F">
      <w:pPr>
        <w:tabs>
          <w:tab w:val="left" w:pos="4962"/>
        </w:tabs>
        <w:spacing w:after="0" w:line="240" w:lineRule="auto"/>
        <w:ind w:firstLine="567"/>
        <w:jc w:val="both"/>
        <w:outlineLvl w:val="1"/>
        <w:rPr>
          <w:rFonts w:eastAsia="Calibri"/>
          <w:sz w:val="24"/>
          <w:szCs w:val="24"/>
        </w:rPr>
      </w:pPr>
      <w:r>
        <w:rPr>
          <w:rFonts w:eastAsia="Calibri"/>
          <w:sz w:val="24"/>
          <w:szCs w:val="24"/>
        </w:rPr>
        <w:t>3) в 2019 году АО «Томскнефть» ВНК на территории региона было открыто одно нефтяное месторождение имени Ю.А.Чикишева. Промышленная нефтеносность месторождения установлена в юрских терригенных отложениях. Запасы месторождения оценены по категории С1 (начальные извлекаемые 403 тыс. тонн).</w:t>
      </w:r>
    </w:p>
    <w:p w:rsidR="007E27CB" w:rsidRDefault="007E27CB">
      <w:pPr>
        <w:tabs>
          <w:tab w:val="left" w:pos="4962"/>
        </w:tabs>
        <w:spacing w:after="0" w:line="240" w:lineRule="auto"/>
        <w:ind w:firstLine="708"/>
        <w:jc w:val="both"/>
        <w:rPr>
          <w:rFonts w:eastAsia="Times New Roman"/>
          <w:b/>
          <w:sz w:val="24"/>
          <w:szCs w:val="24"/>
          <w:u w:val="single"/>
        </w:rPr>
      </w:pPr>
    </w:p>
    <w:p w:rsidR="007E27CB" w:rsidRDefault="008F141F">
      <w:pPr>
        <w:shd w:val="clear" w:color="auto" w:fill="F2F2F2" w:themeFill="background1" w:themeFillShade="F2"/>
        <w:tabs>
          <w:tab w:val="left" w:pos="4962"/>
        </w:tabs>
        <w:autoSpaceDE w:val="0"/>
        <w:autoSpaceDN w:val="0"/>
        <w:adjustRightInd w:val="0"/>
        <w:spacing w:after="0" w:line="240" w:lineRule="auto"/>
        <w:jc w:val="both"/>
        <w:rPr>
          <w:b/>
          <w:sz w:val="24"/>
          <w:szCs w:val="24"/>
        </w:rPr>
      </w:pPr>
      <w:r>
        <w:rPr>
          <w:b/>
          <w:sz w:val="24"/>
          <w:szCs w:val="24"/>
        </w:rPr>
        <w:t>Перспективные задачи</w:t>
      </w:r>
    </w:p>
    <w:p w:rsidR="007E27CB" w:rsidRDefault="007E27CB">
      <w:pPr>
        <w:tabs>
          <w:tab w:val="left" w:pos="4962"/>
        </w:tabs>
        <w:spacing w:after="0" w:line="240" w:lineRule="auto"/>
        <w:ind w:firstLine="708"/>
        <w:jc w:val="both"/>
        <w:rPr>
          <w:rFonts w:eastAsia="Times New Roman"/>
          <w:b/>
          <w:sz w:val="24"/>
          <w:szCs w:val="24"/>
          <w:u w:val="single"/>
        </w:rPr>
      </w:pPr>
    </w:p>
    <w:p w:rsidR="007E27CB" w:rsidRDefault="008F141F">
      <w:pPr>
        <w:pStyle w:val="a6"/>
        <w:numPr>
          <w:ilvl w:val="0"/>
          <w:numId w:val="117"/>
        </w:numPr>
        <w:tabs>
          <w:tab w:val="left" w:pos="284"/>
          <w:tab w:val="left" w:pos="4962"/>
        </w:tabs>
        <w:spacing w:after="0" w:line="240" w:lineRule="auto"/>
        <w:ind w:left="0" w:firstLine="0"/>
        <w:jc w:val="both"/>
        <w:rPr>
          <w:rFonts w:ascii="Times New Roman" w:hAnsi="Times New Roman"/>
          <w:sz w:val="24"/>
          <w:szCs w:val="24"/>
        </w:rPr>
      </w:pPr>
      <w:r>
        <w:rPr>
          <w:rFonts w:ascii="Times New Roman" w:hAnsi="Times New Roman"/>
          <w:sz w:val="24"/>
          <w:szCs w:val="24"/>
        </w:rPr>
        <w:t>Увеличение объема вложений в геологоразведочные работы за счет увеличения объемов работ по сейсморазведке, поисково-оценочному и разведочному бурению.</w:t>
      </w:r>
    </w:p>
    <w:p w:rsidR="007E27CB" w:rsidRDefault="008F141F">
      <w:pPr>
        <w:pStyle w:val="a6"/>
        <w:numPr>
          <w:ilvl w:val="0"/>
          <w:numId w:val="117"/>
        </w:numPr>
        <w:tabs>
          <w:tab w:val="left" w:pos="284"/>
          <w:tab w:val="left" w:pos="4962"/>
        </w:tabs>
        <w:spacing w:after="0" w:line="240" w:lineRule="auto"/>
        <w:ind w:left="0" w:firstLine="0"/>
        <w:jc w:val="both"/>
        <w:rPr>
          <w:rFonts w:ascii="Times New Roman" w:hAnsi="Times New Roman"/>
          <w:sz w:val="24"/>
          <w:szCs w:val="24"/>
        </w:rPr>
      </w:pPr>
      <w:r>
        <w:rPr>
          <w:rFonts w:ascii="Times New Roman" w:hAnsi="Times New Roman"/>
          <w:sz w:val="24"/>
          <w:szCs w:val="24"/>
        </w:rPr>
        <w:t>Удержание объема добычи в 2020 году по жидким углеводородам на уровне 2019 года.</w:t>
      </w:r>
    </w:p>
    <w:p w:rsidR="007E27CB" w:rsidRDefault="008F141F">
      <w:pPr>
        <w:pStyle w:val="a6"/>
        <w:numPr>
          <w:ilvl w:val="0"/>
          <w:numId w:val="117"/>
        </w:numPr>
        <w:tabs>
          <w:tab w:val="left" w:pos="284"/>
          <w:tab w:val="left" w:pos="4962"/>
        </w:tabs>
        <w:spacing w:after="0" w:line="240" w:lineRule="auto"/>
        <w:ind w:left="0" w:firstLine="0"/>
        <w:jc w:val="both"/>
        <w:rPr>
          <w:rFonts w:ascii="Times New Roman" w:hAnsi="Times New Roman"/>
          <w:sz w:val="24"/>
          <w:szCs w:val="24"/>
        </w:rPr>
      </w:pPr>
      <w:r>
        <w:rPr>
          <w:rFonts w:ascii="Times New Roman" w:hAnsi="Times New Roman"/>
          <w:sz w:val="24"/>
          <w:szCs w:val="24"/>
        </w:rPr>
        <w:t>Продолжение совместных работ с ПАО «Газпром нефть» и томскими вузами по разработке технологии поиска потенциально продуктивных объектов в отложениях доюрского комплекса Томской области (проект «Палеозой»).</w:t>
      </w:r>
    </w:p>
    <w:p w:rsidR="007E27CB" w:rsidRDefault="007E27CB">
      <w:pPr>
        <w:tabs>
          <w:tab w:val="left" w:pos="851"/>
          <w:tab w:val="left" w:pos="4962"/>
        </w:tabs>
        <w:spacing w:after="0" w:line="240" w:lineRule="auto"/>
        <w:ind w:firstLine="567"/>
        <w:jc w:val="both"/>
        <w:rPr>
          <w:rFonts w:eastAsia="Calibri"/>
          <w:b/>
          <w:sz w:val="24"/>
          <w:szCs w:val="24"/>
        </w:rPr>
      </w:pPr>
    </w:p>
    <w:p w:rsidR="007E27CB" w:rsidRDefault="007E27CB">
      <w:pPr>
        <w:tabs>
          <w:tab w:val="left" w:pos="851"/>
          <w:tab w:val="left" w:pos="4962"/>
        </w:tabs>
        <w:spacing w:after="0" w:line="240" w:lineRule="auto"/>
        <w:ind w:firstLine="567"/>
        <w:jc w:val="both"/>
        <w:rPr>
          <w:rFonts w:eastAsia="Calibri"/>
          <w:b/>
          <w:sz w:val="24"/>
          <w:szCs w:val="24"/>
        </w:rPr>
      </w:pPr>
    </w:p>
    <w:p w:rsidR="007E27CB" w:rsidRDefault="008F141F">
      <w:pPr>
        <w:tabs>
          <w:tab w:val="left" w:pos="851"/>
          <w:tab w:val="left" w:pos="4962"/>
        </w:tabs>
        <w:spacing w:after="0" w:line="240" w:lineRule="auto"/>
        <w:ind w:firstLine="567"/>
        <w:jc w:val="both"/>
        <w:rPr>
          <w:rFonts w:eastAsia="Calibri"/>
          <w:b/>
          <w:sz w:val="24"/>
          <w:szCs w:val="24"/>
        </w:rPr>
      </w:pPr>
      <w:r>
        <w:rPr>
          <w:rFonts w:eastAsia="Calibri"/>
          <w:b/>
          <w:sz w:val="24"/>
          <w:szCs w:val="24"/>
        </w:rPr>
        <w:lastRenderedPageBreak/>
        <w:t>ОБРАБАТЫВАЮЩИЕ ПРОИЗВОДСТВА</w:t>
      </w:r>
    </w:p>
    <w:p w:rsidR="007E27CB" w:rsidRDefault="007E27CB">
      <w:pPr>
        <w:tabs>
          <w:tab w:val="left" w:pos="851"/>
          <w:tab w:val="left" w:pos="4962"/>
        </w:tabs>
        <w:spacing w:after="0" w:line="240" w:lineRule="auto"/>
        <w:ind w:firstLine="567"/>
        <w:jc w:val="both"/>
        <w:rPr>
          <w:rFonts w:eastAsia="Times New Roman"/>
          <w:b/>
          <w:sz w:val="24"/>
          <w:szCs w:val="24"/>
          <w:u w:val="single"/>
        </w:rPr>
      </w:pPr>
    </w:p>
    <w:p w:rsidR="007E27CB" w:rsidRDefault="008F141F">
      <w:pPr>
        <w:spacing w:after="0" w:line="240" w:lineRule="auto"/>
        <w:ind w:firstLine="567"/>
        <w:jc w:val="both"/>
        <w:rPr>
          <w:sz w:val="24"/>
          <w:szCs w:val="24"/>
        </w:rPr>
      </w:pPr>
      <w:r>
        <w:rPr>
          <w:sz w:val="24"/>
          <w:szCs w:val="24"/>
        </w:rPr>
        <w:t>Обрабатывающая промышленность региона является одним из самых динамично развивающихся секторов экономики и драйвером роста промышленности Томской области, в которой опережающими темпами</w:t>
      </w:r>
      <w:r>
        <w:rPr>
          <w:sz w:val="24"/>
          <w:szCs w:val="24"/>
          <w:lang w:eastAsia="x-none"/>
        </w:rPr>
        <w:t xml:space="preserve"> растет доля отраслей, где в последние годы проведена модернизация производства, в том числе с государственной поддержкой.</w:t>
      </w:r>
    </w:p>
    <w:p w:rsidR="007E27CB" w:rsidRDefault="008F141F">
      <w:pPr>
        <w:spacing w:after="0" w:line="240" w:lineRule="auto"/>
        <w:ind w:firstLine="567"/>
        <w:jc w:val="both"/>
        <w:rPr>
          <w:sz w:val="24"/>
          <w:szCs w:val="24"/>
        </w:rPr>
      </w:pPr>
      <w:r>
        <w:rPr>
          <w:sz w:val="24"/>
          <w:szCs w:val="24"/>
        </w:rPr>
        <w:t xml:space="preserve">Главным направлением развития является производство высокотехнологичной импортозамещающей продукции в рамках задач, обозначенных Президентом Российской Федерации. </w:t>
      </w:r>
    </w:p>
    <w:p w:rsidR="007E27CB" w:rsidRDefault="008F141F">
      <w:pPr>
        <w:tabs>
          <w:tab w:val="left" w:pos="851"/>
          <w:tab w:val="left" w:pos="4962"/>
        </w:tabs>
        <w:spacing w:after="0" w:line="240" w:lineRule="auto"/>
        <w:jc w:val="both"/>
        <w:rPr>
          <w:rFonts w:eastAsia="Times New Roman"/>
          <w:b/>
          <w:sz w:val="24"/>
          <w:szCs w:val="24"/>
          <w:u w:val="single"/>
        </w:rPr>
      </w:pPr>
      <w:r>
        <w:rPr>
          <w:noProof/>
          <w:sz w:val="24"/>
          <w:szCs w:val="24"/>
          <w:lang w:eastAsia="ru-RU"/>
        </w:rPr>
        <w:drawing>
          <wp:inline distT="0" distB="0" distL="0" distR="0">
            <wp:extent cx="6078829" cy="3799268"/>
            <wp:effectExtent l="0" t="0" r="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7E27CB" w:rsidRDefault="008F141F">
      <w:pPr>
        <w:tabs>
          <w:tab w:val="left" w:pos="851"/>
          <w:tab w:val="left" w:pos="4962"/>
        </w:tabs>
        <w:spacing w:after="0" w:line="240" w:lineRule="auto"/>
        <w:ind w:firstLine="567"/>
        <w:jc w:val="both"/>
        <w:rPr>
          <w:rFonts w:eastAsia="Calibri"/>
          <w:sz w:val="24"/>
          <w:szCs w:val="24"/>
        </w:rPr>
      </w:pPr>
      <w:r>
        <w:rPr>
          <w:rFonts w:eastAsia="Calibri"/>
          <w:sz w:val="24"/>
          <w:szCs w:val="24"/>
        </w:rPr>
        <w:t>В 2019 году рост производственного индекса обрабатывающего сектора составил 103,7%. Достижению данного показателя способствовали высокие темпы роста следующих отраслей: обработка древесины и производство изделий из дерева (112,9%), производство химических веществ (102,7%), производство пищевых продуктов (112,1%), производство электрического оборудования (105,3%), производство резиновых и пластмассовых изделий (134,8%). Устойчивый рост обусловлен, прежде всего, реализацией инвестиционных проектов.</w:t>
      </w:r>
    </w:p>
    <w:p w:rsidR="007E27CB" w:rsidRDefault="008F141F">
      <w:pPr>
        <w:tabs>
          <w:tab w:val="left" w:pos="851"/>
          <w:tab w:val="left" w:pos="4962"/>
        </w:tabs>
        <w:spacing w:after="0" w:line="240" w:lineRule="auto"/>
        <w:ind w:firstLine="567"/>
        <w:jc w:val="both"/>
        <w:rPr>
          <w:rFonts w:eastAsia="Calibri"/>
          <w:b/>
          <w:sz w:val="24"/>
          <w:szCs w:val="24"/>
        </w:rPr>
      </w:pPr>
      <w:r>
        <w:rPr>
          <w:rFonts w:eastAsia="Calibri"/>
          <w:b/>
          <w:sz w:val="24"/>
          <w:szCs w:val="24"/>
        </w:rPr>
        <w:t>Металлургическое производство:</w:t>
      </w:r>
    </w:p>
    <w:p w:rsidR="007E27CB" w:rsidRDefault="008F141F">
      <w:pPr>
        <w:tabs>
          <w:tab w:val="left" w:pos="851"/>
          <w:tab w:val="left" w:pos="4962"/>
        </w:tabs>
        <w:spacing w:after="0" w:line="240" w:lineRule="auto"/>
        <w:ind w:firstLine="567"/>
        <w:jc w:val="both"/>
        <w:rPr>
          <w:rFonts w:eastAsia="Calibri"/>
          <w:sz w:val="24"/>
          <w:szCs w:val="24"/>
        </w:rPr>
      </w:pPr>
      <w:r>
        <w:rPr>
          <w:rFonts w:eastAsia="Calibri"/>
          <w:sz w:val="24"/>
          <w:szCs w:val="24"/>
        </w:rPr>
        <w:t>В Северске продолжается реализация проекта «ПРОРЫВ». Общий объем инвестиций в реализацию проекта превышает 100 млрд. рублей из средств федерального бюджета и Госкорпорации «Росатом». За 2019 год профинансировано более 1,5 млрд. рублей, план на 2020 год – более 2,6 млрд. рублей.</w:t>
      </w:r>
    </w:p>
    <w:p w:rsidR="007E27CB" w:rsidRDefault="008F141F">
      <w:pPr>
        <w:tabs>
          <w:tab w:val="left" w:pos="851"/>
          <w:tab w:val="left" w:pos="4962"/>
        </w:tabs>
        <w:spacing w:after="0" w:line="240" w:lineRule="auto"/>
        <w:ind w:firstLine="567"/>
        <w:jc w:val="both"/>
        <w:rPr>
          <w:rFonts w:eastAsia="Calibri"/>
          <w:sz w:val="24"/>
          <w:szCs w:val="24"/>
        </w:rPr>
      </w:pPr>
      <w:r>
        <w:rPr>
          <w:rFonts w:eastAsia="Calibri"/>
          <w:sz w:val="24"/>
          <w:szCs w:val="24"/>
        </w:rPr>
        <w:t>В 2019 году  закончено изготовление нестандартизированного оборудования для модуля фабрикации ядерного топлива и пускового комплекса рефабрикации. Оборудование поступает на площадку строительства. Ввод в эксплуатацию запланирован на 2022 год.</w:t>
      </w:r>
    </w:p>
    <w:p w:rsidR="007E27CB" w:rsidRDefault="008F141F">
      <w:pPr>
        <w:tabs>
          <w:tab w:val="left" w:pos="851"/>
          <w:tab w:val="left" w:pos="4962"/>
        </w:tabs>
        <w:spacing w:after="0" w:line="240" w:lineRule="auto"/>
        <w:ind w:firstLine="567"/>
        <w:jc w:val="both"/>
        <w:rPr>
          <w:rFonts w:eastAsia="Calibri"/>
          <w:sz w:val="24"/>
          <w:szCs w:val="24"/>
        </w:rPr>
      </w:pPr>
      <w:r>
        <w:rPr>
          <w:rFonts w:eastAsia="Calibri"/>
          <w:sz w:val="24"/>
          <w:szCs w:val="24"/>
        </w:rPr>
        <w:t>В 2020 году планируется приступить к строительно-монтажным работам на площадке строительства реакторной установки «БРЕСТ-ОД-300».</w:t>
      </w:r>
    </w:p>
    <w:p w:rsidR="007E27CB" w:rsidRDefault="008F141F">
      <w:pPr>
        <w:tabs>
          <w:tab w:val="left" w:pos="851"/>
          <w:tab w:val="left" w:pos="4962"/>
        </w:tabs>
        <w:spacing w:after="0" w:line="240" w:lineRule="auto"/>
        <w:ind w:firstLine="567"/>
        <w:jc w:val="both"/>
        <w:rPr>
          <w:rFonts w:eastAsia="Calibri"/>
          <w:b/>
          <w:sz w:val="24"/>
          <w:szCs w:val="24"/>
        </w:rPr>
      </w:pPr>
      <w:r>
        <w:rPr>
          <w:rFonts w:eastAsia="Calibri"/>
          <w:b/>
          <w:sz w:val="24"/>
          <w:szCs w:val="24"/>
        </w:rPr>
        <w:t>Производство химической продукции:</w:t>
      </w:r>
    </w:p>
    <w:p w:rsidR="007E27CB" w:rsidRDefault="008F141F">
      <w:pPr>
        <w:tabs>
          <w:tab w:val="left" w:pos="851"/>
          <w:tab w:val="left" w:pos="993"/>
          <w:tab w:val="left" w:pos="4962"/>
        </w:tabs>
        <w:spacing w:after="0" w:line="240" w:lineRule="auto"/>
        <w:ind w:firstLine="567"/>
        <w:contextualSpacing/>
        <w:jc w:val="both"/>
        <w:rPr>
          <w:rFonts w:eastAsia="Calibri"/>
          <w:sz w:val="24"/>
          <w:szCs w:val="24"/>
        </w:rPr>
      </w:pPr>
      <w:r>
        <w:rPr>
          <w:rFonts w:eastAsia="Calibri"/>
          <w:sz w:val="24"/>
          <w:szCs w:val="24"/>
        </w:rPr>
        <w:t xml:space="preserve">ООО «Томскнефтехим» продолжило реализацию ряда проектов по текущей модернизации отдельных участков производства, направленных на оптимизацию </w:t>
      </w:r>
      <w:r>
        <w:rPr>
          <w:rFonts w:eastAsia="Calibri"/>
          <w:sz w:val="24"/>
          <w:szCs w:val="24"/>
        </w:rPr>
        <w:lastRenderedPageBreak/>
        <w:t xml:space="preserve">технологических процессов, снижение потребления энергоресурсов, сокращение потерь, повышение эффективности производства в целом. </w:t>
      </w:r>
    </w:p>
    <w:p w:rsidR="007E27CB" w:rsidRDefault="008F141F">
      <w:pPr>
        <w:tabs>
          <w:tab w:val="left" w:pos="851"/>
          <w:tab w:val="left" w:pos="993"/>
          <w:tab w:val="left" w:pos="4962"/>
        </w:tabs>
        <w:spacing w:after="0" w:line="240" w:lineRule="auto"/>
        <w:ind w:firstLine="567"/>
        <w:contextualSpacing/>
        <w:jc w:val="both"/>
        <w:rPr>
          <w:rStyle w:val="aff"/>
          <w:rFonts w:eastAsia="Calibri"/>
          <w:sz w:val="24"/>
          <w:szCs w:val="24"/>
        </w:rPr>
      </w:pPr>
      <w:r>
        <w:rPr>
          <w:rFonts w:eastAsia="Calibri"/>
          <w:sz w:val="24"/>
          <w:szCs w:val="24"/>
        </w:rPr>
        <w:t>ООО «Сибметахим» реализует проект, включающий модернизацию компрессора синтез-газа и техническое перевооружение циркулярного синтеза метанола с целью увеличения мощности производства метанола.</w:t>
      </w:r>
    </w:p>
    <w:p w:rsidR="007E27CB" w:rsidRDefault="008F141F">
      <w:pPr>
        <w:tabs>
          <w:tab w:val="left" w:pos="851"/>
          <w:tab w:val="left" w:pos="993"/>
          <w:tab w:val="left" w:pos="4962"/>
        </w:tabs>
        <w:spacing w:after="0" w:line="240" w:lineRule="auto"/>
        <w:ind w:firstLine="567"/>
        <w:contextualSpacing/>
        <w:jc w:val="both"/>
        <w:rPr>
          <w:sz w:val="24"/>
          <w:szCs w:val="24"/>
        </w:rPr>
      </w:pPr>
      <w:r>
        <w:rPr>
          <w:rFonts w:eastAsia="Calibri"/>
          <w:sz w:val="24"/>
          <w:szCs w:val="24"/>
        </w:rPr>
        <w:t xml:space="preserve">В данные  проекты химической отрасли в 2019 году инвестировано более 1,2 млрд. рублей, всего будет вложено более 3 млрд. рублей инвестиций в период 2019 </w:t>
      </w:r>
      <w:r>
        <w:rPr>
          <w:sz w:val="24"/>
          <w:szCs w:val="24"/>
          <w:lang w:eastAsia="ru-RU"/>
        </w:rPr>
        <w:t xml:space="preserve">– </w:t>
      </w:r>
      <w:r>
        <w:rPr>
          <w:rFonts w:eastAsia="Calibri"/>
          <w:sz w:val="24"/>
          <w:szCs w:val="24"/>
        </w:rPr>
        <w:t xml:space="preserve">2022 гг. </w:t>
      </w:r>
    </w:p>
    <w:p w:rsidR="007E27CB" w:rsidRDefault="008F141F">
      <w:pPr>
        <w:tabs>
          <w:tab w:val="left" w:pos="851"/>
          <w:tab w:val="left" w:pos="4962"/>
        </w:tabs>
        <w:spacing w:after="0" w:line="240" w:lineRule="auto"/>
        <w:ind w:firstLine="567"/>
        <w:contextualSpacing/>
        <w:jc w:val="both"/>
        <w:rPr>
          <w:rFonts w:eastAsia="Calibri"/>
          <w:b/>
          <w:sz w:val="24"/>
          <w:szCs w:val="24"/>
        </w:rPr>
      </w:pPr>
      <w:r>
        <w:rPr>
          <w:rFonts w:eastAsia="Calibri"/>
          <w:b/>
          <w:sz w:val="24"/>
          <w:szCs w:val="24"/>
        </w:rPr>
        <w:t>Машиностроительное производство: </w:t>
      </w:r>
    </w:p>
    <w:p w:rsidR="007E27CB" w:rsidRDefault="008F141F">
      <w:pPr>
        <w:tabs>
          <w:tab w:val="left" w:pos="851"/>
          <w:tab w:val="left" w:pos="993"/>
          <w:tab w:val="left" w:pos="4962"/>
        </w:tabs>
        <w:spacing w:after="0" w:line="240" w:lineRule="auto"/>
        <w:ind w:firstLine="567"/>
        <w:contextualSpacing/>
        <w:jc w:val="both"/>
        <w:rPr>
          <w:rFonts w:eastAsia="Calibri"/>
          <w:sz w:val="24"/>
          <w:szCs w:val="24"/>
        </w:rPr>
      </w:pPr>
      <w:r>
        <w:rPr>
          <w:rFonts w:eastAsia="Calibri"/>
          <w:sz w:val="24"/>
          <w:szCs w:val="24"/>
        </w:rPr>
        <w:t xml:space="preserve">АО «НИИ ПП», АО «НПЦ «Полюс» реализуют проекты по реконструкции и техническому перевооружению производства с привлечением средств федерального бюджета. </w:t>
      </w:r>
    </w:p>
    <w:p w:rsidR="007E27CB" w:rsidRDefault="008F141F">
      <w:pPr>
        <w:tabs>
          <w:tab w:val="left" w:pos="851"/>
          <w:tab w:val="left" w:pos="993"/>
          <w:tab w:val="left" w:pos="4962"/>
        </w:tabs>
        <w:spacing w:after="0" w:line="240" w:lineRule="auto"/>
        <w:ind w:firstLine="567"/>
        <w:contextualSpacing/>
        <w:jc w:val="both"/>
        <w:rPr>
          <w:rFonts w:eastAsia="Calibri"/>
          <w:sz w:val="24"/>
          <w:szCs w:val="24"/>
        </w:rPr>
      </w:pPr>
      <w:r>
        <w:rPr>
          <w:rFonts w:eastAsia="Calibri"/>
          <w:sz w:val="24"/>
          <w:szCs w:val="24"/>
        </w:rPr>
        <w:t xml:space="preserve">АО НПФ «Микран» завершены проекты по созданию комплекса информационно-измерительного оборудования, разработке и организации серийного производства радиорелейных станций для перспективных телекоммуникационных сетей. </w:t>
      </w:r>
    </w:p>
    <w:p w:rsidR="007E27CB" w:rsidRDefault="008F141F">
      <w:pPr>
        <w:tabs>
          <w:tab w:val="left" w:pos="851"/>
          <w:tab w:val="left" w:pos="993"/>
          <w:tab w:val="left" w:pos="4962"/>
        </w:tabs>
        <w:spacing w:after="0" w:line="240" w:lineRule="auto"/>
        <w:ind w:firstLine="567"/>
        <w:contextualSpacing/>
        <w:jc w:val="both"/>
        <w:rPr>
          <w:rFonts w:eastAsia="Calibri"/>
          <w:sz w:val="24"/>
          <w:szCs w:val="24"/>
        </w:rPr>
      </w:pPr>
      <w:r>
        <w:rPr>
          <w:rFonts w:eastAsia="Calibri"/>
          <w:sz w:val="24"/>
          <w:szCs w:val="24"/>
        </w:rPr>
        <w:t>ООО «Руслед» совместно с Томским государственным университетом систем управления и радиоэлектроники реализован проект по созданию высокотехнологической линии производства светодиодных ламп нового поколения, производительность линии при полной загрузке составляет 6,5 млн. штук в год.</w:t>
      </w:r>
    </w:p>
    <w:p w:rsidR="007E27CB" w:rsidRDefault="008F141F">
      <w:pPr>
        <w:tabs>
          <w:tab w:val="left" w:pos="851"/>
          <w:tab w:val="left" w:pos="993"/>
          <w:tab w:val="left" w:pos="4962"/>
        </w:tabs>
        <w:spacing w:after="0" w:line="240" w:lineRule="auto"/>
        <w:ind w:firstLine="567"/>
        <w:contextualSpacing/>
        <w:jc w:val="both"/>
        <w:rPr>
          <w:rFonts w:eastAsia="Calibri"/>
          <w:sz w:val="24"/>
          <w:szCs w:val="24"/>
        </w:rPr>
      </w:pPr>
      <w:r>
        <w:rPr>
          <w:rFonts w:eastAsia="Calibri"/>
          <w:sz w:val="24"/>
          <w:szCs w:val="24"/>
        </w:rPr>
        <w:t>АО «Сибкабель» продолжает активное обновление технологического оборудования: приобретены высокоскоростные крутильные машины и линия грубого волочения, позволяющие кратно увеличить производительность производства.</w:t>
      </w:r>
    </w:p>
    <w:p w:rsidR="007E27CB" w:rsidRDefault="008F141F">
      <w:pPr>
        <w:tabs>
          <w:tab w:val="left" w:pos="851"/>
          <w:tab w:val="left" w:pos="993"/>
          <w:tab w:val="left" w:pos="4962"/>
        </w:tabs>
        <w:spacing w:after="0" w:line="240" w:lineRule="auto"/>
        <w:ind w:firstLine="567"/>
        <w:contextualSpacing/>
        <w:jc w:val="both"/>
        <w:rPr>
          <w:rFonts w:eastAsia="Calibri"/>
          <w:sz w:val="24"/>
          <w:szCs w:val="24"/>
        </w:rPr>
      </w:pPr>
      <w:r>
        <w:rPr>
          <w:rFonts w:eastAsia="Calibri"/>
          <w:sz w:val="24"/>
          <w:szCs w:val="24"/>
        </w:rPr>
        <w:t xml:space="preserve">Инвестиции в НИОКР и модернизацию производства машиностроительных предприятий области в 2019 году превысили 1,7 млрд. рублей. </w:t>
      </w:r>
    </w:p>
    <w:p w:rsidR="007E27CB" w:rsidRDefault="008F141F">
      <w:pPr>
        <w:tabs>
          <w:tab w:val="left" w:pos="851"/>
          <w:tab w:val="left" w:pos="4962"/>
        </w:tabs>
        <w:spacing w:after="0" w:line="240" w:lineRule="auto"/>
        <w:ind w:firstLine="567"/>
        <w:contextualSpacing/>
        <w:jc w:val="both"/>
        <w:rPr>
          <w:rFonts w:eastAsia="Calibri"/>
          <w:sz w:val="24"/>
          <w:szCs w:val="24"/>
        </w:rPr>
      </w:pPr>
      <w:r>
        <w:rPr>
          <w:rFonts w:eastAsia="Calibri"/>
          <w:sz w:val="24"/>
          <w:szCs w:val="24"/>
        </w:rPr>
        <w:t xml:space="preserve">В 2019 году предприятия </w:t>
      </w:r>
      <w:r>
        <w:rPr>
          <w:rFonts w:eastAsia="Calibri"/>
          <w:b/>
          <w:sz w:val="24"/>
          <w:szCs w:val="24"/>
        </w:rPr>
        <w:t>радиоэлектронной промышленности</w:t>
      </w:r>
      <w:r>
        <w:rPr>
          <w:rFonts w:eastAsia="Calibri"/>
          <w:sz w:val="24"/>
          <w:szCs w:val="24"/>
        </w:rPr>
        <w:t xml:space="preserve"> стали победителями конкурсных отборов, проведенных Минпромторгом России, Минкомсвязи России и Минобрнауки России, что позволит привлечь в ближайшие 5 лет из федерального бюджета дополнительно около 950 млн. рублей,  в том числе:</w:t>
      </w:r>
    </w:p>
    <w:p w:rsidR="007E27CB" w:rsidRDefault="008F141F">
      <w:pPr>
        <w:tabs>
          <w:tab w:val="left" w:pos="851"/>
          <w:tab w:val="left" w:pos="4962"/>
        </w:tabs>
        <w:spacing w:after="0" w:line="240" w:lineRule="auto"/>
        <w:ind w:firstLine="567"/>
        <w:contextualSpacing/>
        <w:jc w:val="both"/>
        <w:rPr>
          <w:rFonts w:eastAsia="Calibri"/>
          <w:sz w:val="24"/>
          <w:szCs w:val="24"/>
        </w:rPr>
      </w:pPr>
      <w:r>
        <w:rPr>
          <w:rFonts w:eastAsia="Calibri"/>
          <w:sz w:val="24"/>
          <w:szCs w:val="24"/>
        </w:rPr>
        <w:t>1) субсидии на создание научно-технического задела по разработке базовых технологий производства приоритетных электронных компонентов и радиоэлектронной аппаратуры получит:</w:t>
      </w:r>
    </w:p>
    <w:p w:rsidR="007E27CB" w:rsidRDefault="008F141F">
      <w:pPr>
        <w:widowControl w:val="0"/>
        <w:tabs>
          <w:tab w:val="left" w:pos="851"/>
          <w:tab w:val="left" w:pos="4962"/>
        </w:tabs>
        <w:spacing w:after="0" w:line="240" w:lineRule="auto"/>
        <w:ind w:firstLine="567"/>
        <w:jc w:val="both"/>
        <w:rPr>
          <w:rFonts w:eastAsia="Calibri"/>
          <w:sz w:val="24"/>
          <w:szCs w:val="24"/>
        </w:rPr>
      </w:pPr>
      <w:r>
        <w:rPr>
          <w:rFonts w:eastAsia="Calibri"/>
          <w:sz w:val="24"/>
          <w:szCs w:val="24"/>
        </w:rPr>
        <w:t>АО «НИИПП» на два проекта по созданию гражданской продукции:</w:t>
      </w:r>
    </w:p>
    <w:p w:rsidR="007E27CB" w:rsidRDefault="008F141F">
      <w:pPr>
        <w:widowControl w:val="0"/>
        <w:numPr>
          <w:ilvl w:val="0"/>
          <w:numId w:val="118"/>
        </w:numPr>
        <w:tabs>
          <w:tab w:val="left" w:pos="0"/>
          <w:tab w:val="left" w:pos="284"/>
          <w:tab w:val="left" w:pos="851"/>
          <w:tab w:val="left" w:pos="993"/>
          <w:tab w:val="left" w:pos="4962"/>
        </w:tabs>
        <w:spacing w:after="0" w:line="240" w:lineRule="auto"/>
        <w:ind w:left="0" w:firstLine="567"/>
        <w:contextualSpacing/>
        <w:jc w:val="both"/>
        <w:rPr>
          <w:rFonts w:eastAsia="Calibri"/>
          <w:sz w:val="24"/>
          <w:szCs w:val="24"/>
        </w:rPr>
      </w:pPr>
      <w:r>
        <w:rPr>
          <w:rFonts w:eastAsia="Calibri"/>
          <w:sz w:val="24"/>
          <w:szCs w:val="24"/>
        </w:rPr>
        <w:t xml:space="preserve">разработка базовой технологии производства программно-аппаратных комплексов для измерения параметров монолитно-интегральных схем на пластине с использованием зондовых станций в диапазоне до 67 ГГц с возможностью расширения диапазона до 650 ГГц, срок реализации </w:t>
      </w:r>
      <w:r>
        <w:rPr>
          <w:sz w:val="24"/>
          <w:szCs w:val="24"/>
          <w:lang w:eastAsia="ru-RU"/>
        </w:rPr>
        <w:t xml:space="preserve">– </w:t>
      </w:r>
      <w:r>
        <w:rPr>
          <w:rFonts w:eastAsia="Calibri"/>
          <w:sz w:val="24"/>
          <w:szCs w:val="24"/>
        </w:rPr>
        <w:t xml:space="preserve">2019 </w:t>
      </w:r>
      <w:r>
        <w:rPr>
          <w:sz w:val="24"/>
          <w:szCs w:val="24"/>
          <w:lang w:eastAsia="ru-RU"/>
        </w:rPr>
        <w:t xml:space="preserve">– </w:t>
      </w:r>
      <w:r>
        <w:rPr>
          <w:rFonts w:eastAsia="Calibri"/>
          <w:sz w:val="24"/>
          <w:szCs w:val="24"/>
        </w:rPr>
        <w:t>2024 годы.</w:t>
      </w:r>
    </w:p>
    <w:p w:rsidR="007E27CB" w:rsidRDefault="008F141F">
      <w:pPr>
        <w:widowControl w:val="0"/>
        <w:numPr>
          <w:ilvl w:val="0"/>
          <w:numId w:val="118"/>
        </w:numPr>
        <w:tabs>
          <w:tab w:val="left" w:pos="0"/>
          <w:tab w:val="left" w:pos="284"/>
          <w:tab w:val="left" w:pos="851"/>
          <w:tab w:val="left" w:pos="993"/>
          <w:tab w:val="left" w:pos="4962"/>
        </w:tabs>
        <w:spacing w:after="0" w:line="240" w:lineRule="auto"/>
        <w:ind w:left="0" w:firstLine="567"/>
        <w:contextualSpacing/>
        <w:jc w:val="both"/>
        <w:rPr>
          <w:rFonts w:eastAsia="Calibri"/>
          <w:sz w:val="24"/>
          <w:szCs w:val="24"/>
        </w:rPr>
      </w:pPr>
      <w:r>
        <w:rPr>
          <w:rFonts w:eastAsia="Calibri"/>
          <w:sz w:val="24"/>
          <w:szCs w:val="24"/>
        </w:rPr>
        <w:t xml:space="preserve">разработка и производство комплексной программно-аппаратной платформы на основе диагностических и аналитических медицинских приборов для применения в области телемедицины (предрейсовый осмотр водителя), срок реализации </w:t>
      </w:r>
      <w:r>
        <w:rPr>
          <w:sz w:val="24"/>
          <w:szCs w:val="24"/>
          <w:lang w:eastAsia="ru-RU"/>
        </w:rPr>
        <w:t xml:space="preserve">– </w:t>
      </w:r>
      <w:r>
        <w:rPr>
          <w:rFonts w:eastAsia="Calibri"/>
          <w:sz w:val="24"/>
          <w:szCs w:val="24"/>
        </w:rPr>
        <w:t xml:space="preserve">2019 </w:t>
      </w:r>
      <w:r>
        <w:rPr>
          <w:sz w:val="24"/>
          <w:szCs w:val="24"/>
          <w:lang w:eastAsia="ru-RU"/>
        </w:rPr>
        <w:t xml:space="preserve">– </w:t>
      </w:r>
      <w:r>
        <w:rPr>
          <w:rFonts w:eastAsia="Calibri"/>
          <w:sz w:val="24"/>
          <w:szCs w:val="24"/>
        </w:rPr>
        <w:t xml:space="preserve">2023 годы. </w:t>
      </w:r>
    </w:p>
    <w:p w:rsidR="007E27CB" w:rsidRDefault="008F141F">
      <w:pPr>
        <w:tabs>
          <w:tab w:val="left" w:pos="851"/>
          <w:tab w:val="left" w:pos="4962"/>
        </w:tabs>
        <w:spacing w:after="0" w:line="240" w:lineRule="auto"/>
        <w:ind w:firstLine="567"/>
        <w:contextualSpacing/>
        <w:jc w:val="both"/>
        <w:rPr>
          <w:rFonts w:eastAsia="Calibri"/>
          <w:sz w:val="24"/>
          <w:szCs w:val="24"/>
        </w:rPr>
      </w:pPr>
      <w:r>
        <w:rPr>
          <w:rFonts w:eastAsia="Calibri"/>
          <w:sz w:val="24"/>
          <w:szCs w:val="24"/>
        </w:rPr>
        <w:t>АО НПФ «Микран» по проекту:</w:t>
      </w:r>
    </w:p>
    <w:p w:rsidR="007E27CB" w:rsidRDefault="008F141F">
      <w:pPr>
        <w:pStyle w:val="a6"/>
        <w:numPr>
          <w:ilvl w:val="0"/>
          <w:numId w:val="119"/>
        </w:numPr>
        <w:tabs>
          <w:tab w:val="left" w:pos="851"/>
          <w:tab w:val="left" w:pos="993"/>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создание программно-аппаратной платформы для обеспечения мониторинга и охраны территорий с применением различных радиолокационных сенсоров на объектах организаций и специального назначения, срок реализации </w:t>
      </w:r>
      <w:r>
        <w:rPr>
          <w:sz w:val="24"/>
          <w:szCs w:val="24"/>
          <w:lang w:eastAsia="ru-RU"/>
        </w:rPr>
        <w:t xml:space="preserve">– </w:t>
      </w:r>
      <w:r>
        <w:rPr>
          <w:rFonts w:ascii="Times New Roman" w:hAnsi="Times New Roman"/>
          <w:sz w:val="24"/>
          <w:szCs w:val="24"/>
        </w:rPr>
        <w:t xml:space="preserve">2019 </w:t>
      </w:r>
      <w:r>
        <w:rPr>
          <w:sz w:val="24"/>
          <w:szCs w:val="24"/>
          <w:lang w:eastAsia="ru-RU"/>
        </w:rPr>
        <w:t xml:space="preserve">– </w:t>
      </w:r>
      <w:r>
        <w:rPr>
          <w:rFonts w:ascii="Times New Roman" w:hAnsi="Times New Roman"/>
          <w:sz w:val="24"/>
          <w:szCs w:val="24"/>
        </w:rPr>
        <w:t>2023 годы;</w:t>
      </w:r>
    </w:p>
    <w:p w:rsidR="007E27CB" w:rsidRDefault="008F141F">
      <w:pPr>
        <w:tabs>
          <w:tab w:val="left" w:pos="851"/>
          <w:tab w:val="left" w:pos="4962"/>
        </w:tabs>
        <w:spacing w:after="0" w:line="240" w:lineRule="auto"/>
        <w:ind w:firstLine="567"/>
        <w:jc w:val="both"/>
        <w:rPr>
          <w:rFonts w:eastAsia="Calibri"/>
          <w:sz w:val="24"/>
          <w:szCs w:val="24"/>
        </w:rPr>
      </w:pPr>
      <w:r>
        <w:rPr>
          <w:rFonts w:eastAsia="Calibri"/>
          <w:sz w:val="24"/>
          <w:szCs w:val="24"/>
        </w:rPr>
        <w:t>2)  АО «НПФ «Микран» вошло в число победителей федерального конкурса по отбору компаний-лидеров по разработке продуктов, сервисов и платформенных решений на базе «сквозных» цифровых технологий. На реализацию проекта «Разработка отечественных модулей 5G средней и большой зоны обслуживания» компания получит грант – 230 млн. рубле;</w:t>
      </w:r>
    </w:p>
    <w:p w:rsidR="007E27CB" w:rsidRDefault="008F141F">
      <w:pPr>
        <w:tabs>
          <w:tab w:val="left" w:pos="851"/>
          <w:tab w:val="left" w:pos="4962"/>
        </w:tabs>
        <w:spacing w:after="0" w:line="240" w:lineRule="auto"/>
        <w:ind w:firstLine="567"/>
        <w:jc w:val="both"/>
        <w:rPr>
          <w:sz w:val="24"/>
          <w:szCs w:val="24"/>
        </w:rPr>
      </w:pPr>
      <w:r>
        <w:rPr>
          <w:rFonts w:eastAsia="Calibri"/>
          <w:sz w:val="24"/>
          <w:szCs w:val="24"/>
        </w:rPr>
        <w:t xml:space="preserve">3) совместный проект АО «НПФ «Микран» и НИ ТГУ «Разработка программно-аппаратного комплекса для формирования тестовых сигналов стандарта 5G NR» стал победителем 11-й очереди федерального конкурса и в 2019 </w:t>
      </w:r>
      <w:r>
        <w:rPr>
          <w:sz w:val="24"/>
          <w:szCs w:val="24"/>
          <w:lang w:eastAsia="ru-RU"/>
        </w:rPr>
        <w:t xml:space="preserve">– </w:t>
      </w:r>
      <w:r>
        <w:rPr>
          <w:rFonts w:eastAsia="Calibri"/>
          <w:sz w:val="24"/>
          <w:szCs w:val="24"/>
        </w:rPr>
        <w:t xml:space="preserve">2021 гг. будет получать </w:t>
      </w:r>
      <w:r>
        <w:rPr>
          <w:rFonts w:eastAsia="Calibri"/>
          <w:sz w:val="24"/>
          <w:szCs w:val="24"/>
        </w:rPr>
        <w:lastRenderedPageBreak/>
        <w:t>субсидии из федерального бюджета на реализацию комплексных проектов по созданию высокотехнологичных производств.</w:t>
      </w:r>
    </w:p>
    <w:p w:rsidR="007E27CB" w:rsidRDefault="008F141F">
      <w:pPr>
        <w:tabs>
          <w:tab w:val="left" w:pos="0"/>
          <w:tab w:val="left" w:pos="851"/>
          <w:tab w:val="left" w:pos="4962"/>
        </w:tabs>
        <w:spacing w:after="0" w:line="240" w:lineRule="auto"/>
        <w:ind w:firstLine="567"/>
        <w:jc w:val="both"/>
        <w:rPr>
          <w:rFonts w:eastAsia="Calibri"/>
          <w:sz w:val="24"/>
          <w:szCs w:val="24"/>
        </w:rPr>
      </w:pPr>
      <w:r>
        <w:rPr>
          <w:rFonts w:eastAsia="Calibri"/>
          <w:b/>
          <w:sz w:val="24"/>
          <w:szCs w:val="24"/>
        </w:rPr>
        <w:t>Лесопромышленный комплекс Томской области</w:t>
      </w:r>
      <w:r>
        <w:rPr>
          <w:rFonts w:eastAsia="Calibri"/>
          <w:sz w:val="24"/>
          <w:szCs w:val="24"/>
        </w:rPr>
        <w:t xml:space="preserve"> продолжил устойчивое развитие.</w:t>
      </w:r>
    </w:p>
    <w:p w:rsidR="007E27CB" w:rsidRDefault="008F141F">
      <w:pPr>
        <w:tabs>
          <w:tab w:val="left" w:pos="0"/>
          <w:tab w:val="left" w:pos="851"/>
          <w:tab w:val="left" w:pos="4962"/>
        </w:tabs>
        <w:spacing w:after="0" w:line="240" w:lineRule="auto"/>
        <w:ind w:firstLine="567"/>
        <w:jc w:val="both"/>
        <w:rPr>
          <w:rFonts w:eastAsia="Calibri"/>
          <w:sz w:val="24"/>
          <w:szCs w:val="24"/>
        </w:rPr>
      </w:pPr>
      <w:r>
        <w:rPr>
          <w:rFonts w:eastAsia="Calibri"/>
          <w:sz w:val="24"/>
          <w:szCs w:val="24"/>
        </w:rPr>
        <w:t>За 2019 год отгружено товаров лесопромышленного производства на сумму 19,9  млрд. рублей, что на 41% больше, чем в 2018 году. Текущая динамика обусловлена ростом объемов производства и увеличением в товарной структуре доли продукции с высокой добавленной стоимостью.</w:t>
      </w:r>
      <w:r>
        <w:rPr>
          <w:sz w:val="24"/>
          <w:szCs w:val="24"/>
        </w:rPr>
        <w:t xml:space="preserve"> </w:t>
      </w:r>
      <w:r>
        <w:rPr>
          <w:rFonts w:eastAsia="Calibri"/>
          <w:sz w:val="24"/>
          <w:szCs w:val="24"/>
        </w:rPr>
        <w:t xml:space="preserve">В 2019 году на 22,5% увеличен объем производства МДФ, на 3,2% </w:t>
      </w:r>
      <w:r>
        <w:rPr>
          <w:sz w:val="24"/>
          <w:szCs w:val="24"/>
          <w:lang w:eastAsia="ru-RU"/>
        </w:rPr>
        <w:t xml:space="preserve">– </w:t>
      </w:r>
      <w:r>
        <w:rPr>
          <w:rFonts w:eastAsia="Calibri"/>
          <w:sz w:val="24"/>
          <w:szCs w:val="24"/>
        </w:rPr>
        <w:t xml:space="preserve">ДСП, на 33% увеличен объем производства шпона благодаря стабильному развитию крупных предприятий лесной отрасли: ООО «Томлесдрев» (производство ДСП), ООО «Монолит-Строй» (производство МДФ), OOO «Асиновский завод МДФ» (производство МДФ), ООО «Асиновская лесопромышленность» (производство шпона), ООО «Сибирьлес» (производство шпона, пиломатериалов и мебельной заготовки). Увеличили ассортимент и объем выпускаемой продукции предприятия малого и среднего бизнеса. </w:t>
      </w:r>
    </w:p>
    <w:p w:rsidR="007E27CB" w:rsidRDefault="008F141F">
      <w:pPr>
        <w:tabs>
          <w:tab w:val="left" w:pos="0"/>
          <w:tab w:val="left" w:pos="851"/>
          <w:tab w:val="left" w:pos="4962"/>
        </w:tabs>
        <w:spacing w:after="0" w:line="240" w:lineRule="auto"/>
        <w:ind w:firstLine="567"/>
        <w:jc w:val="both"/>
        <w:rPr>
          <w:rFonts w:eastAsia="Calibri"/>
          <w:sz w:val="24"/>
          <w:szCs w:val="24"/>
        </w:rPr>
      </w:pPr>
      <w:r>
        <w:rPr>
          <w:rFonts w:eastAsia="Calibri"/>
          <w:sz w:val="24"/>
          <w:szCs w:val="24"/>
        </w:rPr>
        <w:t>Начата реализация двух инвестиционных проектов, включенных Минпромторгом России в федеральный перечень приоритетных инвестиционных проектов в области освоения лесов:</w:t>
      </w:r>
    </w:p>
    <w:p w:rsidR="007E27CB" w:rsidRDefault="008F141F">
      <w:pPr>
        <w:pStyle w:val="a6"/>
        <w:numPr>
          <w:ilvl w:val="0"/>
          <w:numId w:val="200"/>
        </w:numPr>
        <w:tabs>
          <w:tab w:val="left" w:pos="0"/>
          <w:tab w:val="left" w:pos="851"/>
          <w:tab w:val="left" w:pos="4962"/>
        </w:tabs>
        <w:spacing w:after="0" w:line="240" w:lineRule="auto"/>
        <w:ind w:left="0" w:firstLine="567"/>
        <w:jc w:val="both"/>
        <w:rPr>
          <w:rFonts w:ascii="Times New Roman" w:hAnsi="Times New Roman"/>
          <w:b/>
          <w:sz w:val="24"/>
          <w:szCs w:val="24"/>
        </w:rPr>
      </w:pPr>
      <w:r>
        <w:rPr>
          <w:rFonts w:ascii="Times New Roman" w:hAnsi="Times New Roman"/>
          <w:sz w:val="24"/>
          <w:szCs w:val="24"/>
        </w:rPr>
        <w:t xml:space="preserve">ООО «Лес-Экспорт» реализует инвестиционный проект «Создание лесозаготовительной инфраструктуры для освоения труднодоступных лесных территорий в Александровском и Каргасокском районах Томской области. Создание мощностей по комплексной переработке древесины в с. Красный Яр Кривошеинского района Томской области». Предполагается создание производств по выпуску пиломатериалов, технологической щепы, пеллет, срок реализации – 2019 </w:t>
      </w:r>
      <w:r>
        <w:rPr>
          <w:sz w:val="24"/>
          <w:szCs w:val="24"/>
          <w:lang w:eastAsia="ru-RU"/>
        </w:rPr>
        <w:t xml:space="preserve">– </w:t>
      </w:r>
      <w:r>
        <w:rPr>
          <w:rFonts w:ascii="Times New Roman" w:hAnsi="Times New Roman"/>
          <w:sz w:val="24"/>
          <w:szCs w:val="24"/>
        </w:rPr>
        <w:t>2024 годы, объем инвестиций – 973,8 млн. рублей, планируется создать 227 рабочих мест;</w:t>
      </w:r>
    </w:p>
    <w:p w:rsidR="007E27CB" w:rsidRDefault="008F141F">
      <w:pPr>
        <w:pStyle w:val="a6"/>
        <w:numPr>
          <w:ilvl w:val="0"/>
          <w:numId w:val="200"/>
        </w:numPr>
        <w:tabs>
          <w:tab w:val="left" w:pos="0"/>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ООО «Сибирьлес» до 2024 года в Зырянском районе реализует проект «Расширение производственных мощностей по выпуску экспортно ориентированной лесопромышленной продукции», предполагающий создание производств по выпуску пиломатериалов, шпона, мебельных компонент, пеллет. Срок реализации – 2019 </w:t>
      </w:r>
      <w:r>
        <w:rPr>
          <w:sz w:val="24"/>
          <w:szCs w:val="24"/>
          <w:lang w:eastAsia="ru-RU"/>
        </w:rPr>
        <w:t xml:space="preserve">– </w:t>
      </w:r>
      <w:r>
        <w:rPr>
          <w:rFonts w:ascii="Times New Roman" w:hAnsi="Times New Roman"/>
          <w:sz w:val="24"/>
          <w:szCs w:val="24"/>
        </w:rPr>
        <w:t>2024 годы, объем инвестиций – 501,4 млн. рублей, планируется создать 110 рабочих мест.</w:t>
      </w:r>
    </w:p>
    <w:p w:rsidR="007E27CB" w:rsidRDefault="008F141F">
      <w:pPr>
        <w:tabs>
          <w:tab w:val="left" w:pos="709"/>
          <w:tab w:val="left" w:pos="851"/>
          <w:tab w:val="left" w:pos="4962"/>
        </w:tabs>
        <w:spacing w:after="0"/>
        <w:ind w:firstLine="567"/>
        <w:jc w:val="both"/>
        <w:rPr>
          <w:rFonts w:eastAsia="Calibri"/>
          <w:sz w:val="24"/>
          <w:szCs w:val="24"/>
        </w:rPr>
      </w:pPr>
      <w:r>
        <w:rPr>
          <w:rFonts w:eastAsia="Calibri"/>
          <w:sz w:val="24"/>
          <w:szCs w:val="24"/>
        </w:rPr>
        <w:tab/>
        <w:t xml:space="preserve">Ключевыми моментами развития </w:t>
      </w:r>
      <w:r>
        <w:rPr>
          <w:rFonts w:eastAsia="Calibri"/>
          <w:b/>
          <w:sz w:val="24"/>
          <w:szCs w:val="24"/>
        </w:rPr>
        <w:t>пищевой промышленности</w:t>
      </w:r>
      <w:r>
        <w:rPr>
          <w:rFonts w:eastAsia="Calibri"/>
          <w:sz w:val="24"/>
          <w:szCs w:val="24"/>
        </w:rPr>
        <w:t xml:space="preserve"> в 2019 году являются:</w:t>
      </w:r>
    </w:p>
    <w:p w:rsidR="007E27CB" w:rsidRDefault="008F141F">
      <w:pPr>
        <w:numPr>
          <w:ilvl w:val="0"/>
          <w:numId w:val="145"/>
        </w:numPr>
        <w:tabs>
          <w:tab w:val="left" w:pos="0"/>
          <w:tab w:val="left" w:pos="426"/>
          <w:tab w:val="left" w:pos="851"/>
          <w:tab w:val="left" w:pos="4962"/>
        </w:tabs>
        <w:spacing w:after="0" w:line="240" w:lineRule="auto"/>
        <w:ind w:left="0" w:firstLine="567"/>
        <w:jc w:val="both"/>
        <w:rPr>
          <w:rFonts w:eastAsia="Calibri"/>
          <w:sz w:val="24"/>
          <w:szCs w:val="24"/>
        </w:rPr>
      </w:pPr>
      <w:r>
        <w:rPr>
          <w:rFonts w:eastAsia="Calibri"/>
          <w:sz w:val="24"/>
          <w:szCs w:val="24"/>
        </w:rPr>
        <w:t>запуск производства рапсового масла на ООО «Сибирская олива». В 2019 году ООО «Сибирская Олива» построило производственный комплекс по приемке, хранению и переработке масличных и зерновых культур. При выходе на полную производственную мощность планируется производить 22 тыс. тонн рапсового масла и 34 тыс. тонн рапсового жмыха. Продукция ориентирована на экспорт, так как пользуется большим спросом в Китае и других странах Южной и Восточной Азии. Инвестиции в проект составили свыше 690 млн. рублей, создано 72 рабочих места;</w:t>
      </w:r>
    </w:p>
    <w:p w:rsidR="007E27CB" w:rsidRDefault="008F141F">
      <w:pPr>
        <w:numPr>
          <w:ilvl w:val="0"/>
          <w:numId w:val="145"/>
        </w:numPr>
        <w:tabs>
          <w:tab w:val="left" w:pos="426"/>
          <w:tab w:val="left" w:pos="851"/>
          <w:tab w:val="left" w:pos="4962"/>
        </w:tabs>
        <w:spacing w:after="0" w:line="240" w:lineRule="auto"/>
        <w:ind w:left="0" w:firstLine="567"/>
        <w:jc w:val="both"/>
        <w:rPr>
          <w:rFonts w:eastAsia="Calibri"/>
          <w:sz w:val="24"/>
          <w:szCs w:val="24"/>
        </w:rPr>
      </w:pPr>
      <w:r>
        <w:rPr>
          <w:rFonts w:eastAsia="Calibri"/>
          <w:sz w:val="24"/>
          <w:szCs w:val="24"/>
        </w:rPr>
        <w:t>реализация бизнес-проекта «Строительство промышленно-складского комплекса для организации высокотехнологичного производства фармацевтического желатина для капсул» (ООО «Артлайф») позволила запустить производство желатиновых капсул на производственно-складской площадке. Введенные новые мощности обеспечивают выпуск желатиновых капсул для медицинских препаратов до 2 млрд. штук в год. Инвестиции в проект составили свыше 656 млн. рублей, создано 34 рабочих места;</w:t>
      </w:r>
    </w:p>
    <w:p w:rsidR="007E27CB" w:rsidRDefault="008F141F">
      <w:pPr>
        <w:numPr>
          <w:ilvl w:val="0"/>
          <w:numId w:val="145"/>
        </w:numPr>
        <w:tabs>
          <w:tab w:val="left" w:pos="426"/>
          <w:tab w:val="left" w:pos="851"/>
          <w:tab w:val="left" w:pos="4962"/>
        </w:tabs>
        <w:spacing w:after="0" w:line="240" w:lineRule="auto"/>
        <w:ind w:left="0" w:firstLine="567"/>
        <w:jc w:val="both"/>
        <w:rPr>
          <w:rFonts w:eastAsia="Calibri"/>
          <w:sz w:val="24"/>
          <w:szCs w:val="24"/>
        </w:rPr>
      </w:pPr>
      <w:r>
        <w:rPr>
          <w:rFonts w:eastAsia="Calibri"/>
          <w:sz w:val="24"/>
          <w:szCs w:val="24"/>
        </w:rPr>
        <w:t>реализация бизнес-проекта «Реконструкция цеха № 2 Томского кондитера с целью увеличения производства хлебобулочных изделий из слоеного и дрожжевого теста в 2 раза» (ООО «Континент-сервис») способствовала увеличению производства хлебобулочных изделий из слоеного и дрожжевого теста в 2 раза (2 000 кг/сутки) и обеспечила рост в 4,9 раза производства печенья сладкого. Инвестиции в проект составили 5,1 млн. рублей, создано 24 рабочих места;</w:t>
      </w:r>
    </w:p>
    <w:p w:rsidR="007E27CB" w:rsidRDefault="008F141F">
      <w:pPr>
        <w:numPr>
          <w:ilvl w:val="0"/>
          <w:numId w:val="145"/>
        </w:numPr>
        <w:tabs>
          <w:tab w:val="left" w:pos="426"/>
          <w:tab w:val="left" w:pos="851"/>
          <w:tab w:val="left" w:pos="4962"/>
        </w:tabs>
        <w:spacing w:after="0" w:line="240" w:lineRule="auto"/>
        <w:ind w:left="0" w:firstLine="567"/>
        <w:jc w:val="both"/>
        <w:rPr>
          <w:rFonts w:eastAsia="Calibri"/>
          <w:sz w:val="24"/>
          <w:szCs w:val="24"/>
        </w:rPr>
      </w:pPr>
      <w:r>
        <w:rPr>
          <w:rFonts w:eastAsia="Calibri"/>
          <w:sz w:val="24"/>
          <w:szCs w:val="24"/>
        </w:rPr>
        <w:lastRenderedPageBreak/>
        <w:t>реализация бизнес-проекта «Модернизация линии механической очистки ягоды: приобретение нового технологического оборудования» (ООО ТПК «САВА»). Проект направлен на модернизацию линии механической очистки ягоды для увеличения производительности и получения качественного сырья для дальнейшей переработки – получения пюре, сока, масел из ягод и готовой продукции из ягод (варенье, джемы, протертая ягода, ягодные соусы и т.д.). Инвестиции в проект составили 59 млн. рублей, создано 6 рабочих мест;</w:t>
      </w:r>
    </w:p>
    <w:p w:rsidR="007E27CB" w:rsidRDefault="008F141F">
      <w:pPr>
        <w:numPr>
          <w:ilvl w:val="0"/>
          <w:numId w:val="145"/>
        </w:numPr>
        <w:tabs>
          <w:tab w:val="left" w:pos="426"/>
          <w:tab w:val="left" w:pos="851"/>
          <w:tab w:val="left" w:pos="4962"/>
        </w:tabs>
        <w:spacing w:after="0" w:line="240" w:lineRule="auto"/>
        <w:ind w:left="0" w:firstLine="567"/>
        <w:jc w:val="both"/>
        <w:rPr>
          <w:rFonts w:eastAsia="Calibri"/>
          <w:sz w:val="24"/>
          <w:szCs w:val="24"/>
        </w:rPr>
      </w:pPr>
      <w:r>
        <w:rPr>
          <w:rFonts w:eastAsia="Calibri"/>
          <w:sz w:val="24"/>
          <w:szCs w:val="24"/>
        </w:rPr>
        <w:t>реализация бизнес-проекта «Модернизация цеха кондитерских изделий на основе кедрового ореха и дикорастущих ягод, произрастающих на территории Томской области» (ИП Левихина А.В.). Целью бизнес-проекта является увеличение производства кондитерских изделий на 13%. Инвестиции в проект составили 2,2 млн. рублей, создано 4 рабочих места;</w:t>
      </w:r>
    </w:p>
    <w:p w:rsidR="007E27CB" w:rsidRDefault="008F141F">
      <w:pPr>
        <w:numPr>
          <w:ilvl w:val="0"/>
          <w:numId w:val="145"/>
        </w:numPr>
        <w:tabs>
          <w:tab w:val="left" w:pos="426"/>
          <w:tab w:val="left" w:pos="851"/>
          <w:tab w:val="left" w:pos="4962"/>
        </w:tabs>
        <w:spacing w:after="0" w:line="240" w:lineRule="auto"/>
        <w:ind w:left="0" w:firstLine="567"/>
        <w:jc w:val="both"/>
        <w:rPr>
          <w:rFonts w:eastAsia="Calibri"/>
          <w:sz w:val="24"/>
          <w:szCs w:val="24"/>
        </w:rPr>
      </w:pPr>
      <w:r>
        <w:rPr>
          <w:rFonts w:eastAsia="Calibri"/>
          <w:sz w:val="24"/>
          <w:szCs w:val="24"/>
        </w:rPr>
        <w:t>вывод на рынок более 175 наименований новых продуктов с использованием пищевых лесных ресурсов;</w:t>
      </w:r>
    </w:p>
    <w:p w:rsidR="007E27CB" w:rsidRDefault="008F141F">
      <w:pPr>
        <w:numPr>
          <w:ilvl w:val="0"/>
          <w:numId w:val="145"/>
        </w:numPr>
        <w:tabs>
          <w:tab w:val="left" w:pos="426"/>
          <w:tab w:val="left" w:pos="851"/>
          <w:tab w:val="left" w:pos="4962"/>
        </w:tabs>
        <w:spacing w:after="0" w:line="240" w:lineRule="auto"/>
        <w:ind w:left="0" w:firstLine="567"/>
        <w:jc w:val="both"/>
        <w:rPr>
          <w:rFonts w:eastAsia="Calibri"/>
          <w:sz w:val="24"/>
          <w:szCs w:val="24"/>
        </w:rPr>
      </w:pPr>
      <w:r>
        <w:rPr>
          <w:rFonts w:eastAsia="Calibri"/>
          <w:sz w:val="24"/>
          <w:szCs w:val="24"/>
        </w:rPr>
        <w:t>рост инвестиций в основной капитал по виду деятельности «Производство пищевых продуктов» в 2,6 раза, что составило 1 197,2 млн. рублей.</w:t>
      </w:r>
    </w:p>
    <w:p w:rsidR="007E27CB" w:rsidRDefault="007E27CB">
      <w:pPr>
        <w:tabs>
          <w:tab w:val="left" w:pos="709"/>
          <w:tab w:val="left" w:pos="851"/>
          <w:tab w:val="left" w:pos="4962"/>
        </w:tabs>
        <w:spacing w:after="0" w:line="240" w:lineRule="auto"/>
        <w:ind w:firstLine="567"/>
        <w:jc w:val="both"/>
        <w:rPr>
          <w:b/>
          <w:sz w:val="24"/>
          <w:szCs w:val="24"/>
        </w:rPr>
      </w:pPr>
    </w:p>
    <w:p w:rsidR="007E27CB" w:rsidRDefault="008F141F">
      <w:pPr>
        <w:shd w:val="clear" w:color="auto" w:fill="F2F2F2" w:themeFill="background1" w:themeFillShade="F2"/>
        <w:tabs>
          <w:tab w:val="left" w:pos="4962"/>
        </w:tabs>
        <w:spacing w:after="0" w:line="240" w:lineRule="auto"/>
        <w:jc w:val="both"/>
        <w:rPr>
          <w:b/>
          <w:sz w:val="24"/>
          <w:szCs w:val="24"/>
        </w:rPr>
      </w:pPr>
      <w:r>
        <w:rPr>
          <w:b/>
          <w:sz w:val="24"/>
          <w:szCs w:val="24"/>
        </w:rPr>
        <w:t>Перспективные задачи</w:t>
      </w:r>
      <w:r>
        <w:rPr>
          <w:sz w:val="24"/>
          <w:szCs w:val="24"/>
        </w:rPr>
        <w:t xml:space="preserve"> </w:t>
      </w:r>
    </w:p>
    <w:p w:rsidR="007E27CB" w:rsidRDefault="007E27CB">
      <w:pPr>
        <w:pStyle w:val="a6"/>
        <w:widowControl w:val="0"/>
        <w:tabs>
          <w:tab w:val="left" w:pos="0"/>
          <w:tab w:val="left" w:pos="284"/>
          <w:tab w:val="left" w:pos="4962"/>
        </w:tabs>
        <w:spacing w:after="0" w:line="240" w:lineRule="auto"/>
        <w:jc w:val="both"/>
        <w:rPr>
          <w:rFonts w:ascii="Times New Roman" w:hAnsi="Times New Roman"/>
          <w:sz w:val="24"/>
          <w:szCs w:val="24"/>
        </w:rPr>
      </w:pPr>
    </w:p>
    <w:p w:rsidR="007E27CB" w:rsidRDefault="008F141F">
      <w:pPr>
        <w:pStyle w:val="a6"/>
        <w:widowControl w:val="0"/>
        <w:numPr>
          <w:ilvl w:val="0"/>
          <w:numId w:val="120"/>
        </w:numPr>
        <w:tabs>
          <w:tab w:val="left" w:pos="0"/>
          <w:tab w:val="left" w:pos="284"/>
        </w:tabs>
        <w:spacing w:after="0" w:line="240" w:lineRule="auto"/>
        <w:ind w:left="0" w:firstLine="0"/>
        <w:jc w:val="both"/>
        <w:rPr>
          <w:rFonts w:ascii="Times New Roman" w:hAnsi="Times New Roman"/>
          <w:sz w:val="24"/>
          <w:szCs w:val="24"/>
        </w:rPr>
      </w:pPr>
      <w:r>
        <w:rPr>
          <w:rFonts w:ascii="Times New Roman" w:hAnsi="Times New Roman"/>
          <w:sz w:val="24"/>
          <w:szCs w:val="24"/>
        </w:rPr>
        <w:t>Содействие в реализации корпоративных программ повышения конкурентоспособности.</w:t>
      </w:r>
    </w:p>
    <w:p w:rsidR="007E27CB" w:rsidRDefault="008F141F">
      <w:pPr>
        <w:pStyle w:val="a6"/>
        <w:widowControl w:val="0"/>
        <w:numPr>
          <w:ilvl w:val="0"/>
          <w:numId w:val="120"/>
        </w:numPr>
        <w:tabs>
          <w:tab w:val="left" w:pos="0"/>
          <w:tab w:val="left" w:pos="284"/>
          <w:tab w:val="left" w:pos="4962"/>
        </w:tabs>
        <w:spacing w:after="0" w:line="240" w:lineRule="auto"/>
        <w:ind w:left="0" w:hanging="11"/>
        <w:jc w:val="both"/>
        <w:rPr>
          <w:rFonts w:ascii="Times New Roman" w:hAnsi="Times New Roman"/>
          <w:sz w:val="24"/>
          <w:szCs w:val="24"/>
        </w:rPr>
      </w:pPr>
      <w:r>
        <w:rPr>
          <w:rFonts w:ascii="Times New Roman" w:hAnsi="Times New Roman"/>
          <w:sz w:val="24"/>
          <w:szCs w:val="24"/>
        </w:rPr>
        <w:t>Формирование государственного спроса на продукцию, необходимую для реализации национальных проектов, путем вовлечения промышленных предприятий Томской области (включая предприятия оборонно-промышленного комплекса) в систему государственных и муниципальных закупок.</w:t>
      </w:r>
    </w:p>
    <w:p w:rsidR="007E27CB" w:rsidRDefault="008F141F">
      <w:pPr>
        <w:pStyle w:val="a6"/>
        <w:widowControl w:val="0"/>
        <w:numPr>
          <w:ilvl w:val="0"/>
          <w:numId w:val="120"/>
        </w:numPr>
        <w:tabs>
          <w:tab w:val="left" w:pos="0"/>
          <w:tab w:val="left" w:pos="284"/>
          <w:tab w:val="left" w:pos="4962"/>
        </w:tabs>
        <w:spacing w:after="0" w:line="240" w:lineRule="auto"/>
        <w:ind w:left="0" w:firstLine="0"/>
        <w:jc w:val="both"/>
        <w:rPr>
          <w:rFonts w:ascii="Times New Roman" w:hAnsi="Times New Roman"/>
          <w:sz w:val="24"/>
          <w:szCs w:val="24"/>
        </w:rPr>
      </w:pPr>
      <w:r>
        <w:rPr>
          <w:rFonts w:ascii="Times New Roman" w:hAnsi="Times New Roman"/>
          <w:sz w:val="24"/>
          <w:szCs w:val="24"/>
        </w:rPr>
        <w:t>Развитие государственной информационной системы промышленности как основного инструмента вовлечения предприятий в реализацию национальных проектов через эффективное цифровое взаимодействие.</w:t>
      </w:r>
    </w:p>
    <w:p w:rsidR="007E27CB" w:rsidRDefault="008F141F">
      <w:pPr>
        <w:pStyle w:val="a6"/>
        <w:widowControl w:val="0"/>
        <w:numPr>
          <w:ilvl w:val="0"/>
          <w:numId w:val="120"/>
        </w:numPr>
        <w:tabs>
          <w:tab w:val="left" w:pos="0"/>
          <w:tab w:val="left" w:pos="284"/>
          <w:tab w:val="left" w:pos="4962"/>
        </w:tabs>
        <w:spacing w:after="0" w:line="240" w:lineRule="auto"/>
        <w:ind w:left="0" w:firstLine="0"/>
        <w:jc w:val="both"/>
        <w:rPr>
          <w:rFonts w:ascii="Times New Roman" w:hAnsi="Times New Roman"/>
          <w:sz w:val="24"/>
          <w:szCs w:val="24"/>
        </w:rPr>
      </w:pPr>
      <w:r>
        <w:rPr>
          <w:rFonts w:ascii="Times New Roman" w:hAnsi="Times New Roman"/>
          <w:sz w:val="24"/>
          <w:szCs w:val="24"/>
        </w:rPr>
        <w:t>Реализация мероприятий по содействию импортозамещению: актуализация «дорожных карт» с ПАО «Газпром нефть», ПАО «СИБУР Холдинг», заключение новых «дорожных карт» с крупными холдингами, проведение совместных мероприятий промышленных предприятий с крупными холдингами.</w:t>
      </w:r>
    </w:p>
    <w:p w:rsidR="007E27CB" w:rsidRDefault="008F141F">
      <w:pPr>
        <w:pStyle w:val="a6"/>
        <w:widowControl w:val="0"/>
        <w:numPr>
          <w:ilvl w:val="0"/>
          <w:numId w:val="120"/>
        </w:numPr>
        <w:tabs>
          <w:tab w:val="left" w:pos="0"/>
          <w:tab w:val="left" w:pos="284"/>
          <w:tab w:val="left" w:pos="4962"/>
        </w:tabs>
        <w:spacing w:after="0" w:line="240" w:lineRule="auto"/>
        <w:ind w:left="0" w:firstLine="0"/>
        <w:jc w:val="both"/>
        <w:rPr>
          <w:rFonts w:ascii="Times New Roman" w:hAnsi="Times New Roman"/>
          <w:sz w:val="24"/>
          <w:szCs w:val="24"/>
        </w:rPr>
      </w:pPr>
      <w:r>
        <w:rPr>
          <w:rFonts w:ascii="Times New Roman" w:hAnsi="Times New Roman"/>
          <w:sz w:val="24"/>
          <w:szCs w:val="24"/>
        </w:rPr>
        <w:t>Развитие внутриобластного, межрегионального и международного сотрудничества промышленных предприятий Томской области.</w:t>
      </w:r>
    </w:p>
    <w:p w:rsidR="007E27CB" w:rsidRDefault="008F141F">
      <w:pPr>
        <w:pStyle w:val="a6"/>
        <w:widowControl w:val="0"/>
        <w:numPr>
          <w:ilvl w:val="0"/>
          <w:numId w:val="120"/>
        </w:numPr>
        <w:tabs>
          <w:tab w:val="left" w:pos="0"/>
          <w:tab w:val="left" w:pos="284"/>
          <w:tab w:val="left" w:pos="4962"/>
        </w:tabs>
        <w:spacing w:after="0" w:line="240" w:lineRule="auto"/>
        <w:ind w:left="0" w:firstLine="0"/>
        <w:jc w:val="both"/>
        <w:rPr>
          <w:rFonts w:ascii="Times New Roman" w:hAnsi="Times New Roman"/>
          <w:sz w:val="24"/>
          <w:szCs w:val="24"/>
        </w:rPr>
      </w:pPr>
      <w:r>
        <w:rPr>
          <w:rFonts w:ascii="Times New Roman" w:hAnsi="Times New Roman"/>
          <w:sz w:val="24"/>
          <w:szCs w:val="24"/>
        </w:rPr>
        <w:t>Продвижение и позиционирование продукции томских производителей на внутреннем и внешних рынках.</w:t>
      </w:r>
    </w:p>
    <w:p w:rsidR="007E27CB" w:rsidRDefault="008F141F">
      <w:pPr>
        <w:pStyle w:val="a6"/>
        <w:widowControl w:val="0"/>
        <w:numPr>
          <w:ilvl w:val="0"/>
          <w:numId w:val="120"/>
        </w:numPr>
        <w:tabs>
          <w:tab w:val="left" w:pos="0"/>
          <w:tab w:val="left" w:pos="284"/>
          <w:tab w:val="left" w:pos="4962"/>
        </w:tabs>
        <w:spacing w:after="0" w:line="240" w:lineRule="auto"/>
        <w:ind w:left="0" w:firstLine="0"/>
        <w:jc w:val="both"/>
        <w:rPr>
          <w:rFonts w:ascii="Times New Roman" w:hAnsi="Times New Roman"/>
          <w:sz w:val="24"/>
          <w:szCs w:val="24"/>
        </w:rPr>
      </w:pPr>
      <w:r>
        <w:rPr>
          <w:rFonts w:ascii="Times New Roman" w:hAnsi="Times New Roman"/>
          <w:sz w:val="24"/>
          <w:szCs w:val="24"/>
        </w:rPr>
        <w:t>Оказание государственной поддержки промышленным предприятиям Томской области через Фонд развития бизнеса.</w:t>
      </w:r>
    </w:p>
    <w:p w:rsidR="007E27CB" w:rsidRDefault="008F141F">
      <w:pPr>
        <w:pStyle w:val="a6"/>
        <w:widowControl w:val="0"/>
        <w:numPr>
          <w:ilvl w:val="0"/>
          <w:numId w:val="120"/>
        </w:numPr>
        <w:tabs>
          <w:tab w:val="left" w:pos="0"/>
          <w:tab w:val="left" w:pos="284"/>
          <w:tab w:val="left" w:pos="4962"/>
        </w:tabs>
        <w:spacing w:after="0" w:line="240" w:lineRule="auto"/>
        <w:ind w:left="0" w:firstLine="0"/>
        <w:jc w:val="both"/>
        <w:rPr>
          <w:rFonts w:ascii="Times New Roman" w:hAnsi="Times New Roman"/>
          <w:sz w:val="24"/>
          <w:szCs w:val="24"/>
        </w:rPr>
      </w:pPr>
      <w:r>
        <w:rPr>
          <w:rFonts w:ascii="Times New Roman" w:hAnsi="Times New Roman"/>
          <w:sz w:val="24"/>
          <w:szCs w:val="24"/>
        </w:rPr>
        <w:t>Вовлечение промышленных предприятий в реализацию национального проекта «Производительность труда и поддержка занятости».</w:t>
      </w:r>
    </w:p>
    <w:p w:rsidR="007E27CB" w:rsidRDefault="007E27CB">
      <w:pPr>
        <w:pStyle w:val="Pa7"/>
        <w:tabs>
          <w:tab w:val="left" w:pos="709"/>
        </w:tabs>
        <w:spacing w:line="240" w:lineRule="auto"/>
        <w:ind w:firstLine="567"/>
        <w:jc w:val="both"/>
        <w:rPr>
          <w:rFonts w:ascii="Times New Roman" w:hAnsi="Times New Roman"/>
        </w:rPr>
      </w:pPr>
    </w:p>
    <w:p w:rsidR="007E27CB" w:rsidRDefault="008F141F">
      <w:pPr>
        <w:pStyle w:val="Pa7"/>
        <w:tabs>
          <w:tab w:val="left" w:pos="709"/>
        </w:tabs>
        <w:spacing w:line="240" w:lineRule="auto"/>
        <w:ind w:firstLine="567"/>
        <w:jc w:val="both"/>
        <w:rPr>
          <w:rFonts w:ascii="Times New Roman" w:hAnsi="Times New Roman"/>
          <w:b/>
          <w:bCs/>
          <w:color w:val="000000"/>
        </w:rPr>
      </w:pPr>
      <w:r>
        <w:rPr>
          <w:rFonts w:ascii="Times New Roman" w:hAnsi="Times New Roman"/>
          <w:b/>
          <w:bCs/>
          <w:color w:val="000000"/>
        </w:rPr>
        <w:t>ПРОИЗВОДСТВО И РАСПРЕДЕЛЕНИЕ ЭЛЕКТРОЭНЕРГИИ, ГАЗА И ВОДЫ</w:t>
      </w:r>
    </w:p>
    <w:p w:rsidR="007E27CB" w:rsidRDefault="007E27CB">
      <w:pPr>
        <w:pStyle w:val="Pa4"/>
        <w:tabs>
          <w:tab w:val="left" w:pos="4962"/>
        </w:tabs>
        <w:spacing w:line="240" w:lineRule="auto"/>
        <w:ind w:firstLine="567"/>
        <w:jc w:val="both"/>
        <w:rPr>
          <w:rFonts w:ascii="Times New Roman" w:hAnsi="Times New Roman" w:cs="Times New Roman"/>
          <w:color w:val="000000"/>
        </w:rPr>
      </w:pPr>
    </w:p>
    <w:p w:rsidR="007E27CB" w:rsidRDefault="008F141F">
      <w:pPr>
        <w:pStyle w:val="Pa4"/>
        <w:tabs>
          <w:tab w:val="left" w:pos="4962"/>
        </w:tabs>
        <w:spacing w:line="240" w:lineRule="auto"/>
        <w:ind w:firstLine="567"/>
        <w:jc w:val="both"/>
        <w:rPr>
          <w:rFonts w:ascii="Times New Roman" w:hAnsi="Times New Roman" w:cs="Times New Roman"/>
          <w:color w:val="000000"/>
        </w:rPr>
      </w:pPr>
      <w:r>
        <w:rPr>
          <w:rFonts w:ascii="Times New Roman" w:hAnsi="Times New Roman" w:cs="Times New Roman"/>
          <w:color w:val="000000"/>
        </w:rPr>
        <w:t>По виду деятельности «Производство и распределение электроэнергии, газа и воды» в 2019 году индекс производства составил 97% (в связи с ростом среднегодовой температуры наружного воздуха на 1,6º С по сравнению предыдущим годом).</w:t>
      </w:r>
    </w:p>
    <w:p w:rsidR="007E27CB" w:rsidRDefault="008F141F">
      <w:pPr>
        <w:pStyle w:val="Pa4"/>
        <w:tabs>
          <w:tab w:val="left" w:pos="4962"/>
        </w:tabs>
        <w:spacing w:line="240" w:lineRule="auto"/>
        <w:ind w:firstLine="567"/>
        <w:jc w:val="both"/>
        <w:rPr>
          <w:rFonts w:ascii="Times New Roman" w:hAnsi="Times New Roman" w:cs="Times New Roman"/>
          <w:bCs/>
          <w:color w:val="000000"/>
        </w:rPr>
      </w:pPr>
      <w:r>
        <w:rPr>
          <w:rFonts w:ascii="Times New Roman" w:hAnsi="Times New Roman" w:cs="Times New Roman"/>
          <w:color w:val="000000"/>
        </w:rPr>
        <w:t>Электростанциями</w:t>
      </w:r>
      <w:r>
        <w:rPr>
          <w:rFonts w:ascii="Times New Roman" w:hAnsi="Times New Roman" w:cs="Times New Roman"/>
          <w:bCs/>
          <w:color w:val="000000"/>
        </w:rPr>
        <w:t xml:space="preserve"> Томской области произведено 3,7 </w:t>
      </w:r>
      <w:r>
        <w:rPr>
          <w:rFonts w:ascii="Times New Roman" w:eastAsia="Times New Roman" w:hAnsi="Times New Roman" w:cs="Times New Roman"/>
        </w:rPr>
        <w:t xml:space="preserve">млрд. кВт·ч электрической энергии. </w:t>
      </w:r>
      <w:r>
        <w:rPr>
          <w:rFonts w:ascii="Times New Roman" w:hAnsi="Times New Roman" w:cs="Times New Roman"/>
          <w:bCs/>
          <w:color w:val="000000"/>
        </w:rPr>
        <w:t>Потребление электрической энергии энергосистемы Томской области составило 8,3 млрд</w:t>
      </w:r>
      <w:r>
        <w:rPr>
          <w:rFonts w:ascii="Times New Roman" w:eastAsia="Times New Roman" w:hAnsi="Times New Roman" w:cs="Times New Roman"/>
        </w:rPr>
        <w:t>. кВт·ч,</w:t>
      </w:r>
      <w:r>
        <w:rPr>
          <w:rFonts w:ascii="Times New Roman" w:hAnsi="Times New Roman" w:cs="Times New Roman"/>
          <w:bCs/>
          <w:color w:val="000000"/>
        </w:rPr>
        <w:t xml:space="preserve"> что ниже аналогичного показателя прошлого года на 0,3%. Разница между собственной выработкой и потреблением территорией Томской области покрывалась за счет перетоков из смежных энергосистем в объеме 5,1 млрд</w:t>
      </w:r>
      <w:r>
        <w:rPr>
          <w:rFonts w:ascii="Times New Roman" w:eastAsia="Times New Roman" w:hAnsi="Times New Roman" w:cs="Times New Roman"/>
        </w:rPr>
        <w:t>. кВт·ч</w:t>
      </w:r>
      <w:r>
        <w:rPr>
          <w:rFonts w:ascii="Times New Roman" w:hAnsi="Times New Roman" w:cs="Times New Roman"/>
          <w:bCs/>
          <w:color w:val="000000"/>
        </w:rPr>
        <w:t>.</w:t>
      </w:r>
    </w:p>
    <w:p w:rsidR="007E27CB" w:rsidRDefault="008F141F">
      <w:pPr>
        <w:pStyle w:val="Pa4"/>
        <w:tabs>
          <w:tab w:val="left" w:pos="4962"/>
        </w:tabs>
        <w:spacing w:line="240" w:lineRule="auto"/>
        <w:ind w:firstLine="567"/>
        <w:jc w:val="both"/>
        <w:rPr>
          <w:rFonts w:ascii="Times New Roman" w:eastAsia="Times New Roman" w:hAnsi="Times New Roman" w:cs="Times New Roman"/>
        </w:rPr>
      </w:pPr>
      <w:r>
        <w:rPr>
          <w:rFonts w:ascii="Times New Roman" w:eastAsia="Times New Roman" w:hAnsi="Times New Roman" w:cs="Times New Roman"/>
        </w:rPr>
        <w:lastRenderedPageBreak/>
        <w:t>В сфере электроэнергетики Томской области за 2019 год после многолетнего периода поиска возможных вариантов решения проблем большой энергетики в Северске  Администрации Томской области и АО «ОТЭК» удалось войти в федеральную программу с проектом модернизации Северской ТЭЦ, в рамках которой предусматривается модернизация двух турбоагрегатов общей мощностью 60 МВт на сумму 2 млрд. рублей. В настоящее время ведется работа по выработке дополнительных мер поддержки проекта.</w:t>
      </w:r>
    </w:p>
    <w:p w:rsidR="007E27CB" w:rsidRDefault="008F141F">
      <w:pPr>
        <w:pStyle w:val="Pa4"/>
        <w:tabs>
          <w:tab w:val="left" w:pos="4962"/>
        </w:tabs>
        <w:spacing w:line="240" w:lineRule="auto"/>
        <w:ind w:firstLine="567"/>
        <w:jc w:val="both"/>
        <w:rPr>
          <w:rFonts w:ascii="Times New Roman" w:eastAsia="Times New Roman" w:hAnsi="Times New Roman" w:cs="Times New Roman"/>
        </w:rPr>
      </w:pPr>
      <w:r>
        <w:rPr>
          <w:rFonts w:ascii="Times New Roman" w:eastAsia="Times New Roman" w:hAnsi="Times New Roman" w:cs="Times New Roman"/>
        </w:rPr>
        <w:t>В 2019 году силами ПАО «ФСК ЕЭС» проведена модернизация подстанции 220 кВ Зональная – крупного питающего центра Томска, в результате чего обеспечена возможность выдачи до 22 МВт мощности для построенной ПС 110кВ Трубачево и подключения к централизованному электроснабжению тепличного комплекса и снижения себестоимости выпускаемой продукции.</w:t>
      </w:r>
    </w:p>
    <w:p w:rsidR="007E27CB" w:rsidRDefault="008F141F">
      <w:pPr>
        <w:pStyle w:val="Pa4"/>
        <w:tabs>
          <w:tab w:val="left" w:pos="4962"/>
        </w:tabs>
        <w:spacing w:line="240" w:lineRule="auto"/>
        <w:ind w:firstLine="567"/>
        <w:jc w:val="both"/>
        <w:rPr>
          <w:rFonts w:ascii="Times New Roman" w:hAnsi="Times New Roman" w:cs="Times New Roman"/>
        </w:rPr>
      </w:pPr>
      <w:r>
        <w:rPr>
          <w:rFonts w:ascii="Times New Roman" w:eastAsia="Times New Roman" w:hAnsi="Times New Roman" w:cs="Times New Roman"/>
        </w:rPr>
        <w:t xml:space="preserve">Активно ведется работа по «цифровизации» отрасли – реализуются мероприятия по внедрению телемеханики, установке интеллектуальных приборов учета, модернизации центров обработки данных по управлению электросетевыми объектами. В 2019 году между </w:t>
      </w:r>
      <w:r>
        <w:rPr>
          <w:rFonts w:ascii="Times New Roman" w:hAnsi="Times New Roman" w:cs="Times New Roman"/>
        </w:rPr>
        <w:t>Администрацией Томской области и ПАО «ТРК» заключено соглашение о взаимодействии в сфере развития электросетевого комплекса в целях реализации мероприятий по цифровой трансформации отрасли.</w:t>
      </w:r>
    </w:p>
    <w:p w:rsidR="007E27CB" w:rsidRDefault="008F141F">
      <w:pPr>
        <w:pStyle w:val="Pa4"/>
        <w:tabs>
          <w:tab w:val="left" w:pos="4962"/>
        </w:tabs>
        <w:spacing w:line="240" w:lineRule="auto"/>
        <w:ind w:firstLine="567"/>
        <w:jc w:val="both"/>
        <w:rPr>
          <w:rFonts w:ascii="Times New Roman" w:hAnsi="Times New Roman" w:cs="Times New Roman"/>
        </w:rPr>
      </w:pPr>
      <w:r>
        <w:rPr>
          <w:rFonts w:ascii="Times New Roman" w:eastAsia="Times New Roman" w:hAnsi="Times New Roman" w:cs="Times New Roman"/>
        </w:rPr>
        <w:t xml:space="preserve">В сфере газификации общий объем реализации природного газа потребителям Томской области в 2019 году составил 2 362,4 млн. куб. м. </w:t>
      </w:r>
      <w:r>
        <w:rPr>
          <w:rFonts w:ascii="Times New Roman" w:hAnsi="Times New Roman" w:cs="Times New Roman"/>
          <w:spacing w:val="-4"/>
        </w:rPr>
        <w:t xml:space="preserve">Количество </w:t>
      </w:r>
      <w:r>
        <w:rPr>
          <w:rFonts w:ascii="Times New Roman" w:hAnsi="Times New Roman" w:cs="Times New Roman"/>
        </w:rPr>
        <w:t>газифицированных домовладений (квартир) природным сетевым газом – 44 343 ед. (прирост абонентской базы за год составил 1 366 договоров). Протяженность газораспределительных сетей на территории Томской области – 2 459  км.</w:t>
      </w:r>
    </w:p>
    <w:p w:rsidR="007E27CB" w:rsidRDefault="008F141F">
      <w:pPr>
        <w:pStyle w:val="Pa4"/>
        <w:tabs>
          <w:tab w:val="left" w:pos="4962"/>
        </w:tabs>
        <w:spacing w:line="240" w:lineRule="auto"/>
        <w:ind w:firstLine="567"/>
        <w:jc w:val="both"/>
        <w:rPr>
          <w:rFonts w:ascii="Times New Roman" w:hAnsi="Times New Roman" w:cs="Times New Roman"/>
        </w:rPr>
      </w:pPr>
      <w:r>
        <w:rPr>
          <w:rFonts w:ascii="Times New Roman" w:hAnsi="Times New Roman" w:cs="Times New Roman"/>
        </w:rPr>
        <w:t xml:space="preserve">В 2019 году введены в эксплуатацию газораспределительные сети в г. Колпашево и с.Тогур Колпашевского района, </w:t>
      </w:r>
      <w:r>
        <w:rPr>
          <w:rFonts w:ascii="Times New Roman" w:hAnsi="Times New Roman" w:cs="Times New Roman"/>
          <w:bCs/>
          <w:shd w:val="clear" w:color="auto" w:fill="FFFFFF"/>
          <w:lang w:eastAsia="ar-SA"/>
        </w:rPr>
        <w:t xml:space="preserve">в </w:t>
      </w:r>
      <w:r>
        <w:rPr>
          <w:rFonts w:ascii="Times New Roman" w:hAnsi="Times New Roman" w:cs="Times New Roman"/>
        </w:rPr>
        <w:t xml:space="preserve">микрорайонах жилой застройки </w:t>
      </w:r>
      <w:r>
        <w:rPr>
          <w:rFonts w:ascii="Times New Roman" w:hAnsi="Times New Roman" w:cs="Times New Roman"/>
          <w:bCs/>
          <w:shd w:val="clear" w:color="auto" w:fill="FFFFFF"/>
          <w:lang w:eastAsia="ar-SA"/>
        </w:rPr>
        <w:t xml:space="preserve">п. Мирный и в Спасском и Богашевском сельских поселениях Томского района, </w:t>
      </w:r>
      <w:r>
        <w:rPr>
          <w:rFonts w:ascii="Times New Roman" w:hAnsi="Times New Roman" w:cs="Times New Roman"/>
        </w:rPr>
        <w:t xml:space="preserve">ведется подключение потребителей. </w:t>
      </w:r>
    </w:p>
    <w:p w:rsidR="007E27CB" w:rsidRDefault="007E27CB">
      <w:pPr>
        <w:spacing w:after="0" w:line="240" w:lineRule="auto"/>
        <w:ind w:firstLine="567"/>
        <w:rPr>
          <w:sz w:val="24"/>
          <w:szCs w:val="24"/>
        </w:rPr>
      </w:pPr>
    </w:p>
    <w:p w:rsidR="007E27CB" w:rsidRDefault="008F141F">
      <w:pPr>
        <w:shd w:val="clear" w:color="auto" w:fill="F2F2F2" w:themeFill="background1" w:themeFillShade="F2"/>
        <w:tabs>
          <w:tab w:val="left" w:pos="4962"/>
        </w:tabs>
        <w:autoSpaceDE w:val="0"/>
        <w:autoSpaceDN w:val="0"/>
        <w:adjustRightInd w:val="0"/>
        <w:spacing w:after="0" w:line="240" w:lineRule="auto"/>
        <w:jc w:val="both"/>
        <w:rPr>
          <w:b/>
          <w:sz w:val="24"/>
          <w:szCs w:val="24"/>
        </w:rPr>
      </w:pPr>
      <w:r>
        <w:rPr>
          <w:b/>
          <w:sz w:val="24"/>
          <w:szCs w:val="24"/>
        </w:rPr>
        <w:t>Перспективные задачи</w:t>
      </w:r>
    </w:p>
    <w:p w:rsidR="007E27CB" w:rsidRDefault="007E27CB">
      <w:pPr>
        <w:pStyle w:val="Pa4"/>
        <w:tabs>
          <w:tab w:val="left" w:pos="4962"/>
        </w:tabs>
        <w:spacing w:line="240" w:lineRule="auto"/>
        <w:ind w:firstLine="709"/>
        <w:jc w:val="both"/>
        <w:rPr>
          <w:rFonts w:ascii="Times New Roman" w:hAnsi="Times New Roman" w:cs="Times New Roman"/>
          <w:color w:val="000000"/>
        </w:rPr>
      </w:pPr>
    </w:p>
    <w:p w:rsidR="007E27CB" w:rsidRDefault="008F141F">
      <w:pPr>
        <w:pStyle w:val="a6"/>
        <w:numPr>
          <w:ilvl w:val="0"/>
          <w:numId w:val="143"/>
        </w:numPr>
        <w:tabs>
          <w:tab w:val="left" w:pos="284"/>
        </w:tabs>
        <w:spacing w:after="0" w:line="240" w:lineRule="auto"/>
        <w:ind w:left="0" w:firstLine="0"/>
        <w:jc w:val="both"/>
        <w:rPr>
          <w:rFonts w:ascii="Times New Roman" w:hAnsi="Times New Roman"/>
          <w:sz w:val="24"/>
          <w:szCs w:val="24"/>
        </w:rPr>
      </w:pPr>
      <w:r>
        <w:rPr>
          <w:rFonts w:ascii="Times New Roman" w:hAnsi="Times New Roman"/>
          <w:sz w:val="24"/>
          <w:szCs w:val="24"/>
        </w:rPr>
        <w:t xml:space="preserve">Контроль за выполнением планов ремонтных и инвестиционных программ компаний, организацией  топливообеспечения, устранением замечаний, выявленных при проверках контролирующими органами. </w:t>
      </w:r>
    </w:p>
    <w:p w:rsidR="007E27CB" w:rsidRDefault="008F141F">
      <w:pPr>
        <w:pStyle w:val="a6"/>
        <w:numPr>
          <w:ilvl w:val="0"/>
          <w:numId w:val="143"/>
        </w:numPr>
        <w:tabs>
          <w:tab w:val="left" w:pos="284"/>
        </w:tabs>
        <w:spacing w:after="0" w:line="240" w:lineRule="auto"/>
        <w:ind w:left="0" w:firstLine="0"/>
        <w:jc w:val="both"/>
        <w:rPr>
          <w:rFonts w:ascii="Times New Roman" w:hAnsi="Times New Roman"/>
          <w:sz w:val="24"/>
          <w:szCs w:val="24"/>
        </w:rPr>
      </w:pPr>
      <w:r>
        <w:rPr>
          <w:rFonts w:ascii="Times New Roman" w:hAnsi="Times New Roman"/>
          <w:sz w:val="24"/>
          <w:szCs w:val="24"/>
        </w:rPr>
        <w:t>Работа по консолидации электросетевых активов на балансе специализированных электросетевых компаний в Томском районе и с. Александровское Александровского района.</w:t>
      </w:r>
    </w:p>
    <w:p w:rsidR="007E27CB" w:rsidRDefault="008F141F">
      <w:pPr>
        <w:pStyle w:val="a6"/>
        <w:numPr>
          <w:ilvl w:val="0"/>
          <w:numId w:val="143"/>
        </w:numPr>
        <w:tabs>
          <w:tab w:val="left" w:pos="284"/>
        </w:tabs>
        <w:spacing w:after="0" w:line="240" w:lineRule="auto"/>
        <w:ind w:left="0" w:firstLine="0"/>
        <w:jc w:val="both"/>
        <w:rPr>
          <w:rFonts w:ascii="Times New Roman" w:hAnsi="Times New Roman"/>
          <w:sz w:val="24"/>
          <w:szCs w:val="24"/>
        </w:rPr>
      </w:pPr>
      <w:r>
        <w:rPr>
          <w:rFonts w:ascii="Times New Roman" w:hAnsi="Times New Roman"/>
          <w:sz w:val="24"/>
          <w:szCs w:val="24"/>
        </w:rPr>
        <w:t>Реализация программы развития газоснабжения и газификации Томской области совместно с ПАО «Газпром».</w:t>
      </w:r>
    </w:p>
    <w:p w:rsidR="007E27CB" w:rsidRDefault="007E27CB">
      <w:pPr>
        <w:tabs>
          <w:tab w:val="left" w:pos="851"/>
          <w:tab w:val="left" w:pos="4962"/>
        </w:tabs>
        <w:spacing w:after="0" w:line="240" w:lineRule="auto"/>
        <w:ind w:firstLine="567"/>
        <w:jc w:val="both"/>
        <w:rPr>
          <w:rFonts w:eastAsia="Times New Roman"/>
          <w:b/>
          <w:sz w:val="24"/>
          <w:szCs w:val="24"/>
        </w:rPr>
      </w:pPr>
    </w:p>
    <w:p w:rsidR="007E27CB" w:rsidRDefault="008F141F">
      <w:pPr>
        <w:tabs>
          <w:tab w:val="left" w:pos="851"/>
          <w:tab w:val="left" w:pos="4962"/>
        </w:tabs>
        <w:spacing w:after="0" w:line="240" w:lineRule="auto"/>
        <w:ind w:firstLine="567"/>
        <w:jc w:val="both"/>
        <w:rPr>
          <w:rFonts w:eastAsia="Times New Roman"/>
          <w:b/>
          <w:sz w:val="24"/>
          <w:szCs w:val="24"/>
        </w:rPr>
      </w:pPr>
      <w:r>
        <w:rPr>
          <w:rFonts w:eastAsia="Times New Roman"/>
          <w:b/>
          <w:sz w:val="24"/>
          <w:szCs w:val="24"/>
        </w:rPr>
        <w:t>РАЗВИТИЕ МАЛОГО И СРЕДНЕГО ПРЕДПРИНИМАТЕЛЬСТВА</w:t>
      </w:r>
    </w:p>
    <w:p w:rsidR="007E27CB" w:rsidRDefault="007E27CB">
      <w:pPr>
        <w:tabs>
          <w:tab w:val="left" w:pos="851"/>
          <w:tab w:val="left" w:pos="4962"/>
        </w:tabs>
        <w:spacing w:after="0" w:line="240" w:lineRule="auto"/>
        <w:ind w:firstLine="567"/>
        <w:jc w:val="both"/>
        <w:rPr>
          <w:rFonts w:eastAsia="Times New Roman"/>
          <w:b/>
          <w:sz w:val="24"/>
          <w:szCs w:val="24"/>
        </w:rPr>
      </w:pPr>
    </w:p>
    <w:p w:rsidR="007E27CB" w:rsidRDefault="008F141F">
      <w:pPr>
        <w:tabs>
          <w:tab w:val="left" w:pos="851"/>
          <w:tab w:val="left" w:pos="4962"/>
        </w:tabs>
        <w:spacing w:after="0" w:line="240" w:lineRule="auto"/>
        <w:ind w:firstLine="567"/>
        <w:jc w:val="both"/>
        <w:rPr>
          <w:rFonts w:eastAsia="Times New Roman"/>
          <w:sz w:val="24"/>
          <w:szCs w:val="24"/>
        </w:rPr>
      </w:pPr>
      <w:r>
        <w:rPr>
          <w:rFonts w:eastAsia="Times New Roman"/>
          <w:sz w:val="24"/>
          <w:szCs w:val="24"/>
        </w:rPr>
        <w:t>По состоянию на 10 января 2020 года на территории Томской области зарегистрировано 42 128 тыс. субъектов МСП, их них 22 081 тыс. являются индивидуальными предпринимателями, 20 047 тыс. – юридическими лицами. Томская область занимает 2-е место в СФО по количеству субъектов МСП на душу населения.</w:t>
      </w:r>
    </w:p>
    <w:p w:rsidR="007E27CB" w:rsidRDefault="008F141F">
      <w:pPr>
        <w:tabs>
          <w:tab w:val="left" w:pos="851"/>
          <w:tab w:val="left" w:pos="4962"/>
        </w:tabs>
        <w:spacing w:after="0" w:line="240" w:lineRule="auto"/>
        <w:ind w:firstLine="567"/>
        <w:jc w:val="both"/>
        <w:rPr>
          <w:rFonts w:eastAsia="Times New Roman"/>
          <w:sz w:val="24"/>
          <w:szCs w:val="24"/>
        </w:rPr>
      </w:pPr>
      <w:r>
        <w:rPr>
          <w:sz w:val="24"/>
          <w:szCs w:val="24"/>
        </w:rPr>
        <w:t xml:space="preserve">В указе Президента Российской Федерации от 07.05.2018 № 204 «О национальных целях и стратегических задачах развития Российской Федерации на период до 2024 года» </w:t>
      </w:r>
      <w:r>
        <w:rPr>
          <w:rFonts w:eastAsia="Times New Roman"/>
          <w:sz w:val="24"/>
          <w:szCs w:val="24"/>
        </w:rPr>
        <w:t xml:space="preserve"> особое внимание уделено малому бизнесу. Развитие этого сектора позволит обеспечить рабочие места, занятость, решение социальных проблем, а также позволит создать комфортное жизненное пространство в городах.</w:t>
      </w:r>
    </w:p>
    <w:p w:rsidR="007E27CB" w:rsidRDefault="008F141F">
      <w:pPr>
        <w:tabs>
          <w:tab w:val="left" w:pos="851"/>
          <w:tab w:val="left" w:pos="993"/>
          <w:tab w:val="left" w:pos="4962"/>
        </w:tabs>
        <w:spacing w:after="0" w:line="240" w:lineRule="auto"/>
        <w:ind w:firstLine="567"/>
        <w:jc w:val="both"/>
        <w:rPr>
          <w:rFonts w:eastAsia="Times New Roman"/>
          <w:sz w:val="24"/>
          <w:szCs w:val="24"/>
        </w:rPr>
      </w:pPr>
      <w:r>
        <w:rPr>
          <w:rFonts w:eastAsia="Times New Roman"/>
          <w:sz w:val="24"/>
          <w:szCs w:val="24"/>
        </w:rPr>
        <w:lastRenderedPageBreak/>
        <w:t>В 2019 году в рамках национального проекта «Малое и среднее предпринимательство и поддержка индивидуальной предпринимательской инициативы»</w:t>
      </w:r>
      <w:r>
        <w:rPr>
          <w:rStyle w:val="af3"/>
          <w:rFonts w:eastAsia="Times New Roman"/>
          <w:sz w:val="24"/>
          <w:szCs w:val="24"/>
        </w:rPr>
        <w:footnoteReference w:id="4"/>
      </w:r>
      <w:r>
        <w:rPr>
          <w:rFonts w:eastAsia="Times New Roman"/>
          <w:sz w:val="24"/>
          <w:szCs w:val="24"/>
        </w:rPr>
        <w:t xml:space="preserve"> достигнуто следующее:</w:t>
      </w:r>
    </w:p>
    <w:p w:rsidR="007E27CB" w:rsidRDefault="008F141F">
      <w:pPr>
        <w:spacing w:after="0" w:line="240" w:lineRule="auto"/>
        <w:ind w:firstLine="567"/>
        <w:jc w:val="both"/>
        <w:rPr>
          <w:sz w:val="24"/>
          <w:szCs w:val="24"/>
        </w:rPr>
      </w:pPr>
      <w:r>
        <w:rPr>
          <w:sz w:val="24"/>
          <w:szCs w:val="24"/>
        </w:rPr>
        <w:t xml:space="preserve">1) с АО «Российский экспортный центр» (далее по разделу </w:t>
      </w:r>
      <w:r>
        <w:rPr>
          <w:sz w:val="24"/>
          <w:szCs w:val="24"/>
          <w:lang w:eastAsia="ru-RU"/>
        </w:rPr>
        <w:t>–</w:t>
      </w:r>
      <w:r>
        <w:rPr>
          <w:sz w:val="24"/>
          <w:szCs w:val="24"/>
        </w:rPr>
        <w:t xml:space="preserve"> РЭЦ) заключено соглашение о взаимодействии. Цель соглашения – развитие экспорта субъектов МСП путем создания и (или) развития в Томской области центра (агентства) координации поддержки экспортно ориентированных субъектов МСП (далее по разделу </w:t>
      </w:r>
      <w:r>
        <w:rPr>
          <w:sz w:val="24"/>
          <w:szCs w:val="24"/>
          <w:lang w:eastAsia="ru-RU"/>
        </w:rPr>
        <w:t xml:space="preserve">– </w:t>
      </w:r>
      <w:r>
        <w:rPr>
          <w:sz w:val="24"/>
          <w:szCs w:val="24"/>
        </w:rPr>
        <w:t xml:space="preserve">ЦПЭ). </w:t>
      </w:r>
    </w:p>
    <w:p w:rsidR="007E27CB" w:rsidRDefault="008F141F">
      <w:pPr>
        <w:spacing w:after="0" w:line="240" w:lineRule="auto"/>
        <w:ind w:firstLine="567"/>
        <w:jc w:val="both"/>
        <w:rPr>
          <w:sz w:val="24"/>
          <w:szCs w:val="24"/>
        </w:rPr>
      </w:pPr>
      <w:r>
        <w:rPr>
          <w:sz w:val="24"/>
          <w:szCs w:val="24"/>
        </w:rPr>
        <w:t>В соответствии с соглашением РЭЦ обеспечивает доступ ЦПЭ к единой продуктовой линейке в рамках единой системы продвижения экспорта, разрабатывает информационную систему «Одно окно» в целях технологического обеспечения функционирования единой системы продвижения экспорта, осуществляет координацию деятельности ЦПЭ по организации клиентской работы и предоставлению мер поддержки субъектам МСП;</w:t>
      </w:r>
    </w:p>
    <w:p w:rsidR="007E27CB" w:rsidRDefault="008F141F">
      <w:pPr>
        <w:spacing w:after="0" w:line="240" w:lineRule="auto"/>
        <w:ind w:firstLine="567"/>
        <w:jc w:val="both"/>
        <w:rPr>
          <w:sz w:val="24"/>
          <w:szCs w:val="24"/>
        </w:rPr>
      </w:pPr>
      <w:r>
        <w:rPr>
          <w:sz w:val="24"/>
          <w:szCs w:val="24"/>
        </w:rPr>
        <w:t>2) создана региональная микрофинансовая организация, которая в первом квартале 2020 года начнет полноценно функционировать и предоставлять микрозаймы субъектам малого и среднего предпринимательства на финансирование текущей деятельности, инвестиционных и инновационных проектов, на рефинансирование ссудной задолженности (процентная ставка от 3,25 – 13 в зависимости от вида деятельности по ОКВЭД).</w:t>
      </w:r>
    </w:p>
    <w:p w:rsidR="007E27CB" w:rsidRDefault="008F141F">
      <w:pPr>
        <w:tabs>
          <w:tab w:val="left" w:pos="851"/>
          <w:tab w:val="left" w:pos="4962"/>
        </w:tabs>
        <w:spacing w:after="0" w:line="240" w:lineRule="auto"/>
        <w:ind w:firstLine="567"/>
        <w:jc w:val="both"/>
        <w:rPr>
          <w:rFonts w:eastAsia="Times New Roman"/>
          <w:sz w:val="24"/>
          <w:szCs w:val="24"/>
        </w:rPr>
      </w:pPr>
      <w:r>
        <w:rPr>
          <w:sz w:val="24"/>
          <w:szCs w:val="24"/>
        </w:rPr>
        <w:t>Программы микрофинансирования региональной микрофинансовой организации направлены преимущественно на поддержку тех предпринимателей, кому средства нужны не только для приобретения оборудования и помещений, но и для пополнения оборотных средств. Основное преимущество программ в том, что микрозаймы направлены не только на производителей товаров и услуг, но и на сферу торговли;</w:t>
      </w:r>
    </w:p>
    <w:p w:rsidR="007E27CB" w:rsidRDefault="008F141F">
      <w:pPr>
        <w:tabs>
          <w:tab w:val="left" w:pos="851"/>
          <w:tab w:val="left" w:pos="4962"/>
        </w:tabs>
        <w:spacing w:after="0" w:line="240" w:lineRule="auto"/>
        <w:ind w:firstLine="567"/>
        <w:jc w:val="both"/>
        <w:rPr>
          <w:rFonts w:eastAsia="Times New Roman"/>
          <w:sz w:val="24"/>
          <w:szCs w:val="24"/>
        </w:rPr>
      </w:pPr>
      <w:r>
        <w:rPr>
          <w:rFonts w:eastAsia="Times New Roman"/>
          <w:sz w:val="24"/>
          <w:szCs w:val="24"/>
        </w:rPr>
        <w:t>3) Гарантийным фондом Томской области предоставлено 17 поручительств субъектам МСП на общую сумму 143,5 млн. рублей, что позволило им привлечь кредитные ресурсы на общую сумму 707,7 млн. рублей;</w:t>
      </w:r>
    </w:p>
    <w:p w:rsidR="007E27CB" w:rsidRDefault="008F141F">
      <w:pPr>
        <w:spacing w:after="0" w:line="240" w:lineRule="auto"/>
        <w:ind w:firstLine="567"/>
        <w:jc w:val="both"/>
        <w:rPr>
          <w:sz w:val="24"/>
          <w:szCs w:val="24"/>
        </w:rPr>
      </w:pPr>
      <w:r>
        <w:rPr>
          <w:sz w:val="24"/>
          <w:szCs w:val="24"/>
        </w:rPr>
        <w:t>4)</w:t>
      </w:r>
      <w:r>
        <w:rPr>
          <w:rFonts w:eastAsia="Calibri"/>
          <w:sz w:val="24"/>
          <w:szCs w:val="24"/>
        </w:rPr>
        <w:t xml:space="preserve"> в декабре 2019 года </w:t>
      </w:r>
      <w:r>
        <w:rPr>
          <w:sz w:val="24"/>
          <w:szCs w:val="24"/>
        </w:rPr>
        <w:t>открыт Центр «Мой бизнес». Это новый сервис для российских предпринимателей. Задача центра – обеспечить в одном месте предоставление комплекса услуг для предпринимателей от открытия бизнеса, развития на всех стадиях, до его масштабирования, в том числе за пределы Российской Федерации.</w:t>
      </w:r>
    </w:p>
    <w:p w:rsidR="007E27CB" w:rsidRDefault="008F141F">
      <w:pPr>
        <w:spacing w:after="0" w:line="240" w:lineRule="auto"/>
        <w:ind w:firstLine="567"/>
        <w:jc w:val="both"/>
        <w:rPr>
          <w:sz w:val="24"/>
          <w:szCs w:val="24"/>
        </w:rPr>
      </w:pPr>
      <w:r>
        <w:rPr>
          <w:sz w:val="24"/>
          <w:szCs w:val="24"/>
        </w:rPr>
        <w:t xml:space="preserve">Центр «Мой бизнес» </w:t>
      </w:r>
      <w:r>
        <w:rPr>
          <w:sz w:val="24"/>
          <w:szCs w:val="24"/>
          <w:lang w:eastAsia="ru-RU"/>
        </w:rPr>
        <w:t>–</w:t>
      </w:r>
      <w:r>
        <w:rPr>
          <w:sz w:val="24"/>
          <w:szCs w:val="24"/>
        </w:rPr>
        <w:t xml:space="preserve"> это объединение на одной площадке функций по предоставлению услуг субъектам МСП уже созданных и действующих в Томской области объектов инфраструктуры поддержки МСП в качестве единой «точки доступа». </w:t>
      </w:r>
    </w:p>
    <w:p w:rsidR="007E27CB" w:rsidRDefault="008F141F">
      <w:pPr>
        <w:spacing w:after="0" w:line="240" w:lineRule="auto"/>
        <w:ind w:firstLine="567"/>
        <w:jc w:val="both"/>
        <w:rPr>
          <w:sz w:val="24"/>
          <w:szCs w:val="24"/>
        </w:rPr>
      </w:pPr>
      <w:r>
        <w:rPr>
          <w:sz w:val="24"/>
          <w:szCs w:val="24"/>
        </w:rPr>
        <w:t>В 2019 году в Центре «Мой бизнес» получили поддержку 4 206 предпринимателей.</w:t>
      </w:r>
    </w:p>
    <w:p w:rsidR="007E27CB" w:rsidRDefault="008F141F">
      <w:pPr>
        <w:spacing w:after="0" w:line="240" w:lineRule="auto"/>
        <w:ind w:firstLine="567"/>
        <w:jc w:val="both"/>
        <w:rPr>
          <w:sz w:val="24"/>
          <w:szCs w:val="24"/>
        </w:rPr>
      </w:pPr>
      <w:r>
        <w:rPr>
          <w:sz w:val="24"/>
          <w:szCs w:val="24"/>
        </w:rPr>
        <w:t xml:space="preserve">5) на территории моногорода ЗАТО Северск одиннадцати субъектам МСП, занимающихся социально значимыми видами деятельности, оказана финансовая поддержка с привлечением федеральной субсидии в общем объеме 10,8 млн. рублей. </w:t>
      </w:r>
    </w:p>
    <w:p w:rsidR="007E27CB" w:rsidRDefault="008F141F">
      <w:pPr>
        <w:tabs>
          <w:tab w:val="left" w:pos="709"/>
          <w:tab w:val="left" w:pos="851"/>
          <w:tab w:val="left" w:pos="4962"/>
        </w:tabs>
        <w:spacing w:after="0" w:line="240" w:lineRule="auto"/>
        <w:ind w:firstLine="567"/>
        <w:jc w:val="both"/>
        <w:rPr>
          <w:rFonts w:eastAsia="Times New Roman"/>
          <w:sz w:val="24"/>
          <w:szCs w:val="24"/>
        </w:rPr>
      </w:pPr>
      <w:r>
        <w:rPr>
          <w:rFonts w:eastAsia="Times New Roman"/>
          <w:sz w:val="24"/>
          <w:szCs w:val="24"/>
        </w:rPr>
        <w:t>В мероприятиях, направленных на развитие молодежного (в возрасте до 30 лет) предпринимательства:</w:t>
      </w:r>
    </w:p>
    <w:p w:rsidR="007E27CB" w:rsidRDefault="008F141F">
      <w:pPr>
        <w:pStyle w:val="a6"/>
        <w:numPr>
          <w:ilvl w:val="0"/>
          <w:numId w:val="113"/>
        </w:numPr>
        <w:tabs>
          <w:tab w:val="left" w:pos="851"/>
          <w:tab w:val="left" w:pos="993"/>
          <w:tab w:val="left" w:pos="4962"/>
        </w:tabs>
        <w:spacing w:after="0" w:line="240" w:lineRule="auto"/>
        <w:ind w:left="0" w:firstLine="567"/>
        <w:jc w:val="both"/>
        <w:rPr>
          <w:rFonts w:ascii="Times New Roman" w:eastAsia="Times New Roman" w:hAnsi="Times New Roman"/>
          <w:sz w:val="24"/>
          <w:szCs w:val="24"/>
        </w:rPr>
      </w:pPr>
      <w:r>
        <w:rPr>
          <w:rFonts w:ascii="Times New Roman" w:eastAsia="Times New Roman" w:hAnsi="Times New Roman"/>
          <w:sz w:val="24"/>
          <w:szCs w:val="24"/>
        </w:rPr>
        <w:t xml:space="preserve">обеспечено участие молодежи Томской области во Всероссийских форумах («Территория инициативной молодежи «Бирюса 2019» в Красноярском крае 9 участников, «You Lead 2019» </w:t>
      </w:r>
      <w:r>
        <w:rPr>
          <w:sz w:val="24"/>
          <w:szCs w:val="24"/>
          <w:lang w:eastAsia="ru-RU"/>
        </w:rPr>
        <w:t>–</w:t>
      </w:r>
      <w:r>
        <w:rPr>
          <w:rFonts w:ascii="Times New Roman" w:eastAsia="Times New Roman" w:hAnsi="Times New Roman"/>
          <w:sz w:val="24"/>
          <w:szCs w:val="24"/>
        </w:rPr>
        <w:t xml:space="preserve"> 300 участников, «Break Point» </w:t>
      </w:r>
      <w:r>
        <w:rPr>
          <w:sz w:val="24"/>
          <w:szCs w:val="24"/>
          <w:lang w:eastAsia="ru-RU"/>
        </w:rPr>
        <w:t xml:space="preserve">– </w:t>
      </w:r>
      <w:r>
        <w:rPr>
          <w:rFonts w:ascii="Times New Roman" w:eastAsia="Times New Roman" w:hAnsi="Times New Roman"/>
          <w:sz w:val="24"/>
          <w:szCs w:val="24"/>
        </w:rPr>
        <w:t xml:space="preserve">193 участника, «Startus» </w:t>
      </w:r>
      <w:r>
        <w:rPr>
          <w:sz w:val="24"/>
          <w:szCs w:val="24"/>
          <w:lang w:eastAsia="ru-RU"/>
        </w:rPr>
        <w:t>–</w:t>
      </w:r>
      <w:r>
        <w:rPr>
          <w:rFonts w:ascii="Times New Roman" w:eastAsia="Times New Roman" w:hAnsi="Times New Roman"/>
          <w:sz w:val="24"/>
          <w:szCs w:val="24"/>
        </w:rPr>
        <w:t xml:space="preserve"> 507 участников);</w:t>
      </w:r>
    </w:p>
    <w:p w:rsidR="007E27CB" w:rsidRDefault="008F141F">
      <w:pPr>
        <w:pStyle w:val="a6"/>
        <w:numPr>
          <w:ilvl w:val="0"/>
          <w:numId w:val="113"/>
        </w:numPr>
        <w:tabs>
          <w:tab w:val="left" w:pos="851"/>
          <w:tab w:val="left" w:pos="993"/>
          <w:tab w:val="left" w:pos="4962"/>
        </w:tabs>
        <w:spacing w:after="0" w:line="240" w:lineRule="auto"/>
        <w:ind w:left="0" w:firstLine="567"/>
        <w:jc w:val="both"/>
        <w:rPr>
          <w:rFonts w:ascii="Times New Roman" w:eastAsia="Times New Roman" w:hAnsi="Times New Roman"/>
          <w:sz w:val="24"/>
          <w:szCs w:val="24"/>
        </w:rPr>
      </w:pPr>
      <w:r>
        <w:rPr>
          <w:rFonts w:ascii="Times New Roman" w:eastAsia="Times New Roman" w:hAnsi="Times New Roman"/>
          <w:sz w:val="24"/>
          <w:szCs w:val="24"/>
        </w:rPr>
        <w:t>организован и проведен Ежегодный XV Региональный бизнес лагерь молодых предпринимателей Томска и Томской области, приняли участие 76 человек;</w:t>
      </w:r>
    </w:p>
    <w:p w:rsidR="007E27CB" w:rsidRDefault="008F141F">
      <w:pPr>
        <w:pStyle w:val="a6"/>
        <w:numPr>
          <w:ilvl w:val="0"/>
          <w:numId w:val="113"/>
        </w:numPr>
        <w:tabs>
          <w:tab w:val="left" w:pos="851"/>
          <w:tab w:val="left" w:pos="993"/>
          <w:tab w:val="left" w:pos="4962"/>
        </w:tabs>
        <w:spacing w:after="0" w:line="240" w:lineRule="auto"/>
        <w:ind w:left="0" w:firstLine="567"/>
        <w:jc w:val="both"/>
        <w:rPr>
          <w:rFonts w:ascii="Times New Roman" w:eastAsia="Times New Roman" w:hAnsi="Times New Roman"/>
          <w:sz w:val="24"/>
          <w:szCs w:val="24"/>
        </w:rPr>
      </w:pPr>
      <w:r>
        <w:rPr>
          <w:rFonts w:ascii="Times New Roman" w:eastAsia="Times New Roman" w:hAnsi="Times New Roman"/>
          <w:sz w:val="24"/>
          <w:szCs w:val="24"/>
        </w:rPr>
        <w:t>проведен слет молодых предпринимателей МЦП «Интеллект», приняли участие 50 человек;</w:t>
      </w:r>
    </w:p>
    <w:p w:rsidR="007E27CB" w:rsidRDefault="008F141F">
      <w:pPr>
        <w:pStyle w:val="a6"/>
        <w:numPr>
          <w:ilvl w:val="0"/>
          <w:numId w:val="113"/>
        </w:numPr>
        <w:tabs>
          <w:tab w:val="left" w:pos="851"/>
          <w:tab w:val="left" w:pos="993"/>
          <w:tab w:val="left" w:pos="4962"/>
        </w:tabs>
        <w:spacing w:after="0" w:line="240" w:lineRule="auto"/>
        <w:ind w:left="0" w:firstLine="567"/>
        <w:jc w:val="both"/>
        <w:rPr>
          <w:rFonts w:ascii="Times New Roman" w:eastAsia="Times New Roman" w:hAnsi="Times New Roman"/>
          <w:sz w:val="24"/>
          <w:szCs w:val="24"/>
        </w:rPr>
      </w:pPr>
      <w:r>
        <w:rPr>
          <w:rFonts w:ascii="Times New Roman" w:eastAsia="Times New Roman" w:hAnsi="Times New Roman"/>
          <w:sz w:val="24"/>
          <w:szCs w:val="24"/>
        </w:rPr>
        <w:lastRenderedPageBreak/>
        <w:t>проведены 13 мероприятий по вовлечению молодежи в предпринимательскую деятельность (молодежный форум в городе Асино «Мосты», проект «Открытый бизнес», бизнес-квест «Кругосветка», бизнес-тренинг «Я – предприниматель» и другие);</w:t>
      </w:r>
    </w:p>
    <w:p w:rsidR="007E27CB" w:rsidRDefault="008F141F">
      <w:pPr>
        <w:pStyle w:val="a6"/>
        <w:numPr>
          <w:ilvl w:val="0"/>
          <w:numId w:val="113"/>
        </w:numPr>
        <w:tabs>
          <w:tab w:val="left" w:pos="851"/>
          <w:tab w:val="left" w:pos="993"/>
          <w:tab w:val="left" w:pos="4962"/>
        </w:tabs>
        <w:spacing w:after="0" w:line="240" w:lineRule="auto"/>
        <w:ind w:left="0" w:firstLine="567"/>
        <w:jc w:val="both"/>
        <w:rPr>
          <w:rFonts w:ascii="Times New Roman" w:eastAsia="Times New Roman" w:hAnsi="Times New Roman"/>
          <w:sz w:val="24"/>
          <w:szCs w:val="24"/>
        </w:rPr>
      </w:pPr>
      <w:r>
        <w:rPr>
          <w:rFonts w:ascii="Times New Roman" w:eastAsia="Times New Roman" w:hAnsi="Times New Roman"/>
          <w:sz w:val="24"/>
          <w:szCs w:val="24"/>
        </w:rPr>
        <w:t>проведены 16 мероприятий по профессиональной подготовке молодежи с целью создания новых субъектов предпринимательской деятельности (Школа успешного бизнеса, «Школа молодежного предпринимательства», «Школа предпринимательства в креативных индустриях», «Мама, я предприниматель» и другие). В мероприятиях приняли участие 559 участников. Из числа прошедших обучение создано 58 субъектов МСП лицами в возрасте до 30 лет;</w:t>
      </w:r>
    </w:p>
    <w:p w:rsidR="007E27CB" w:rsidRDefault="008F141F">
      <w:pPr>
        <w:pStyle w:val="a6"/>
        <w:numPr>
          <w:ilvl w:val="0"/>
          <w:numId w:val="113"/>
        </w:numPr>
        <w:tabs>
          <w:tab w:val="left" w:pos="851"/>
          <w:tab w:val="left" w:pos="993"/>
          <w:tab w:val="left" w:pos="4962"/>
        </w:tabs>
        <w:spacing w:after="0" w:line="240" w:lineRule="auto"/>
        <w:ind w:left="0" w:firstLine="567"/>
        <w:jc w:val="both"/>
        <w:rPr>
          <w:rFonts w:ascii="Times New Roman" w:eastAsia="Times New Roman" w:hAnsi="Times New Roman"/>
          <w:sz w:val="24"/>
          <w:szCs w:val="24"/>
        </w:rPr>
      </w:pPr>
      <w:r>
        <w:rPr>
          <w:rFonts w:ascii="Times New Roman" w:eastAsia="Times New Roman" w:hAnsi="Times New Roman"/>
          <w:sz w:val="24"/>
          <w:szCs w:val="24"/>
        </w:rPr>
        <w:t>организован и проведен форум «Специалисты будущего», 500 участников;</w:t>
      </w:r>
    </w:p>
    <w:p w:rsidR="007E27CB" w:rsidRDefault="008F141F">
      <w:pPr>
        <w:pStyle w:val="a6"/>
        <w:numPr>
          <w:ilvl w:val="0"/>
          <w:numId w:val="113"/>
        </w:numPr>
        <w:tabs>
          <w:tab w:val="left" w:pos="851"/>
          <w:tab w:val="left" w:pos="993"/>
          <w:tab w:val="left" w:pos="4962"/>
        </w:tabs>
        <w:spacing w:after="0" w:line="240" w:lineRule="auto"/>
        <w:ind w:left="0" w:firstLine="567"/>
        <w:jc w:val="both"/>
        <w:rPr>
          <w:rFonts w:ascii="Times New Roman" w:eastAsia="Times New Roman" w:hAnsi="Times New Roman"/>
          <w:sz w:val="24"/>
          <w:szCs w:val="24"/>
        </w:rPr>
      </w:pPr>
      <w:r>
        <w:rPr>
          <w:rFonts w:ascii="Times New Roman" w:eastAsia="Times New Roman" w:hAnsi="Times New Roman"/>
          <w:sz w:val="24"/>
          <w:szCs w:val="24"/>
        </w:rPr>
        <w:t>организовано и проведено 15 мероприятий (семинаров, бизнес-игр, тренингов), направленных на повышение профессионального уровня субъектов молодежного предпринимательства, приняло участие 315 субъектов МСП;</w:t>
      </w:r>
    </w:p>
    <w:p w:rsidR="007E27CB" w:rsidRDefault="008F141F">
      <w:pPr>
        <w:pStyle w:val="a6"/>
        <w:numPr>
          <w:ilvl w:val="0"/>
          <w:numId w:val="113"/>
        </w:numPr>
        <w:tabs>
          <w:tab w:val="left" w:pos="851"/>
          <w:tab w:val="left" w:pos="993"/>
          <w:tab w:val="left" w:pos="4962"/>
        </w:tabs>
        <w:spacing w:after="0" w:line="240" w:lineRule="auto"/>
        <w:ind w:left="0" w:firstLine="567"/>
        <w:jc w:val="both"/>
        <w:rPr>
          <w:rFonts w:ascii="Times New Roman" w:eastAsia="Times New Roman" w:hAnsi="Times New Roman"/>
          <w:sz w:val="24"/>
          <w:szCs w:val="24"/>
        </w:rPr>
      </w:pPr>
      <w:r>
        <w:rPr>
          <w:rFonts w:ascii="Times New Roman" w:eastAsia="Times New Roman" w:hAnsi="Times New Roman"/>
          <w:sz w:val="24"/>
          <w:szCs w:val="24"/>
        </w:rPr>
        <w:t xml:space="preserve">в групповых стажировках в ведущих организациях в г. Москве и г. Кемерове приняли участие по 6 представителей субъектов молодежного предпринимательства; </w:t>
      </w:r>
    </w:p>
    <w:p w:rsidR="007E27CB" w:rsidRDefault="008F141F">
      <w:pPr>
        <w:pStyle w:val="a6"/>
        <w:numPr>
          <w:ilvl w:val="0"/>
          <w:numId w:val="113"/>
        </w:numPr>
        <w:tabs>
          <w:tab w:val="left" w:pos="851"/>
          <w:tab w:val="left" w:pos="993"/>
          <w:tab w:val="left" w:pos="4962"/>
        </w:tabs>
        <w:spacing w:after="0" w:line="240" w:lineRule="auto"/>
        <w:ind w:left="0" w:firstLine="567"/>
        <w:jc w:val="both"/>
        <w:rPr>
          <w:rFonts w:ascii="Times New Roman" w:eastAsia="Times New Roman" w:hAnsi="Times New Roman"/>
          <w:sz w:val="24"/>
          <w:szCs w:val="24"/>
        </w:rPr>
      </w:pPr>
      <w:r>
        <w:rPr>
          <w:rFonts w:ascii="Times New Roman" w:eastAsia="Times New Roman" w:hAnsi="Times New Roman"/>
          <w:sz w:val="24"/>
          <w:szCs w:val="24"/>
        </w:rPr>
        <w:t xml:space="preserve">в индивидуальных стажировках приняло участие 6 субъектов молодежного предпринимательства, из них за рубежом (Чешская Республика, Китай, Тайвань) </w:t>
      </w:r>
      <w:r>
        <w:rPr>
          <w:sz w:val="24"/>
          <w:szCs w:val="24"/>
          <w:lang w:eastAsia="ru-RU"/>
        </w:rPr>
        <w:t>–</w:t>
      </w:r>
      <w:r>
        <w:rPr>
          <w:rFonts w:ascii="Times New Roman" w:eastAsia="Times New Roman" w:hAnsi="Times New Roman"/>
          <w:sz w:val="24"/>
          <w:szCs w:val="24"/>
        </w:rPr>
        <w:t xml:space="preserve"> 5 субъектов молодежного предпринимательства, в Российской Федерации (Москва) </w:t>
      </w:r>
      <w:r>
        <w:rPr>
          <w:sz w:val="24"/>
          <w:szCs w:val="24"/>
          <w:lang w:eastAsia="ru-RU"/>
        </w:rPr>
        <w:t>–</w:t>
      </w:r>
      <w:r>
        <w:rPr>
          <w:rFonts w:ascii="Times New Roman" w:eastAsia="Times New Roman" w:hAnsi="Times New Roman"/>
          <w:sz w:val="24"/>
          <w:szCs w:val="24"/>
        </w:rPr>
        <w:t xml:space="preserve"> 1 субъект молодежного предпринимательства.</w:t>
      </w:r>
    </w:p>
    <w:p w:rsidR="007E27CB" w:rsidRDefault="008F141F">
      <w:pPr>
        <w:tabs>
          <w:tab w:val="left" w:pos="851"/>
          <w:tab w:val="left" w:pos="4962"/>
        </w:tabs>
        <w:spacing w:after="0" w:line="240" w:lineRule="auto"/>
        <w:ind w:firstLine="567"/>
        <w:jc w:val="both"/>
        <w:rPr>
          <w:rFonts w:eastAsia="Times New Roman"/>
          <w:sz w:val="24"/>
          <w:szCs w:val="24"/>
        </w:rPr>
      </w:pPr>
      <w:r>
        <w:rPr>
          <w:rFonts w:eastAsia="Times New Roman"/>
          <w:sz w:val="24"/>
          <w:szCs w:val="24"/>
        </w:rPr>
        <w:t>Организациями инфраструктуры поддержки предпринимательства, действующими на территории Томской области, оказывались специализированные услуги:</w:t>
      </w:r>
    </w:p>
    <w:p w:rsidR="007E27CB" w:rsidRDefault="008F141F">
      <w:pPr>
        <w:pStyle w:val="a6"/>
        <w:numPr>
          <w:ilvl w:val="0"/>
          <w:numId w:val="114"/>
        </w:numPr>
        <w:tabs>
          <w:tab w:val="left" w:pos="851"/>
          <w:tab w:val="left" w:pos="993"/>
          <w:tab w:val="left" w:pos="4962"/>
        </w:tabs>
        <w:spacing w:after="0" w:line="240" w:lineRule="auto"/>
        <w:ind w:left="0" w:firstLine="567"/>
        <w:jc w:val="both"/>
        <w:rPr>
          <w:rFonts w:ascii="Times New Roman" w:eastAsia="Times New Roman" w:hAnsi="Times New Roman"/>
          <w:sz w:val="24"/>
          <w:szCs w:val="24"/>
        </w:rPr>
      </w:pPr>
      <w:r>
        <w:rPr>
          <w:rFonts w:ascii="Times New Roman" w:eastAsia="Times New Roman" w:hAnsi="Times New Roman"/>
          <w:sz w:val="24"/>
          <w:szCs w:val="24"/>
        </w:rPr>
        <w:t>70 консультаций по вопросам внешнеэкономической деятельности, в том числе с привлечением сторонних экспертов, тридцати двум субъектам МСП;</w:t>
      </w:r>
    </w:p>
    <w:p w:rsidR="007E27CB" w:rsidRDefault="008F141F">
      <w:pPr>
        <w:pStyle w:val="a6"/>
        <w:numPr>
          <w:ilvl w:val="0"/>
          <w:numId w:val="114"/>
        </w:numPr>
        <w:tabs>
          <w:tab w:val="left" w:pos="851"/>
          <w:tab w:val="left" w:pos="993"/>
          <w:tab w:val="left" w:pos="4962"/>
        </w:tabs>
        <w:spacing w:after="0" w:line="240" w:lineRule="auto"/>
        <w:ind w:left="0" w:firstLine="567"/>
        <w:jc w:val="both"/>
        <w:rPr>
          <w:rFonts w:ascii="Times New Roman" w:eastAsia="Times New Roman" w:hAnsi="Times New Roman"/>
          <w:sz w:val="24"/>
          <w:szCs w:val="24"/>
        </w:rPr>
      </w:pPr>
      <w:r>
        <w:rPr>
          <w:rFonts w:ascii="Times New Roman" w:eastAsia="Times New Roman" w:hAnsi="Times New Roman"/>
          <w:sz w:val="24"/>
          <w:szCs w:val="24"/>
        </w:rPr>
        <w:t>содействие в обеспечении защиты интеллектуальной собственности трем субъектам МСП Томской области;</w:t>
      </w:r>
    </w:p>
    <w:p w:rsidR="007E27CB" w:rsidRDefault="008F141F">
      <w:pPr>
        <w:pStyle w:val="a6"/>
        <w:numPr>
          <w:ilvl w:val="0"/>
          <w:numId w:val="114"/>
        </w:numPr>
        <w:tabs>
          <w:tab w:val="left" w:pos="851"/>
          <w:tab w:val="left" w:pos="993"/>
          <w:tab w:val="left" w:pos="4962"/>
        </w:tabs>
        <w:spacing w:after="0" w:line="240" w:lineRule="auto"/>
        <w:ind w:left="0" w:firstLine="567"/>
        <w:jc w:val="both"/>
        <w:rPr>
          <w:rFonts w:ascii="Times New Roman" w:eastAsia="Times New Roman" w:hAnsi="Times New Roman"/>
          <w:sz w:val="24"/>
          <w:szCs w:val="24"/>
        </w:rPr>
      </w:pPr>
      <w:r>
        <w:rPr>
          <w:rFonts w:ascii="Times New Roman" w:eastAsia="Times New Roman" w:hAnsi="Times New Roman"/>
          <w:sz w:val="24"/>
          <w:szCs w:val="24"/>
        </w:rPr>
        <w:t xml:space="preserve">содействие в поиске и подборе иностранных партнеров десяти субъектам МСП Томской области. </w:t>
      </w:r>
    </w:p>
    <w:p w:rsidR="007E27CB" w:rsidRDefault="008F141F">
      <w:pPr>
        <w:tabs>
          <w:tab w:val="left" w:pos="851"/>
          <w:tab w:val="left" w:pos="4962"/>
        </w:tabs>
        <w:spacing w:after="0" w:line="240" w:lineRule="auto"/>
        <w:ind w:firstLine="567"/>
        <w:jc w:val="both"/>
        <w:rPr>
          <w:rFonts w:eastAsia="Times New Roman"/>
          <w:sz w:val="24"/>
          <w:szCs w:val="24"/>
        </w:rPr>
      </w:pPr>
      <w:r>
        <w:rPr>
          <w:rFonts w:eastAsia="Times New Roman"/>
          <w:sz w:val="24"/>
          <w:szCs w:val="24"/>
        </w:rPr>
        <w:t xml:space="preserve">В рамках расширения межрегионального и международного сотрудничества получили поддержку 346 субъектов МСП, приняли участие в 39 бизнес-миссиях в страны ближнего и дальнего зарубежья, выставках, деловых встречах, конференциях и форумах. </w:t>
      </w:r>
    </w:p>
    <w:p w:rsidR="007E27CB" w:rsidRDefault="008F141F">
      <w:pPr>
        <w:tabs>
          <w:tab w:val="left" w:pos="851"/>
          <w:tab w:val="left" w:pos="4962"/>
        </w:tabs>
        <w:spacing w:after="0" w:line="240" w:lineRule="auto"/>
        <w:ind w:firstLine="567"/>
        <w:jc w:val="both"/>
        <w:rPr>
          <w:rFonts w:eastAsia="Times New Roman"/>
          <w:sz w:val="24"/>
          <w:szCs w:val="24"/>
        </w:rPr>
      </w:pPr>
      <w:r>
        <w:rPr>
          <w:rFonts w:eastAsia="Times New Roman"/>
          <w:sz w:val="24"/>
          <w:szCs w:val="24"/>
        </w:rPr>
        <w:t>В 2019 году микрофинансовыми организациями ЗАТО Северск и г. Стрежевого предоставлено 57 микрозаймов субъектам МСП на общую сумму 57,8 млн. рублей.</w:t>
      </w:r>
    </w:p>
    <w:p w:rsidR="007E27CB" w:rsidRDefault="008F141F">
      <w:pPr>
        <w:tabs>
          <w:tab w:val="left" w:pos="851"/>
          <w:tab w:val="left" w:pos="4962"/>
        </w:tabs>
        <w:spacing w:after="0" w:line="240" w:lineRule="auto"/>
        <w:ind w:firstLine="567"/>
        <w:jc w:val="both"/>
        <w:rPr>
          <w:rFonts w:eastAsia="Times New Roman"/>
          <w:sz w:val="24"/>
          <w:szCs w:val="24"/>
        </w:rPr>
      </w:pPr>
      <w:r>
        <w:rPr>
          <w:rFonts w:eastAsia="Times New Roman"/>
          <w:sz w:val="24"/>
          <w:szCs w:val="24"/>
        </w:rPr>
        <w:t>Функционирует специализированный информационно-аналитический ресурс «Малый и средний бизнес Томской области» (http://mb.tomsk.ru/). За 2019 год зафиксировано более 200 тысяч посещений этого ресурса.</w:t>
      </w:r>
    </w:p>
    <w:p w:rsidR="007E27CB" w:rsidRDefault="007E27CB">
      <w:pPr>
        <w:tabs>
          <w:tab w:val="left" w:pos="851"/>
          <w:tab w:val="left" w:pos="4962"/>
        </w:tabs>
        <w:spacing w:after="0" w:line="240" w:lineRule="auto"/>
        <w:ind w:firstLine="567"/>
        <w:jc w:val="both"/>
        <w:rPr>
          <w:rFonts w:eastAsia="Times New Roman"/>
          <w:sz w:val="24"/>
          <w:szCs w:val="24"/>
        </w:rPr>
      </w:pPr>
    </w:p>
    <w:p w:rsidR="007E27CB" w:rsidRDefault="008F141F">
      <w:pPr>
        <w:shd w:val="clear" w:color="auto" w:fill="F2F2F2" w:themeFill="background1" w:themeFillShade="F2"/>
        <w:tabs>
          <w:tab w:val="left" w:pos="4962"/>
        </w:tabs>
        <w:spacing w:after="0" w:line="240" w:lineRule="auto"/>
        <w:jc w:val="both"/>
        <w:rPr>
          <w:b/>
          <w:sz w:val="24"/>
          <w:szCs w:val="24"/>
        </w:rPr>
      </w:pPr>
      <w:r>
        <w:rPr>
          <w:b/>
          <w:sz w:val="24"/>
          <w:szCs w:val="24"/>
        </w:rPr>
        <w:t>Перспективные задачи</w:t>
      </w:r>
    </w:p>
    <w:p w:rsidR="007E27CB" w:rsidRDefault="007E27CB">
      <w:pPr>
        <w:tabs>
          <w:tab w:val="left" w:pos="4962"/>
        </w:tabs>
        <w:spacing w:after="0" w:line="240" w:lineRule="auto"/>
        <w:jc w:val="both"/>
        <w:rPr>
          <w:rFonts w:eastAsia="Times New Roman"/>
          <w:sz w:val="24"/>
          <w:szCs w:val="24"/>
        </w:rPr>
      </w:pPr>
    </w:p>
    <w:p w:rsidR="007E27CB" w:rsidRDefault="008F141F">
      <w:pPr>
        <w:tabs>
          <w:tab w:val="left" w:pos="4962"/>
        </w:tabs>
        <w:spacing w:after="0" w:line="240" w:lineRule="auto"/>
        <w:jc w:val="both"/>
        <w:rPr>
          <w:rFonts w:eastAsia="Times New Roman"/>
          <w:sz w:val="24"/>
          <w:szCs w:val="24"/>
        </w:rPr>
      </w:pPr>
      <w:r>
        <w:rPr>
          <w:rFonts w:eastAsia="Times New Roman"/>
          <w:sz w:val="24"/>
          <w:szCs w:val="24"/>
        </w:rPr>
        <w:t>1. Снижение административной нагрузки на малые и средние предприятия, расширение имущественной поддержки субъектов МСП, а также создание благоприятных условий осуществления деятельности для самозанятых граждан в Томской области.</w:t>
      </w:r>
    </w:p>
    <w:p w:rsidR="007E27CB" w:rsidRDefault="008F141F">
      <w:pPr>
        <w:tabs>
          <w:tab w:val="left" w:pos="4962"/>
        </w:tabs>
        <w:spacing w:after="0" w:line="240" w:lineRule="auto"/>
        <w:jc w:val="both"/>
        <w:rPr>
          <w:rFonts w:eastAsia="Times New Roman"/>
          <w:sz w:val="24"/>
          <w:szCs w:val="24"/>
        </w:rPr>
      </w:pPr>
      <w:r>
        <w:rPr>
          <w:rFonts w:eastAsia="Times New Roman"/>
          <w:sz w:val="24"/>
          <w:szCs w:val="24"/>
        </w:rPr>
        <w:t>2. Упрощение доступа субъектов МСП к льготному финансированию, в том числе ежегодное увеличение объема льготных кредитов, выдаваемых субъектам МСП, включая индивидуальных предпринимателей в Томской области.</w:t>
      </w:r>
    </w:p>
    <w:p w:rsidR="007E27CB" w:rsidRDefault="008F141F">
      <w:pPr>
        <w:tabs>
          <w:tab w:val="left" w:pos="4962"/>
        </w:tabs>
        <w:spacing w:after="0" w:line="240" w:lineRule="auto"/>
        <w:jc w:val="both"/>
        <w:rPr>
          <w:rFonts w:eastAsia="Times New Roman"/>
          <w:sz w:val="24"/>
          <w:szCs w:val="24"/>
        </w:rPr>
      </w:pPr>
      <w:r>
        <w:rPr>
          <w:rFonts w:eastAsia="Times New Roman"/>
          <w:sz w:val="24"/>
          <w:szCs w:val="24"/>
        </w:rPr>
        <w:t>3. Формирование положительного образа предпринимательства среди населения Томской области, а также вовлечение различных категорий граждан, включая самозанятых, в сектор малого и среднего предпринимательства, в том числе создание новых субъектов МСП.</w:t>
      </w:r>
    </w:p>
    <w:p w:rsidR="007E27CB" w:rsidRDefault="008F141F">
      <w:pPr>
        <w:tabs>
          <w:tab w:val="left" w:pos="4962"/>
        </w:tabs>
        <w:spacing w:after="0" w:line="240" w:lineRule="auto"/>
        <w:jc w:val="both"/>
        <w:rPr>
          <w:rFonts w:eastAsia="Times New Roman"/>
          <w:sz w:val="24"/>
          <w:szCs w:val="24"/>
        </w:rPr>
      </w:pPr>
      <w:r>
        <w:rPr>
          <w:rFonts w:eastAsia="Times New Roman"/>
          <w:sz w:val="24"/>
          <w:szCs w:val="24"/>
        </w:rPr>
        <w:t>4. Реализация механизма государственной поддержки социального предпринимательства в моногороде Томской области.</w:t>
      </w:r>
    </w:p>
    <w:p w:rsidR="007E27CB" w:rsidRDefault="008F141F">
      <w:pPr>
        <w:tabs>
          <w:tab w:val="left" w:pos="4962"/>
        </w:tabs>
        <w:spacing w:after="0" w:line="240" w:lineRule="auto"/>
        <w:jc w:val="both"/>
        <w:rPr>
          <w:rFonts w:eastAsia="Times New Roman"/>
          <w:sz w:val="24"/>
          <w:szCs w:val="24"/>
        </w:rPr>
      </w:pPr>
      <w:r>
        <w:rPr>
          <w:rFonts w:eastAsia="Times New Roman"/>
          <w:sz w:val="24"/>
          <w:szCs w:val="24"/>
        </w:rPr>
        <w:t>5. Формирование и ведение перечня субъектов МСП, имеющих статус социального предприятия, в Томской области.</w:t>
      </w:r>
    </w:p>
    <w:p w:rsidR="007E27CB" w:rsidRDefault="008F141F">
      <w:pPr>
        <w:tabs>
          <w:tab w:val="left" w:pos="4962"/>
        </w:tabs>
        <w:spacing w:after="0" w:line="240" w:lineRule="auto"/>
        <w:jc w:val="both"/>
        <w:rPr>
          <w:rFonts w:eastAsia="Times New Roman"/>
          <w:sz w:val="24"/>
          <w:szCs w:val="24"/>
        </w:rPr>
      </w:pPr>
      <w:r>
        <w:rPr>
          <w:rFonts w:eastAsia="Times New Roman"/>
          <w:sz w:val="24"/>
          <w:szCs w:val="24"/>
        </w:rPr>
        <w:lastRenderedPageBreak/>
        <w:t>6. Предоставление субсидий для стартующего бизнеса.</w:t>
      </w:r>
    </w:p>
    <w:p w:rsidR="007E27CB" w:rsidRDefault="007E27CB">
      <w:pPr>
        <w:tabs>
          <w:tab w:val="left" w:pos="567"/>
        </w:tabs>
        <w:spacing w:after="0" w:line="240" w:lineRule="auto"/>
        <w:ind w:firstLine="567"/>
        <w:jc w:val="both"/>
        <w:rPr>
          <w:rFonts w:eastAsia="Times New Roman"/>
          <w:b/>
          <w:sz w:val="24"/>
          <w:szCs w:val="24"/>
        </w:rPr>
      </w:pPr>
    </w:p>
    <w:p w:rsidR="007E27CB" w:rsidRDefault="008F141F">
      <w:pPr>
        <w:tabs>
          <w:tab w:val="left" w:pos="567"/>
        </w:tabs>
        <w:spacing w:after="0" w:line="240" w:lineRule="auto"/>
        <w:ind w:firstLine="567"/>
        <w:jc w:val="both"/>
        <w:rPr>
          <w:rFonts w:eastAsia="Times New Roman"/>
          <w:b/>
          <w:sz w:val="24"/>
          <w:szCs w:val="24"/>
        </w:rPr>
      </w:pPr>
      <w:r>
        <w:rPr>
          <w:rFonts w:eastAsia="Times New Roman"/>
          <w:b/>
          <w:sz w:val="24"/>
          <w:szCs w:val="24"/>
        </w:rPr>
        <w:t>ПОТРЕБИТЕЛЬСКИЙ РЫНОК</w:t>
      </w:r>
    </w:p>
    <w:p w:rsidR="007E27CB" w:rsidRDefault="007E27CB">
      <w:pPr>
        <w:tabs>
          <w:tab w:val="left" w:pos="567"/>
        </w:tabs>
        <w:spacing w:after="0" w:line="240" w:lineRule="auto"/>
        <w:ind w:firstLine="567"/>
        <w:jc w:val="both"/>
        <w:rPr>
          <w:rFonts w:eastAsia="Times New Roman"/>
          <w:sz w:val="24"/>
          <w:szCs w:val="24"/>
        </w:rPr>
      </w:pPr>
    </w:p>
    <w:p w:rsidR="007E27CB" w:rsidRDefault="008F141F">
      <w:pPr>
        <w:tabs>
          <w:tab w:val="left" w:pos="567"/>
        </w:tabs>
        <w:spacing w:after="0" w:line="240" w:lineRule="auto"/>
        <w:ind w:firstLine="567"/>
        <w:jc w:val="both"/>
        <w:rPr>
          <w:rFonts w:eastAsia="Calibri"/>
          <w:sz w:val="24"/>
          <w:szCs w:val="24"/>
        </w:rPr>
      </w:pPr>
      <w:r>
        <w:rPr>
          <w:rFonts w:eastAsia="Calibri"/>
          <w:sz w:val="24"/>
          <w:szCs w:val="24"/>
        </w:rPr>
        <w:t>На сегодняшний день в сфере потребительского рынка функционирует 14,8 тыс. субъектов, что составляет 28,0% всех хозяйствующих субъектов Томской области.</w:t>
      </w:r>
    </w:p>
    <w:p w:rsidR="007E27CB" w:rsidRDefault="008F141F">
      <w:pPr>
        <w:tabs>
          <w:tab w:val="left" w:pos="567"/>
        </w:tabs>
        <w:spacing w:after="0" w:line="240" w:lineRule="auto"/>
        <w:ind w:firstLine="567"/>
        <w:jc w:val="both"/>
        <w:rPr>
          <w:rFonts w:eastAsia="Calibri"/>
          <w:sz w:val="24"/>
          <w:szCs w:val="24"/>
        </w:rPr>
      </w:pPr>
      <w:r>
        <w:rPr>
          <w:rFonts w:eastAsia="Calibri"/>
          <w:sz w:val="24"/>
          <w:szCs w:val="24"/>
        </w:rPr>
        <w:t xml:space="preserve">В сегменте потребительского рынка трудится 32,1 тыс. человек, то есть каждый </w:t>
      </w:r>
      <w:r>
        <w:rPr>
          <w:rFonts w:eastAsia="Calibri"/>
          <w:sz w:val="24"/>
          <w:szCs w:val="24"/>
        </w:rPr>
        <w:br/>
        <w:t xml:space="preserve">10-й от общего количества занятых, осуществляющих трудовую деятельность в организациях  и  у индивидуальных предпринимателей. Третья часть рабочих мест сферы потребительского рынка </w:t>
      </w:r>
      <w:r>
        <w:rPr>
          <w:sz w:val="24"/>
          <w:szCs w:val="24"/>
          <w:lang w:eastAsia="ru-RU"/>
        </w:rPr>
        <w:t>–</w:t>
      </w:r>
      <w:r>
        <w:rPr>
          <w:rFonts w:eastAsia="Calibri"/>
          <w:sz w:val="24"/>
          <w:szCs w:val="24"/>
        </w:rPr>
        <w:t xml:space="preserve"> высокопроизводительные рабочие места.</w:t>
      </w:r>
    </w:p>
    <w:p w:rsidR="007E27CB" w:rsidRDefault="008F141F">
      <w:pPr>
        <w:tabs>
          <w:tab w:val="left" w:pos="567"/>
        </w:tabs>
        <w:spacing w:after="0" w:line="240" w:lineRule="auto"/>
        <w:ind w:firstLine="567"/>
        <w:jc w:val="both"/>
        <w:rPr>
          <w:rFonts w:eastAsia="Calibri"/>
          <w:sz w:val="24"/>
          <w:szCs w:val="24"/>
        </w:rPr>
      </w:pPr>
      <w:r>
        <w:rPr>
          <w:rFonts w:eastAsia="Calibri"/>
          <w:sz w:val="24"/>
          <w:szCs w:val="24"/>
        </w:rPr>
        <w:t xml:space="preserve">В ключевых отраслях потребительской сферы отмечен рост среднемесячной заработной платы работников по полному кругу предприятий по итогам 2019 года к 2018 году: в производстве пищевых продуктов </w:t>
      </w:r>
      <w:r>
        <w:rPr>
          <w:sz w:val="24"/>
          <w:szCs w:val="24"/>
          <w:lang w:eastAsia="ru-RU"/>
        </w:rPr>
        <w:t>–</w:t>
      </w:r>
      <w:r>
        <w:rPr>
          <w:rFonts w:eastAsia="Calibri"/>
          <w:sz w:val="24"/>
          <w:szCs w:val="24"/>
        </w:rPr>
        <w:t xml:space="preserve"> на 4,9%, в сфере розничной торговли</w:t>
      </w:r>
      <w:r>
        <w:rPr>
          <w:sz w:val="24"/>
          <w:szCs w:val="24"/>
        </w:rPr>
        <w:t xml:space="preserve"> (за исключением торговли автотранспортными средствами и мотоциклами) – на 7,3%</w:t>
      </w:r>
      <w:r>
        <w:rPr>
          <w:rFonts w:eastAsia="Calibri"/>
          <w:sz w:val="24"/>
          <w:szCs w:val="24"/>
        </w:rPr>
        <w:t>.</w:t>
      </w:r>
    </w:p>
    <w:p w:rsidR="007E27CB" w:rsidRDefault="008F141F">
      <w:pPr>
        <w:tabs>
          <w:tab w:val="left" w:pos="567"/>
        </w:tabs>
        <w:spacing w:after="0" w:line="240" w:lineRule="auto"/>
        <w:ind w:firstLine="567"/>
        <w:jc w:val="both"/>
        <w:rPr>
          <w:rFonts w:eastAsia="Calibri"/>
          <w:sz w:val="24"/>
          <w:szCs w:val="24"/>
        </w:rPr>
      </w:pPr>
      <w:r>
        <w:rPr>
          <w:rFonts w:eastAsia="Calibri"/>
          <w:sz w:val="24"/>
          <w:szCs w:val="24"/>
        </w:rPr>
        <w:t>Оборот розничной торговли по итогам 2019 года составил 170,9 млрд. рублей</w:t>
      </w:r>
      <w:r>
        <w:rPr>
          <w:rFonts w:eastAsia="Calibri"/>
          <w:sz w:val="24"/>
          <w:szCs w:val="24"/>
        </w:rPr>
        <w:br/>
        <w:t>и вырос к уровню прошлого года на 3,1%. На душу населения оборот розничной торговли вырос на 15,6 тыс. рублей к 2018 г. и составил 158, 7 тыс. рублей.</w:t>
      </w:r>
    </w:p>
    <w:p w:rsidR="007E27CB" w:rsidRDefault="008F141F">
      <w:pPr>
        <w:tabs>
          <w:tab w:val="left" w:pos="567"/>
        </w:tabs>
        <w:spacing w:after="0" w:line="240" w:lineRule="auto"/>
        <w:ind w:firstLine="567"/>
        <w:jc w:val="both"/>
        <w:rPr>
          <w:rFonts w:eastAsia="Calibri"/>
          <w:sz w:val="24"/>
          <w:szCs w:val="24"/>
        </w:rPr>
      </w:pPr>
      <w:r>
        <w:rPr>
          <w:rFonts w:eastAsia="Calibri"/>
          <w:sz w:val="24"/>
          <w:szCs w:val="24"/>
        </w:rPr>
        <w:t>Среди регионов СФО в отчетном году Томская область по темпам роста оборота розничной торговли заняла 4-е место, по обороту на душу населения – 6-е место.</w:t>
      </w:r>
    </w:p>
    <w:p w:rsidR="007E27CB" w:rsidRDefault="008F141F">
      <w:pPr>
        <w:tabs>
          <w:tab w:val="left" w:pos="567"/>
        </w:tabs>
        <w:spacing w:after="0" w:line="240" w:lineRule="auto"/>
        <w:ind w:firstLine="567"/>
        <w:jc w:val="both"/>
        <w:rPr>
          <w:rFonts w:eastAsia="Calibri"/>
          <w:sz w:val="24"/>
          <w:szCs w:val="24"/>
        </w:rPr>
      </w:pPr>
      <w:r>
        <w:rPr>
          <w:rFonts w:eastAsia="Calibri"/>
          <w:sz w:val="24"/>
          <w:szCs w:val="24"/>
        </w:rPr>
        <w:t>Объем реализации пищевых продуктов по итогам отчетного периода составил 103,5% к уровню 2018 года, непродовольственных товаров – 102,9%. В структуре потребления населения сохраняется тенденция превышения доли расходов на приобретение непродовольственных товаров над долей расходов на покупку продовольственных товаров. В структуре оборота розничной торговли удельный вес непродовольственных товаров остался практически на прежнем уровне и составил 52,0%, продовольственных товаров – 48,0%.</w:t>
      </w:r>
    </w:p>
    <w:p w:rsidR="007E27CB" w:rsidRDefault="008F141F">
      <w:pPr>
        <w:tabs>
          <w:tab w:val="left" w:pos="567"/>
        </w:tabs>
        <w:spacing w:after="0" w:line="240" w:lineRule="auto"/>
        <w:ind w:firstLine="567"/>
        <w:jc w:val="both"/>
        <w:rPr>
          <w:rFonts w:eastAsia="Calibri"/>
          <w:sz w:val="24"/>
          <w:szCs w:val="24"/>
        </w:rPr>
      </w:pPr>
      <w:r>
        <w:rPr>
          <w:rFonts w:eastAsia="Calibri"/>
          <w:sz w:val="24"/>
          <w:szCs w:val="24"/>
        </w:rPr>
        <w:t>Доля оборота розничных рынков и ярмарок по итогам 2019 года сложилась на</w:t>
      </w:r>
      <w:r>
        <w:rPr>
          <w:rFonts w:eastAsia="Calibri"/>
          <w:sz w:val="24"/>
          <w:szCs w:val="24"/>
        </w:rPr>
        <w:br/>
        <w:t>0,2 процентных пункта ниже, чем в 2018 году (4,6 % против 4,8 %), что обусловлено смещением потребительских предпочтений в сторону современных форматов торговли.</w:t>
      </w:r>
    </w:p>
    <w:p w:rsidR="007E27CB" w:rsidRDefault="008F141F">
      <w:pPr>
        <w:tabs>
          <w:tab w:val="left" w:pos="567"/>
        </w:tabs>
        <w:spacing w:after="0" w:line="240" w:lineRule="auto"/>
        <w:ind w:firstLine="567"/>
        <w:jc w:val="both"/>
        <w:rPr>
          <w:rFonts w:eastAsia="Calibri"/>
          <w:sz w:val="24"/>
          <w:szCs w:val="24"/>
        </w:rPr>
      </w:pPr>
      <w:r>
        <w:rPr>
          <w:rFonts w:eastAsia="Calibri"/>
          <w:sz w:val="24"/>
          <w:szCs w:val="24"/>
        </w:rPr>
        <w:t>Сохраняется тенденция преобладания доли крупных организаций и субъектов среднего предпринимательства в структуре оборота розничной торговли Томской области, по итогам 2019 года она составила 57,8%. Оборот розничной торговли по крупным организациям и субъектам среднего предпринимательства по итогам года вырос на 2,5%, что обусловлено увеличением количества торговых объектов сетевого ритейла.</w:t>
      </w:r>
    </w:p>
    <w:p w:rsidR="007E27CB" w:rsidRDefault="008F141F">
      <w:pPr>
        <w:tabs>
          <w:tab w:val="left" w:pos="567"/>
        </w:tabs>
        <w:spacing w:after="0" w:line="240" w:lineRule="auto"/>
        <w:ind w:firstLine="567"/>
        <w:jc w:val="both"/>
        <w:rPr>
          <w:rFonts w:eastAsia="Calibri"/>
          <w:sz w:val="24"/>
          <w:szCs w:val="24"/>
        </w:rPr>
      </w:pPr>
      <w:r>
        <w:rPr>
          <w:rFonts w:eastAsia="Calibri"/>
          <w:sz w:val="24"/>
          <w:szCs w:val="24"/>
        </w:rPr>
        <w:t>В 2019 году на территории региона начали деятельность три федеральных ритейлера: «Бристоль», «Доброцен», «Светофор».</w:t>
      </w:r>
    </w:p>
    <w:p w:rsidR="007E27CB" w:rsidRDefault="008F141F">
      <w:pPr>
        <w:tabs>
          <w:tab w:val="left" w:pos="567"/>
        </w:tabs>
        <w:spacing w:after="0" w:line="240" w:lineRule="auto"/>
        <w:ind w:firstLine="567"/>
        <w:jc w:val="both"/>
        <w:rPr>
          <w:rFonts w:eastAsia="Calibri"/>
          <w:sz w:val="24"/>
          <w:szCs w:val="24"/>
        </w:rPr>
      </w:pPr>
      <w:r>
        <w:rPr>
          <w:rFonts w:eastAsia="Calibri"/>
          <w:sz w:val="24"/>
          <w:szCs w:val="24"/>
        </w:rPr>
        <w:t xml:space="preserve">По итогам 2019 года инфраструктура розничной торговли региона пополнилась 86-ю новыми сетевыми объектами («Абрикос» – 3, «Бристоль» – 4, «Доброцен» – 2, «Магнит» – 19, «Мария-Ра» – 8, «Пятерочка» – 23, «Светофор» </w:t>
      </w:r>
      <w:r>
        <w:rPr>
          <w:sz w:val="24"/>
          <w:szCs w:val="24"/>
          <w:lang w:eastAsia="ru-RU"/>
        </w:rPr>
        <w:t>–</w:t>
      </w:r>
      <w:r>
        <w:rPr>
          <w:rFonts w:eastAsia="Calibri"/>
          <w:sz w:val="24"/>
          <w:szCs w:val="24"/>
        </w:rPr>
        <w:t xml:space="preserve"> 7, «Фасоль» – 10, «Ярче» – 10).</w:t>
      </w:r>
    </w:p>
    <w:p w:rsidR="007E27CB" w:rsidRDefault="008F141F">
      <w:pPr>
        <w:tabs>
          <w:tab w:val="left" w:pos="567"/>
        </w:tabs>
        <w:spacing w:after="0" w:line="240" w:lineRule="auto"/>
        <w:ind w:firstLine="567"/>
        <w:jc w:val="both"/>
        <w:rPr>
          <w:rFonts w:eastAsia="Calibri"/>
          <w:sz w:val="24"/>
          <w:szCs w:val="24"/>
        </w:rPr>
      </w:pPr>
      <w:r>
        <w:rPr>
          <w:rFonts w:eastAsia="Calibri"/>
          <w:sz w:val="24"/>
          <w:szCs w:val="24"/>
        </w:rPr>
        <w:t>Фактичная обеспеченность населения торговыми площадями на 1 000 человек по области превышает норматив минимальной обеспеченности населения площадью стационарных торговых более чем в 2 раза и составляет 970,1 кв. м на 1 000 человек.</w:t>
      </w:r>
    </w:p>
    <w:p w:rsidR="007E27CB" w:rsidRDefault="008F141F">
      <w:pPr>
        <w:tabs>
          <w:tab w:val="left" w:pos="567"/>
        </w:tabs>
        <w:spacing w:after="0" w:line="240" w:lineRule="auto"/>
        <w:ind w:firstLine="567"/>
        <w:jc w:val="both"/>
        <w:rPr>
          <w:rFonts w:eastAsia="Calibri"/>
          <w:sz w:val="24"/>
          <w:szCs w:val="24"/>
        </w:rPr>
      </w:pPr>
      <w:r>
        <w:rPr>
          <w:rFonts w:eastAsia="Calibri"/>
          <w:sz w:val="24"/>
          <w:szCs w:val="24"/>
        </w:rPr>
        <w:t>По стоимости минимального набора продуктов питания в рейтинге среди всех регионов СФО Томская область по итогам 2019 года сохранила свои позиции относительно прошлого года и занимает 4-е место.</w:t>
      </w:r>
    </w:p>
    <w:p w:rsidR="007E27CB" w:rsidRDefault="008F141F">
      <w:pPr>
        <w:tabs>
          <w:tab w:val="left" w:pos="567"/>
        </w:tabs>
        <w:spacing w:after="0" w:line="240" w:lineRule="auto"/>
        <w:ind w:firstLine="567"/>
        <w:jc w:val="both"/>
        <w:rPr>
          <w:rFonts w:eastAsia="Calibri"/>
          <w:sz w:val="24"/>
          <w:szCs w:val="24"/>
        </w:rPr>
      </w:pPr>
      <w:r>
        <w:rPr>
          <w:rFonts w:eastAsia="Calibri"/>
          <w:sz w:val="24"/>
          <w:szCs w:val="24"/>
        </w:rPr>
        <w:t xml:space="preserve">В 2019 году оборот общественного питания сложился в объеме 9,5 млрд. рублей или 98,4% к аналогичному периоду прошлого года. На формирование отрицательной динамики оказывают влияние показатели крупных и средних предприятий, в число которых входят преимущественно объекты закрытой сети в социальной сфере (образовании, здравоохранении) и нефтегазовой отрасли. В отчетном периоде этот сегмент формирует 24,3% рынка и демонстрирует снижение темпов развития – ИФО составил 86,5% к уровню 2018 года. В 2019 году крупное предприятие МБУ «КШП», </w:t>
      </w:r>
      <w:r>
        <w:rPr>
          <w:rFonts w:eastAsia="Calibri"/>
          <w:sz w:val="24"/>
          <w:szCs w:val="24"/>
        </w:rPr>
        <w:lastRenderedPageBreak/>
        <w:t>организующее питание школьников в ЗАТО Северск, в 2019 году приступило к процедуре банкротства, что отразилось на снижении показателей. Питание обучающихся в отчетном году осуществляли ИП Байбуганов С.Г., ООО «Переменка», относящиеся к субъектам малого предпринимательства.</w:t>
      </w:r>
    </w:p>
    <w:p w:rsidR="007E27CB" w:rsidRDefault="008F141F">
      <w:pPr>
        <w:tabs>
          <w:tab w:val="left" w:pos="567"/>
        </w:tabs>
        <w:spacing w:after="0" w:line="240" w:lineRule="auto"/>
        <w:ind w:firstLine="567"/>
        <w:jc w:val="both"/>
        <w:rPr>
          <w:rFonts w:eastAsia="Calibri"/>
          <w:sz w:val="24"/>
          <w:szCs w:val="24"/>
        </w:rPr>
      </w:pPr>
      <w:r>
        <w:rPr>
          <w:rFonts w:eastAsia="Calibri"/>
          <w:sz w:val="24"/>
          <w:szCs w:val="24"/>
        </w:rPr>
        <w:t>Более 70% оборота общественного питания сформировано субъектами малого предпринимательства, к числу которых в большей степени относятся предприятия открытой сети (кафе, рестораны и др.), которые демонстрируют рост 104,7% (малые предприятия), по индивидуальным предпринимателям – 102,2%.</w:t>
      </w:r>
    </w:p>
    <w:p w:rsidR="007E27CB" w:rsidRDefault="008F141F">
      <w:pPr>
        <w:tabs>
          <w:tab w:val="left" w:pos="567"/>
        </w:tabs>
        <w:spacing w:after="0" w:line="240" w:lineRule="auto"/>
        <w:ind w:firstLine="567"/>
        <w:jc w:val="both"/>
        <w:rPr>
          <w:rFonts w:eastAsia="Calibri"/>
          <w:sz w:val="24"/>
          <w:szCs w:val="24"/>
        </w:rPr>
      </w:pPr>
      <w:r>
        <w:rPr>
          <w:rFonts w:eastAsia="Calibri"/>
          <w:sz w:val="24"/>
          <w:szCs w:val="24"/>
        </w:rPr>
        <w:t>В 2019 году региональная инфраструктура общественного питания увеличилась на 20 объектов. Наиболее активно проекты открывались в кондитерском и мясном направлениях, с национальной кухней, фаст-фуд. Развиваются сервисы по доставке готовой еды. В целом в Томске можно попробовать национальные блюда более 25 стран мира.</w:t>
      </w:r>
    </w:p>
    <w:p w:rsidR="007E27CB" w:rsidRDefault="008F141F">
      <w:pPr>
        <w:tabs>
          <w:tab w:val="left" w:pos="567"/>
        </w:tabs>
        <w:spacing w:after="0" w:line="240" w:lineRule="auto"/>
        <w:ind w:firstLine="567"/>
        <w:jc w:val="both"/>
        <w:rPr>
          <w:rFonts w:eastAsia="Calibri"/>
          <w:sz w:val="24"/>
          <w:szCs w:val="24"/>
        </w:rPr>
      </w:pPr>
      <w:r>
        <w:rPr>
          <w:rFonts w:eastAsia="Calibri"/>
          <w:sz w:val="24"/>
          <w:szCs w:val="24"/>
        </w:rPr>
        <w:t>Значимым мероприятием в индустрии питания стал II Гастрономический турнир «На Топорах», который занял 3-е место в номинации «Лучшее событие в области гастрономического туризма» в финале регионального конкурса Национальной премии Russian Event Awards Сибири и Дальнего Востока.</w:t>
      </w:r>
    </w:p>
    <w:p w:rsidR="007E27CB" w:rsidRDefault="008F141F">
      <w:pPr>
        <w:tabs>
          <w:tab w:val="left" w:pos="567"/>
        </w:tabs>
        <w:spacing w:after="0" w:line="240" w:lineRule="auto"/>
        <w:ind w:firstLine="567"/>
        <w:jc w:val="both"/>
        <w:rPr>
          <w:rFonts w:eastAsia="Calibri"/>
          <w:sz w:val="24"/>
          <w:szCs w:val="24"/>
        </w:rPr>
      </w:pPr>
      <w:r>
        <w:rPr>
          <w:rFonts w:eastAsia="Calibri"/>
          <w:sz w:val="24"/>
          <w:szCs w:val="24"/>
        </w:rPr>
        <w:t>В прошлом году впервые в Томске состоялся Фестиваль Городских Ресторанов «ЕСТЬ» и пятый юбилейный гастрономический фестиваль «Вкусное местное». В декабре прошла Форсайт-сессия о создании организаторами фестиваля «Есть!» профессионального ресторанного союза.</w:t>
      </w:r>
    </w:p>
    <w:p w:rsidR="007E27CB" w:rsidRDefault="008F141F">
      <w:pPr>
        <w:tabs>
          <w:tab w:val="left" w:pos="567"/>
        </w:tabs>
        <w:spacing w:after="0" w:line="240" w:lineRule="auto"/>
        <w:ind w:firstLine="567"/>
        <w:jc w:val="both"/>
        <w:rPr>
          <w:rFonts w:eastAsia="Calibri"/>
          <w:sz w:val="24"/>
          <w:szCs w:val="24"/>
        </w:rPr>
      </w:pPr>
      <w:r>
        <w:rPr>
          <w:rFonts w:eastAsia="Calibri"/>
          <w:sz w:val="24"/>
          <w:szCs w:val="24"/>
        </w:rPr>
        <w:t xml:space="preserve">В 2019 году внедрялись новые обучающие программы для общепита </w:t>
      </w:r>
      <w:r>
        <w:rPr>
          <w:sz w:val="24"/>
          <w:szCs w:val="24"/>
          <w:lang w:eastAsia="ru-RU"/>
        </w:rPr>
        <w:t>–</w:t>
      </w:r>
      <w:r>
        <w:rPr>
          <w:rFonts w:eastAsia="Calibri"/>
          <w:sz w:val="24"/>
          <w:szCs w:val="24"/>
        </w:rPr>
        <w:t xml:space="preserve"> создана новая кулинарная школа «Мастерская вкуса. Повар» на базе ОГБПОУ «Колледж индустрии, питания и сферы услуг».</w:t>
      </w:r>
    </w:p>
    <w:p w:rsidR="007E27CB" w:rsidRDefault="008F141F">
      <w:pPr>
        <w:tabs>
          <w:tab w:val="left" w:pos="567"/>
        </w:tabs>
        <w:spacing w:after="0" w:line="240" w:lineRule="auto"/>
        <w:ind w:firstLine="567"/>
        <w:jc w:val="both"/>
        <w:rPr>
          <w:rFonts w:eastAsia="Calibri"/>
          <w:sz w:val="24"/>
          <w:szCs w:val="24"/>
        </w:rPr>
      </w:pPr>
      <w:r>
        <w:rPr>
          <w:rFonts w:eastAsia="Calibri"/>
          <w:sz w:val="24"/>
          <w:szCs w:val="24"/>
        </w:rPr>
        <w:t xml:space="preserve">В 2019 году объем услуг бытового характера, оказанных населению Томской области, составил 5,3 млрд. рублей или 98,4% к уровню 2018 года. </w:t>
      </w:r>
    </w:p>
    <w:p w:rsidR="007E27CB" w:rsidRDefault="008F141F">
      <w:pPr>
        <w:tabs>
          <w:tab w:val="left" w:pos="567"/>
        </w:tabs>
        <w:spacing w:after="0" w:line="240" w:lineRule="auto"/>
        <w:ind w:firstLine="567"/>
        <w:jc w:val="both"/>
        <w:rPr>
          <w:rFonts w:eastAsia="Calibri"/>
          <w:sz w:val="24"/>
          <w:szCs w:val="24"/>
        </w:rPr>
      </w:pPr>
      <w:r>
        <w:rPr>
          <w:rFonts w:eastAsia="Calibri"/>
          <w:sz w:val="24"/>
          <w:szCs w:val="24"/>
        </w:rPr>
        <w:t>В Томской области сфера бытовых услуг населению представлена всеми видами услуг, количество объектов бытового обслуживания составляет более 3,0 тыс. единиц.</w:t>
      </w:r>
    </w:p>
    <w:p w:rsidR="007E27CB" w:rsidRDefault="008F141F">
      <w:pPr>
        <w:tabs>
          <w:tab w:val="left" w:pos="567"/>
        </w:tabs>
        <w:spacing w:after="0" w:line="240" w:lineRule="auto"/>
        <w:ind w:firstLine="567"/>
        <w:jc w:val="both"/>
        <w:rPr>
          <w:rFonts w:eastAsia="Calibri"/>
          <w:sz w:val="24"/>
          <w:szCs w:val="24"/>
        </w:rPr>
      </w:pPr>
      <w:r>
        <w:rPr>
          <w:rFonts w:eastAsia="Calibri"/>
          <w:sz w:val="24"/>
          <w:szCs w:val="24"/>
        </w:rPr>
        <w:t xml:space="preserve">По итогам отчетного периода снижение объемов оказанных услуг в сфере бытового обслуживания продемонстрировали 7 из 10 видов бытовых услуг. Значительное влияние на динамику услуг оказывает сфера технического обслуживания и ремонта транспортных средств, машин и оборудования (85,4% к 2018 году) за счет высокой доли в общей структуре объема бытовых услуг (удельный вес </w:t>
      </w:r>
      <w:r>
        <w:rPr>
          <w:sz w:val="24"/>
          <w:szCs w:val="24"/>
          <w:lang w:eastAsia="ru-RU"/>
        </w:rPr>
        <w:t>–</w:t>
      </w:r>
      <w:r>
        <w:rPr>
          <w:rFonts w:eastAsia="Calibri"/>
          <w:sz w:val="24"/>
          <w:szCs w:val="24"/>
        </w:rPr>
        <w:t xml:space="preserve"> 25,9%). На сокращение объемов услуг автосервиса повлияло, в том числе, снижение  розничных продаж легковых автомобилей (87,4% к 2018 году). Один из ведущих игроков томского рынка – «Центр Тойота Томск» отмечает снижение продаж на 20% к уровню прошлого года.</w:t>
      </w:r>
    </w:p>
    <w:p w:rsidR="007E27CB" w:rsidRDefault="008F141F">
      <w:pPr>
        <w:tabs>
          <w:tab w:val="left" w:pos="567"/>
        </w:tabs>
        <w:spacing w:after="0" w:line="240" w:lineRule="auto"/>
        <w:ind w:firstLine="567"/>
        <w:jc w:val="both"/>
        <w:rPr>
          <w:rFonts w:eastAsia="Calibri"/>
          <w:sz w:val="24"/>
          <w:szCs w:val="24"/>
        </w:rPr>
      </w:pPr>
      <w:r>
        <w:rPr>
          <w:rFonts w:eastAsia="Calibri"/>
          <w:sz w:val="24"/>
          <w:szCs w:val="24"/>
        </w:rPr>
        <w:t>Прирост объемных показателей по итогам 2019 года отмечен в подотрослях: в сфере ремонта и пошива швейных изделий – 351,1%, что связано с увеличением продаж дизайнерской одежды в шоу-румах, где представлена продукция местных ателье. Также всплеск деловой активности отмечен в сфере ремонта и строительства жилья и других построек – 104,5%, услуг химической чистки и крашения, услуг прачечных – 135,1%, что в последнем случае обусловлено увеличением заказов на ООО «ФЕЯ» в рамках договора на осуществление комплексного обслуживания организаций компании ООО «Газпром трансгаз Томск».</w:t>
      </w:r>
    </w:p>
    <w:p w:rsidR="007E27CB" w:rsidRDefault="007E27CB">
      <w:pPr>
        <w:tabs>
          <w:tab w:val="left" w:pos="4962"/>
        </w:tabs>
        <w:autoSpaceDE w:val="0"/>
        <w:autoSpaceDN w:val="0"/>
        <w:adjustRightInd w:val="0"/>
        <w:spacing w:after="0" w:line="240" w:lineRule="auto"/>
        <w:ind w:firstLine="280"/>
        <w:jc w:val="both"/>
        <w:rPr>
          <w:rFonts w:eastAsia="Calibri"/>
          <w:color w:val="000000"/>
          <w:sz w:val="24"/>
          <w:szCs w:val="24"/>
        </w:rPr>
      </w:pPr>
    </w:p>
    <w:p w:rsidR="007E27CB" w:rsidRDefault="008F141F">
      <w:pPr>
        <w:shd w:val="clear" w:color="auto" w:fill="F2F2F2" w:themeFill="background1" w:themeFillShade="F2"/>
        <w:tabs>
          <w:tab w:val="left" w:pos="4962"/>
        </w:tabs>
        <w:spacing w:after="0" w:line="240" w:lineRule="auto"/>
        <w:jc w:val="both"/>
        <w:rPr>
          <w:rFonts w:eastAsia="Calibri"/>
          <w:b/>
          <w:sz w:val="24"/>
          <w:szCs w:val="24"/>
        </w:rPr>
      </w:pPr>
      <w:r>
        <w:rPr>
          <w:rFonts w:eastAsia="Calibri"/>
          <w:b/>
          <w:sz w:val="24"/>
          <w:szCs w:val="24"/>
        </w:rPr>
        <w:t xml:space="preserve">Перспективные задачи </w:t>
      </w:r>
    </w:p>
    <w:p w:rsidR="007E27CB" w:rsidRDefault="007E27CB">
      <w:pPr>
        <w:tabs>
          <w:tab w:val="left" w:pos="4962"/>
        </w:tabs>
        <w:autoSpaceDE w:val="0"/>
        <w:autoSpaceDN w:val="0"/>
        <w:adjustRightInd w:val="0"/>
        <w:spacing w:after="0" w:line="240" w:lineRule="auto"/>
        <w:rPr>
          <w:rFonts w:eastAsia="Calibri"/>
          <w:color w:val="000000"/>
          <w:sz w:val="24"/>
          <w:szCs w:val="24"/>
        </w:rPr>
      </w:pPr>
    </w:p>
    <w:p w:rsidR="007E27CB" w:rsidRDefault="008F141F">
      <w:pPr>
        <w:widowControl w:val="0"/>
        <w:numPr>
          <w:ilvl w:val="2"/>
          <w:numId w:val="137"/>
        </w:numPr>
        <w:tabs>
          <w:tab w:val="left" w:pos="284"/>
          <w:tab w:val="left" w:pos="709"/>
          <w:tab w:val="left" w:pos="851"/>
        </w:tabs>
        <w:autoSpaceDE w:val="0"/>
        <w:autoSpaceDN w:val="0"/>
        <w:spacing w:after="0" w:line="240" w:lineRule="auto"/>
        <w:ind w:left="0" w:firstLine="0"/>
        <w:contextualSpacing/>
        <w:jc w:val="both"/>
        <w:rPr>
          <w:rFonts w:eastAsia="Calibri"/>
          <w:color w:val="000000"/>
          <w:sz w:val="24"/>
          <w:szCs w:val="24"/>
        </w:rPr>
      </w:pPr>
      <w:r>
        <w:rPr>
          <w:rFonts w:eastAsia="Calibri"/>
          <w:sz w:val="24"/>
          <w:szCs w:val="24"/>
        </w:rPr>
        <w:t>Продвижение и позиционирование продукции томских производителей на внутреннем и внешних рынках.</w:t>
      </w:r>
    </w:p>
    <w:p w:rsidR="007E27CB" w:rsidRDefault="008F141F">
      <w:pPr>
        <w:widowControl w:val="0"/>
        <w:numPr>
          <w:ilvl w:val="2"/>
          <w:numId w:val="137"/>
        </w:numPr>
        <w:tabs>
          <w:tab w:val="left" w:pos="284"/>
          <w:tab w:val="left" w:pos="709"/>
          <w:tab w:val="left" w:pos="851"/>
        </w:tabs>
        <w:autoSpaceDE w:val="0"/>
        <w:autoSpaceDN w:val="0"/>
        <w:spacing w:after="0" w:line="240" w:lineRule="auto"/>
        <w:ind w:left="0" w:firstLine="0"/>
        <w:contextualSpacing/>
        <w:jc w:val="both"/>
        <w:rPr>
          <w:rFonts w:eastAsia="Calibri"/>
          <w:sz w:val="24"/>
          <w:szCs w:val="24"/>
        </w:rPr>
      </w:pPr>
      <w:r>
        <w:rPr>
          <w:rFonts w:eastAsia="Calibri"/>
          <w:sz w:val="24"/>
          <w:szCs w:val="24"/>
        </w:rPr>
        <w:t>Создание условий для развития кон</w:t>
      </w:r>
      <w:r>
        <w:rPr>
          <w:rFonts w:eastAsia="Calibri"/>
          <w:sz w:val="24"/>
          <w:szCs w:val="24"/>
        </w:rPr>
        <w:softHyphen/>
        <w:t>куренции на потребительском рынке.</w:t>
      </w:r>
    </w:p>
    <w:p w:rsidR="007E27CB" w:rsidRDefault="008F141F">
      <w:pPr>
        <w:widowControl w:val="0"/>
        <w:numPr>
          <w:ilvl w:val="2"/>
          <w:numId w:val="137"/>
        </w:numPr>
        <w:tabs>
          <w:tab w:val="left" w:pos="284"/>
          <w:tab w:val="left" w:pos="709"/>
          <w:tab w:val="left" w:pos="851"/>
        </w:tabs>
        <w:autoSpaceDE w:val="0"/>
        <w:autoSpaceDN w:val="0"/>
        <w:spacing w:after="0" w:line="240" w:lineRule="auto"/>
        <w:ind w:left="0" w:firstLine="0"/>
        <w:contextualSpacing/>
        <w:jc w:val="both"/>
        <w:rPr>
          <w:rFonts w:eastAsia="Calibri"/>
          <w:sz w:val="24"/>
          <w:szCs w:val="24"/>
        </w:rPr>
      </w:pPr>
      <w:r>
        <w:rPr>
          <w:rFonts w:eastAsia="Calibri"/>
          <w:sz w:val="24"/>
          <w:szCs w:val="24"/>
        </w:rPr>
        <w:t>Содействие в реализации инвестици</w:t>
      </w:r>
      <w:r>
        <w:rPr>
          <w:rFonts w:eastAsia="Calibri"/>
          <w:sz w:val="24"/>
          <w:szCs w:val="24"/>
        </w:rPr>
        <w:softHyphen/>
        <w:t>онных проектов, способствующих разви</w:t>
      </w:r>
      <w:r>
        <w:rPr>
          <w:rFonts w:eastAsia="Calibri"/>
          <w:sz w:val="24"/>
          <w:szCs w:val="24"/>
        </w:rPr>
        <w:softHyphen/>
        <w:t>тию сферы потребительского рынка.</w:t>
      </w:r>
      <w:r>
        <w:rPr>
          <w:sz w:val="24"/>
          <w:szCs w:val="24"/>
          <w:lang w:eastAsia="ru-RU"/>
        </w:rPr>
        <w:t xml:space="preserve"> </w:t>
      </w:r>
    </w:p>
    <w:p w:rsidR="007E27CB" w:rsidRDefault="008F141F">
      <w:pPr>
        <w:tabs>
          <w:tab w:val="left" w:pos="0"/>
        </w:tabs>
        <w:spacing w:after="0" w:line="240" w:lineRule="auto"/>
        <w:ind w:firstLine="567"/>
        <w:jc w:val="both"/>
        <w:rPr>
          <w:rFonts w:eastAsia="Times New Roman"/>
          <w:b/>
          <w:sz w:val="24"/>
          <w:szCs w:val="24"/>
        </w:rPr>
      </w:pPr>
      <w:r>
        <w:rPr>
          <w:rFonts w:eastAsia="Times New Roman"/>
          <w:b/>
          <w:sz w:val="24"/>
          <w:szCs w:val="24"/>
        </w:rPr>
        <w:lastRenderedPageBreak/>
        <w:t>СТРОИТЕЛЬСТВО</w:t>
      </w:r>
      <w:r>
        <w:rPr>
          <w:rStyle w:val="af3"/>
          <w:rFonts w:eastAsia="Times New Roman"/>
          <w:b/>
          <w:sz w:val="24"/>
          <w:szCs w:val="24"/>
        </w:rPr>
        <w:footnoteReference w:id="5"/>
      </w:r>
    </w:p>
    <w:p w:rsidR="007E27CB" w:rsidRDefault="007E27CB">
      <w:pPr>
        <w:tabs>
          <w:tab w:val="left" w:pos="4962"/>
        </w:tabs>
        <w:spacing w:after="0" w:line="240" w:lineRule="auto"/>
        <w:ind w:firstLine="567"/>
        <w:jc w:val="both"/>
        <w:rPr>
          <w:rFonts w:eastAsia="Times New Roman"/>
          <w:sz w:val="24"/>
          <w:szCs w:val="24"/>
        </w:rPr>
      </w:pPr>
    </w:p>
    <w:p w:rsidR="007E27CB" w:rsidRDefault="008F141F">
      <w:pPr>
        <w:pStyle w:val="13"/>
        <w:shd w:val="clear" w:color="auto" w:fill="auto"/>
        <w:spacing w:after="0" w:line="240" w:lineRule="auto"/>
        <w:ind w:firstLine="567"/>
        <w:jc w:val="both"/>
        <w:rPr>
          <w:sz w:val="24"/>
          <w:szCs w:val="24"/>
        </w:rPr>
      </w:pPr>
      <w:r>
        <w:rPr>
          <w:sz w:val="24"/>
          <w:szCs w:val="24"/>
        </w:rPr>
        <w:t>По итогам 2019 года объем работ по виду деятельности «Строительство» вырос на 21,7% по сравнению с уровнем 2018 года и составил 55,1 млрд. рублей.</w:t>
      </w:r>
    </w:p>
    <w:p w:rsidR="007E27CB" w:rsidRDefault="008F141F">
      <w:pPr>
        <w:pStyle w:val="13"/>
        <w:shd w:val="clear" w:color="auto" w:fill="auto"/>
        <w:spacing w:after="0" w:line="240" w:lineRule="auto"/>
        <w:ind w:firstLine="567"/>
        <w:jc w:val="both"/>
        <w:rPr>
          <w:sz w:val="24"/>
          <w:szCs w:val="24"/>
        </w:rPr>
      </w:pPr>
      <w:r>
        <w:rPr>
          <w:color w:val="000000"/>
          <w:sz w:val="24"/>
          <w:szCs w:val="24"/>
        </w:rPr>
        <w:t>Основное влияние на формирование по</w:t>
      </w:r>
      <w:r>
        <w:rPr>
          <w:color w:val="000000"/>
          <w:sz w:val="24"/>
          <w:szCs w:val="24"/>
        </w:rPr>
        <w:softHyphen/>
        <w:t>казателя оказало увеличение объемов работ по строительству инженерных сооружений на 66,7%, доля которых в общем объеме строительных работ составляет 42,5%. Также наблюдается увеличение объемов работ по строительству зданий (на 4,4%).</w:t>
      </w:r>
    </w:p>
    <w:p w:rsidR="007E27CB" w:rsidRDefault="008F141F">
      <w:pPr>
        <w:pStyle w:val="13"/>
        <w:shd w:val="clear" w:color="auto" w:fill="auto"/>
        <w:spacing w:after="0" w:line="240" w:lineRule="auto"/>
        <w:ind w:firstLine="709"/>
        <w:jc w:val="both"/>
        <w:rPr>
          <w:sz w:val="24"/>
          <w:szCs w:val="24"/>
        </w:rPr>
      </w:pPr>
      <w:r>
        <w:rPr>
          <w:noProof/>
          <w:sz w:val="24"/>
          <w:szCs w:val="24"/>
          <w:lang w:eastAsia="ru-RU"/>
        </w:rPr>
        <w:drawing>
          <wp:inline distT="0" distB="0" distL="0" distR="0">
            <wp:extent cx="4584700" cy="3168015"/>
            <wp:effectExtent l="0" t="0" r="6350" b="0"/>
            <wp:docPr id="91" name="Диаграмма 9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7E27CB" w:rsidRDefault="008F141F">
      <w:pPr>
        <w:tabs>
          <w:tab w:val="left" w:pos="426"/>
          <w:tab w:val="left" w:pos="993"/>
        </w:tabs>
        <w:spacing w:after="0" w:line="240" w:lineRule="auto"/>
        <w:ind w:firstLine="567"/>
        <w:jc w:val="both"/>
        <w:rPr>
          <w:rFonts w:eastAsia="Calibri"/>
          <w:sz w:val="24"/>
          <w:szCs w:val="24"/>
        </w:rPr>
      </w:pPr>
      <w:r>
        <w:rPr>
          <w:rFonts w:eastAsia="Calibri"/>
          <w:sz w:val="24"/>
          <w:szCs w:val="24"/>
        </w:rPr>
        <w:t xml:space="preserve">В рамках государственной программы «Развитие образования в Томской области» были приобретены 4 здания дошкольных общеобразовательных организаций на общую сумму 678 008,8 тыс. рублей на: </w:t>
      </w:r>
    </w:p>
    <w:p w:rsidR="007E27CB" w:rsidRDefault="008F141F">
      <w:pPr>
        <w:pStyle w:val="a6"/>
        <w:widowControl w:val="0"/>
        <w:numPr>
          <w:ilvl w:val="0"/>
          <w:numId w:val="73"/>
        </w:numPr>
        <w:tabs>
          <w:tab w:val="left" w:pos="993"/>
          <w:tab w:val="left" w:pos="1134"/>
        </w:tabs>
        <w:spacing w:after="0" w:line="240" w:lineRule="auto"/>
        <w:ind w:left="0" w:firstLine="567"/>
        <w:jc w:val="both"/>
        <w:rPr>
          <w:rFonts w:ascii="Times New Roman" w:hAnsi="Times New Roman"/>
          <w:sz w:val="24"/>
          <w:szCs w:val="24"/>
        </w:rPr>
      </w:pPr>
      <w:r>
        <w:rPr>
          <w:rFonts w:ascii="Times New Roman" w:hAnsi="Times New Roman"/>
          <w:sz w:val="24"/>
          <w:szCs w:val="24"/>
        </w:rPr>
        <w:t>220 мест в Ленинском районе г. Томска;</w:t>
      </w:r>
    </w:p>
    <w:p w:rsidR="007E27CB" w:rsidRDefault="008F141F">
      <w:pPr>
        <w:pStyle w:val="a6"/>
        <w:widowControl w:val="0"/>
        <w:numPr>
          <w:ilvl w:val="0"/>
          <w:numId w:val="73"/>
        </w:numPr>
        <w:tabs>
          <w:tab w:val="left" w:pos="993"/>
          <w:tab w:val="left" w:pos="1134"/>
        </w:tabs>
        <w:spacing w:after="0" w:line="240" w:lineRule="auto"/>
        <w:ind w:left="0" w:firstLine="567"/>
        <w:jc w:val="both"/>
        <w:rPr>
          <w:rFonts w:ascii="Times New Roman" w:hAnsi="Times New Roman"/>
          <w:sz w:val="24"/>
          <w:szCs w:val="24"/>
        </w:rPr>
      </w:pPr>
      <w:r>
        <w:rPr>
          <w:rFonts w:ascii="Times New Roman" w:hAnsi="Times New Roman"/>
          <w:sz w:val="24"/>
          <w:szCs w:val="24"/>
        </w:rPr>
        <w:t>90 мест в Заречном сельском поселении Томского района Томской области;</w:t>
      </w:r>
    </w:p>
    <w:p w:rsidR="007E27CB" w:rsidRDefault="008F141F">
      <w:pPr>
        <w:pStyle w:val="a6"/>
        <w:widowControl w:val="0"/>
        <w:numPr>
          <w:ilvl w:val="0"/>
          <w:numId w:val="73"/>
        </w:numPr>
        <w:tabs>
          <w:tab w:val="left" w:pos="993"/>
          <w:tab w:val="left" w:pos="1134"/>
        </w:tabs>
        <w:spacing w:after="0" w:line="240" w:lineRule="auto"/>
        <w:ind w:left="0" w:firstLine="567"/>
        <w:jc w:val="both"/>
        <w:rPr>
          <w:rFonts w:ascii="Times New Roman" w:hAnsi="Times New Roman"/>
          <w:sz w:val="24"/>
          <w:szCs w:val="24"/>
        </w:rPr>
      </w:pPr>
      <w:r>
        <w:rPr>
          <w:rFonts w:ascii="Times New Roman" w:hAnsi="Times New Roman"/>
          <w:sz w:val="24"/>
          <w:szCs w:val="24"/>
        </w:rPr>
        <w:t>90 мест в с. Первомайское Первомайского района Томской области;</w:t>
      </w:r>
    </w:p>
    <w:p w:rsidR="007E27CB" w:rsidRDefault="008F141F">
      <w:pPr>
        <w:pStyle w:val="a6"/>
        <w:widowControl w:val="0"/>
        <w:numPr>
          <w:ilvl w:val="0"/>
          <w:numId w:val="73"/>
        </w:numPr>
        <w:tabs>
          <w:tab w:val="left" w:pos="993"/>
          <w:tab w:val="left" w:pos="1134"/>
        </w:tabs>
        <w:spacing w:after="0" w:line="240" w:lineRule="auto"/>
        <w:ind w:left="0" w:firstLine="567"/>
        <w:jc w:val="both"/>
        <w:rPr>
          <w:rFonts w:ascii="Times New Roman" w:hAnsi="Times New Roman"/>
          <w:sz w:val="24"/>
          <w:szCs w:val="24"/>
        </w:rPr>
      </w:pPr>
      <w:r>
        <w:rPr>
          <w:rFonts w:ascii="Times New Roman" w:hAnsi="Times New Roman"/>
          <w:sz w:val="24"/>
          <w:szCs w:val="24"/>
        </w:rPr>
        <w:t>90 мест в с. Молчаново Молчановского района Томской области.</w:t>
      </w:r>
    </w:p>
    <w:p w:rsidR="007E27CB" w:rsidRDefault="008F141F">
      <w:pPr>
        <w:pStyle w:val="a6"/>
        <w:tabs>
          <w:tab w:val="left" w:pos="993"/>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В рамках государственных программ Томской области «Развитие образования в Томской области» и «Социальная поддержка населения в Томской области» в 2019 году начаты работы по строительству спальных корпусов № 1 и № 3 ОГБУ «Итатский дом-интернат» и 3 зданий дошкольных общеобразовательных организаций. </w:t>
      </w:r>
    </w:p>
    <w:p w:rsidR="007E27CB" w:rsidRDefault="008F141F">
      <w:pPr>
        <w:pStyle w:val="a6"/>
        <w:tabs>
          <w:tab w:val="left" w:pos="993"/>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В рамках регионального проекта «Современная школа» национального проекта «Образование» в 2019 году приобретено здание общеобразовательной организации на       1 100 мест на сумму 1 082 491,2 тыс. рублей по ул. П.Федоровского в г. Томске и внесен первый транш в сумме 634 648,7 тыс. рублей в счет оплаты за школу на 1 100 мест в         п. Зональная станция Томского района. Окончательный расчёт произведён в 2020 году в сумме 732 866,6 тыс. рублей. </w:t>
      </w:r>
    </w:p>
    <w:p w:rsidR="007E27CB" w:rsidRDefault="008F141F">
      <w:pPr>
        <w:pStyle w:val="a6"/>
        <w:tabs>
          <w:tab w:val="left" w:pos="426"/>
          <w:tab w:val="left" w:pos="993"/>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Начаты работы по  капитальному ремонту двух общеобразовательных организаций МБОУ «Могочинская СОШ» Молчановского района и МАОУ «Подгорнская СОШ» Чаинского района, продолжены работы по капитальному ремонту МБОУ «Белоярская СОШ № 1» Чаинского района. </w:t>
      </w:r>
    </w:p>
    <w:p w:rsidR="007E27CB" w:rsidRDefault="008F141F">
      <w:pPr>
        <w:pStyle w:val="a6"/>
        <w:tabs>
          <w:tab w:val="left" w:pos="993"/>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По региональным проектам «Культурная среда» и «Успех каждого ребенка» национальных проектов «Культура» и «Образование» выполнен капитальный ремонт </w:t>
      </w:r>
      <w:r>
        <w:rPr>
          <w:rFonts w:ascii="Times New Roman" w:hAnsi="Times New Roman"/>
          <w:sz w:val="24"/>
          <w:szCs w:val="24"/>
        </w:rPr>
        <w:lastRenderedPageBreak/>
        <w:t>здания МБУ «Самусьский дом культуры» и спортивного зала в Первомайском районе в МБОУ «Ореховская СОШ» на общую сумму 73 189,0 тыс. рублей.</w:t>
      </w:r>
    </w:p>
    <w:p w:rsidR="007E27CB" w:rsidRDefault="008F141F">
      <w:pPr>
        <w:pStyle w:val="a6"/>
        <w:tabs>
          <w:tab w:val="left" w:pos="993"/>
        </w:tabs>
        <w:spacing w:after="0" w:line="240" w:lineRule="auto"/>
        <w:ind w:left="0" w:firstLine="567"/>
        <w:jc w:val="both"/>
        <w:rPr>
          <w:rFonts w:ascii="Times New Roman" w:hAnsi="Times New Roman"/>
          <w:sz w:val="24"/>
          <w:szCs w:val="24"/>
        </w:rPr>
      </w:pPr>
      <w:r>
        <w:rPr>
          <w:rFonts w:ascii="Times New Roman" w:hAnsi="Times New Roman"/>
          <w:sz w:val="24"/>
          <w:szCs w:val="24"/>
        </w:rPr>
        <w:t>Приобретены 2 сельских дома культуры в с. Пудовка Кривошеинского района и      п. Клюквинка Верхнекетского района в рамках государственной программы «Развитие культуры и туризма в Томской области» на общую сумму 109 139,1 тыс. рублей.</w:t>
      </w:r>
    </w:p>
    <w:p w:rsidR="007E27CB" w:rsidRDefault="008F141F">
      <w:pPr>
        <w:pStyle w:val="a6"/>
        <w:tabs>
          <w:tab w:val="left" w:pos="993"/>
        </w:tabs>
        <w:spacing w:after="0" w:line="240" w:lineRule="auto"/>
        <w:ind w:left="0" w:firstLine="567"/>
        <w:jc w:val="both"/>
        <w:rPr>
          <w:rFonts w:ascii="Times New Roman" w:hAnsi="Times New Roman"/>
          <w:sz w:val="24"/>
          <w:szCs w:val="24"/>
        </w:rPr>
      </w:pPr>
      <w:r>
        <w:rPr>
          <w:rFonts w:ascii="Times New Roman" w:hAnsi="Times New Roman"/>
          <w:sz w:val="24"/>
          <w:szCs w:val="24"/>
        </w:rPr>
        <w:t>За счет реализации регионального проекта «Борьба с онкологическими заболеваниями» национального проекта «Здравоохранение» в 2019 году начаты работы по строительству Хирургического корпуса на 120 коек с поликлиникой на 200 посещений в смену ОГАУЗ «Томский областной онкологический диспансер» в г. Томске. Освоение бюджетных средств составило 262 787,3 тыс. рублей.</w:t>
      </w:r>
    </w:p>
    <w:p w:rsidR="007E27CB" w:rsidRDefault="008F141F">
      <w:pPr>
        <w:tabs>
          <w:tab w:val="left" w:pos="993"/>
        </w:tabs>
        <w:spacing w:after="0" w:line="240" w:lineRule="auto"/>
        <w:ind w:firstLine="567"/>
        <w:jc w:val="both"/>
        <w:rPr>
          <w:rFonts w:eastAsia="Calibri"/>
          <w:color w:val="000000"/>
          <w:sz w:val="24"/>
          <w:szCs w:val="24"/>
        </w:rPr>
      </w:pPr>
      <w:r>
        <w:rPr>
          <w:rFonts w:eastAsia="Calibri"/>
          <w:sz w:val="24"/>
          <w:szCs w:val="24"/>
        </w:rPr>
        <w:t>В рамках государственной программы Томской области «</w:t>
      </w:r>
      <w:r>
        <w:rPr>
          <w:sz w:val="24"/>
          <w:szCs w:val="24"/>
          <w:lang w:eastAsia="ru-RU"/>
        </w:rPr>
        <w:t xml:space="preserve">Развитие молодежной политики, физической культуры и спорта в Томской области» закончены работы по реконструкции стадиона «Юность» в с. Каргасок Томской области в размере 6 592,3 тыс. рублей и проведены работы по </w:t>
      </w:r>
      <w:r>
        <w:rPr>
          <w:rFonts w:eastAsia="Calibri"/>
          <w:color w:val="000000"/>
          <w:sz w:val="24"/>
          <w:szCs w:val="24"/>
        </w:rPr>
        <w:t>строительству спортивных площадок на общую сумму 27 218,8 тыс. рублей:</w:t>
      </w:r>
    </w:p>
    <w:p w:rsidR="007E27CB" w:rsidRDefault="008F141F">
      <w:pPr>
        <w:pStyle w:val="a6"/>
        <w:widowControl w:val="0"/>
        <w:numPr>
          <w:ilvl w:val="0"/>
          <w:numId w:val="74"/>
        </w:numPr>
        <w:tabs>
          <w:tab w:val="left" w:pos="0"/>
          <w:tab w:val="left" w:pos="993"/>
          <w:tab w:val="left" w:pos="1134"/>
        </w:tabs>
        <w:spacing w:after="0" w:line="240" w:lineRule="auto"/>
        <w:ind w:left="0" w:firstLine="567"/>
        <w:jc w:val="both"/>
        <w:rPr>
          <w:rFonts w:ascii="Times New Roman" w:hAnsi="Times New Roman"/>
          <w:color w:val="000000"/>
          <w:sz w:val="24"/>
          <w:szCs w:val="24"/>
        </w:rPr>
      </w:pPr>
      <w:r>
        <w:rPr>
          <w:rFonts w:ascii="Times New Roman" w:hAnsi="Times New Roman"/>
          <w:sz w:val="24"/>
          <w:szCs w:val="24"/>
        </w:rPr>
        <w:t>универсальная спортивная площадка по адресу: Томская область, Кривошеинский район, с. Володино, ул. Коммунистическая, 37а;</w:t>
      </w:r>
    </w:p>
    <w:p w:rsidR="007E27CB" w:rsidRDefault="008F141F">
      <w:pPr>
        <w:pStyle w:val="a6"/>
        <w:widowControl w:val="0"/>
        <w:numPr>
          <w:ilvl w:val="0"/>
          <w:numId w:val="74"/>
        </w:numPr>
        <w:tabs>
          <w:tab w:val="left" w:pos="0"/>
          <w:tab w:val="left" w:pos="993"/>
          <w:tab w:val="left" w:pos="1134"/>
        </w:tabs>
        <w:spacing w:after="0" w:line="240" w:lineRule="auto"/>
        <w:ind w:left="0" w:firstLine="567"/>
        <w:jc w:val="both"/>
        <w:rPr>
          <w:rFonts w:ascii="Times New Roman" w:hAnsi="Times New Roman"/>
          <w:sz w:val="24"/>
          <w:szCs w:val="24"/>
        </w:rPr>
      </w:pPr>
      <w:r>
        <w:rPr>
          <w:rFonts w:ascii="Times New Roman" w:hAnsi="Times New Roman"/>
          <w:sz w:val="24"/>
          <w:szCs w:val="24"/>
        </w:rPr>
        <w:t>комплексная спортивная площадка по адресу: Томская область, г. Кедровый,     с. Пудино, ул. Горького,8;</w:t>
      </w:r>
    </w:p>
    <w:p w:rsidR="007E27CB" w:rsidRDefault="008F141F">
      <w:pPr>
        <w:pStyle w:val="a6"/>
        <w:widowControl w:val="0"/>
        <w:numPr>
          <w:ilvl w:val="0"/>
          <w:numId w:val="74"/>
        </w:numPr>
        <w:tabs>
          <w:tab w:val="left" w:pos="0"/>
          <w:tab w:val="left" w:pos="993"/>
          <w:tab w:val="left" w:pos="1134"/>
        </w:tabs>
        <w:spacing w:after="0" w:line="240" w:lineRule="auto"/>
        <w:ind w:left="0" w:firstLine="567"/>
        <w:jc w:val="both"/>
        <w:rPr>
          <w:rFonts w:ascii="Times New Roman" w:hAnsi="Times New Roman"/>
          <w:sz w:val="24"/>
          <w:szCs w:val="24"/>
        </w:rPr>
      </w:pPr>
      <w:r>
        <w:rPr>
          <w:rFonts w:ascii="Times New Roman" w:hAnsi="Times New Roman"/>
          <w:sz w:val="24"/>
          <w:szCs w:val="24"/>
        </w:rPr>
        <w:t>детский хоккейный корт по адресу: Томский район, п. Аэропорт, уч.13;</w:t>
      </w:r>
    </w:p>
    <w:p w:rsidR="007E27CB" w:rsidRDefault="008F141F">
      <w:pPr>
        <w:pStyle w:val="a6"/>
        <w:widowControl w:val="0"/>
        <w:numPr>
          <w:ilvl w:val="0"/>
          <w:numId w:val="74"/>
        </w:numPr>
        <w:tabs>
          <w:tab w:val="left" w:pos="0"/>
          <w:tab w:val="left" w:pos="993"/>
          <w:tab w:val="left" w:pos="1134"/>
        </w:tabs>
        <w:spacing w:after="0" w:line="240" w:lineRule="auto"/>
        <w:ind w:left="0" w:firstLine="567"/>
        <w:jc w:val="both"/>
        <w:rPr>
          <w:rFonts w:ascii="Times New Roman" w:hAnsi="Times New Roman"/>
          <w:sz w:val="24"/>
          <w:szCs w:val="24"/>
        </w:rPr>
      </w:pPr>
      <w:r>
        <w:rPr>
          <w:rFonts w:ascii="Times New Roman" w:hAnsi="Times New Roman"/>
          <w:sz w:val="24"/>
          <w:szCs w:val="24"/>
        </w:rPr>
        <w:t>открытая универсальная спортивная площадка в п. Синий Утес Томского района Томской области;</w:t>
      </w:r>
    </w:p>
    <w:p w:rsidR="007E27CB" w:rsidRDefault="008F141F">
      <w:pPr>
        <w:pStyle w:val="a6"/>
        <w:widowControl w:val="0"/>
        <w:numPr>
          <w:ilvl w:val="0"/>
          <w:numId w:val="74"/>
        </w:numPr>
        <w:tabs>
          <w:tab w:val="left" w:pos="0"/>
          <w:tab w:val="left" w:pos="993"/>
          <w:tab w:val="left" w:pos="1134"/>
        </w:tabs>
        <w:spacing w:after="0" w:line="240" w:lineRule="auto"/>
        <w:ind w:left="0" w:firstLine="567"/>
        <w:jc w:val="both"/>
        <w:rPr>
          <w:rFonts w:ascii="Times New Roman" w:hAnsi="Times New Roman"/>
          <w:sz w:val="24"/>
          <w:szCs w:val="24"/>
        </w:rPr>
      </w:pPr>
      <w:r>
        <w:rPr>
          <w:rFonts w:ascii="Times New Roman" w:hAnsi="Times New Roman"/>
          <w:sz w:val="24"/>
          <w:szCs w:val="24"/>
        </w:rPr>
        <w:t>комплексная спортивная площадка по адресу: Томская область, Томский район, с. Межениновка, ул. Первомайская, 21.</w:t>
      </w:r>
    </w:p>
    <w:p w:rsidR="007E27CB" w:rsidRDefault="008F141F">
      <w:pPr>
        <w:tabs>
          <w:tab w:val="left" w:pos="993"/>
        </w:tabs>
        <w:spacing w:after="0" w:line="240" w:lineRule="auto"/>
        <w:ind w:firstLine="567"/>
        <w:jc w:val="both"/>
        <w:rPr>
          <w:sz w:val="24"/>
          <w:szCs w:val="24"/>
        </w:rPr>
      </w:pPr>
      <w:r>
        <w:rPr>
          <w:sz w:val="24"/>
          <w:szCs w:val="24"/>
        </w:rPr>
        <w:t>В рамках данной программы проведены работы по капитальному ремонту спортивных сооружений на общую сумму 42 984,0 тыс. рублей:</w:t>
      </w:r>
    </w:p>
    <w:p w:rsidR="007E27CB" w:rsidRDefault="008F141F">
      <w:pPr>
        <w:pStyle w:val="a6"/>
        <w:widowControl w:val="0"/>
        <w:numPr>
          <w:ilvl w:val="0"/>
          <w:numId w:val="75"/>
        </w:numPr>
        <w:tabs>
          <w:tab w:val="left" w:pos="426"/>
          <w:tab w:val="left" w:pos="993"/>
          <w:tab w:val="left" w:pos="1134"/>
        </w:tabs>
        <w:spacing w:after="0" w:line="240" w:lineRule="auto"/>
        <w:ind w:left="0" w:firstLine="567"/>
        <w:jc w:val="both"/>
        <w:rPr>
          <w:rFonts w:ascii="Times New Roman" w:hAnsi="Times New Roman"/>
          <w:sz w:val="24"/>
          <w:szCs w:val="24"/>
        </w:rPr>
      </w:pPr>
      <w:r>
        <w:rPr>
          <w:rFonts w:ascii="Times New Roman" w:hAnsi="Times New Roman"/>
          <w:sz w:val="24"/>
          <w:szCs w:val="24"/>
        </w:rPr>
        <w:t>стадион «Кедр» в с. Кривошеино Томской области;</w:t>
      </w:r>
    </w:p>
    <w:p w:rsidR="007E27CB" w:rsidRDefault="008F141F">
      <w:pPr>
        <w:pStyle w:val="a6"/>
        <w:widowControl w:val="0"/>
        <w:numPr>
          <w:ilvl w:val="0"/>
          <w:numId w:val="75"/>
        </w:numPr>
        <w:tabs>
          <w:tab w:val="left" w:pos="426"/>
          <w:tab w:val="left" w:pos="993"/>
          <w:tab w:val="left" w:pos="1134"/>
        </w:tabs>
        <w:spacing w:after="0" w:line="240" w:lineRule="auto"/>
        <w:ind w:left="0" w:firstLine="567"/>
        <w:jc w:val="both"/>
        <w:rPr>
          <w:rFonts w:ascii="Times New Roman" w:hAnsi="Times New Roman"/>
          <w:sz w:val="24"/>
          <w:szCs w:val="24"/>
        </w:rPr>
      </w:pPr>
      <w:r>
        <w:rPr>
          <w:rFonts w:ascii="Times New Roman" w:hAnsi="Times New Roman"/>
          <w:sz w:val="24"/>
          <w:szCs w:val="24"/>
        </w:rPr>
        <w:t>спортивный комплекс МАОУДО ДЮССШ № 1 г. Асино;</w:t>
      </w:r>
    </w:p>
    <w:p w:rsidR="007E27CB" w:rsidRDefault="008F141F">
      <w:pPr>
        <w:pStyle w:val="a6"/>
        <w:widowControl w:val="0"/>
        <w:numPr>
          <w:ilvl w:val="0"/>
          <w:numId w:val="75"/>
        </w:numPr>
        <w:tabs>
          <w:tab w:val="left" w:pos="426"/>
          <w:tab w:val="left" w:pos="993"/>
          <w:tab w:val="left" w:pos="1134"/>
        </w:tabs>
        <w:spacing w:after="0" w:line="240" w:lineRule="auto"/>
        <w:ind w:left="0" w:firstLine="567"/>
        <w:jc w:val="both"/>
        <w:rPr>
          <w:rFonts w:ascii="Times New Roman" w:hAnsi="Times New Roman"/>
          <w:sz w:val="24"/>
          <w:szCs w:val="24"/>
        </w:rPr>
      </w:pPr>
      <w:r>
        <w:rPr>
          <w:rFonts w:ascii="Times New Roman" w:hAnsi="Times New Roman"/>
          <w:sz w:val="24"/>
          <w:szCs w:val="24"/>
        </w:rPr>
        <w:t>трибуна волейбольной площадки «Спортивно-оздоровительного центра «Колос» Кожевниковского района;</w:t>
      </w:r>
    </w:p>
    <w:p w:rsidR="007E27CB" w:rsidRDefault="008F141F">
      <w:pPr>
        <w:pStyle w:val="a6"/>
        <w:widowControl w:val="0"/>
        <w:numPr>
          <w:ilvl w:val="0"/>
          <w:numId w:val="75"/>
        </w:numPr>
        <w:tabs>
          <w:tab w:val="left" w:pos="426"/>
          <w:tab w:val="left" w:pos="993"/>
          <w:tab w:val="left" w:pos="1134"/>
        </w:tabs>
        <w:spacing w:after="0" w:line="240" w:lineRule="auto"/>
        <w:ind w:left="0" w:firstLine="567"/>
        <w:jc w:val="both"/>
        <w:rPr>
          <w:rFonts w:ascii="Times New Roman" w:hAnsi="Times New Roman"/>
          <w:sz w:val="24"/>
          <w:szCs w:val="24"/>
        </w:rPr>
      </w:pPr>
      <w:r>
        <w:rPr>
          <w:rFonts w:ascii="Times New Roman" w:hAnsi="Times New Roman"/>
          <w:sz w:val="24"/>
          <w:szCs w:val="24"/>
        </w:rPr>
        <w:t>хоккейная коробка и освещение лыжной трассы МБУДО «Бакчарская детско-юношеская спортивная школа».</w:t>
      </w:r>
    </w:p>
    <w:p w:rsidR="007E27CB" w:rsidRDefault="008F141F">
      <w:pPr>
        <w:tabs>
          <w:tab w:val="left" w:pos="993"/>
        </w:tabs>
        <w:spacing w:after="0" w:line="240" w:lineRule="auto"/>
        <w:ind w:firstLine="567"/>
        <w:jc w:val="both"/>
        <w:rPr>
          <w:sz w:val="24"/>
          <w:szCs w:val="24"/>
        </w:rPr>
      </w:pPr>
      <w:r>
        <w:rPr>
          <w:sz w:val="24"/>
          <w:szCs w:val="24"/>
        </w:rPr>
        <w:t xml:space="preserve">Также начаты работы по капитальному ремонту на 2 стадионах в                                 с. Александровском и в с. Молчаново. </w:t>
      </w:r>
    </w:p>
    <w:p w:rsidR="007E27CB" w:rsidRDefault="008F141F">
      <w:pPr>
        <w:widowControl w:val="0"/>
        <w:tabs>
          <w:tab w:val="left" w:pos="993"/>
        </w:tabs>
        <w:spacing w:after="0" w:line="240" w:lineRule="auto"/>
        <w:ind w:firstLine="567"/>
        <w:jc w:val="both"/>
        <w:rPr>
          <w:rFonts w:eastAsia="Calibri"/>
          <w:color w:val="000000"/>
          <w:sz w:val="24"/>
          <w:szCs w:val="24"/>
        </w:rPr>
      </w:pPr>
      <w:r>
        <w:rPr>
          <w:rFonts w:eastAsia="Calibri"/>
          <w:color w:val="000000"/>
          <w:sz w:val="24"/>
          <w:szCs w:val="24"/>
        </w:rPr>
        <w:t>Проводилось строительство объектов газоснабжения в рамках государственной программы Томской области «Повышение энергоэффективности в Томской области» на общую сумму 114 016,2 тыс. рублей по следующим объектам:</w:t>
      </w:r>
    </w:p>
    <w:p w:rsidR="007E27CB" w:rsidRDefault="008F141F">
      <w:pPr>
        <w:pStyle w:val="a6"/>
        <w:widowControl w:val="0"/>
        <w:numPr>
          <w:ilvl w:val="0"/>
          <w:numId w:val="76"/>
        </w:numPr>
        <w:tabs>
          <w:tab w:val="left" w:pos="993"/>
          <w:tab w:val="left" w:pos="1134"/>
        </w:tabs>
        <w:spacing w:after="0" w:line="240" w:lineRule="auto"/>
        <w:ind w:left="0" w:firstLine="567"/>
        <w:jc w:val="both"/>
        <w:rPr>
          <w:rFonts w:ascii="Times New Roman" w:hAnsi="Times New Roman"/>
          <w:color w:val="000000"/>
          <w:sz w:val="24"/>
          <w:szCs w:val="24"/>
        </w:rPr>
      </w:pPr>
      <w:r>
        <w:rPr>
          <w:rFonts w:ascii="Times New Roman" w:hAnsi="Times New Roman"/>
          <w:sz w:val="24"/>
          <w:szCs w:val="24"/>
        </w:rPr>
        <w:t>газоснабжение МО «Асиновское городское поселение», г. Асино Томской области;</w:t>
      </w:r>
    </w:p>
    <w:p w:rsidR="007E27CB" w:rsidRDefault="008F141F">
      <w:pPr>
        <w:pStyle w:val="a6"/>
        <w:widowControl w:val="0"/>
        <w:numPr>
          <w:ilvl w:val="0"/>
          <w:numId w:val="76"/>
        </w:numPr>
        <w:tabs>
          <w:tab w:val="left" w:pos="993"/>
          <w:tab w:val="left" w:pos="1134"/>
        </w:tabs>
        <w:spacing w:after="0" w:line="240" w:lineRule="auto"/>
        <w:ind w:left="0" w:firstLine="567"/>
        <w:jc w:val="both"/>
        <w:rPr>
          <w:rFonts w:ascii="Times New Roman" w:hAnsi="Times New Roman"/>
          <w:sz w:val="24"/>
          <w:szCs w:val="24"/>
        </w:rPr>
      </w:pPr>
      <w:r>
        <w:rPr>
          <w:rFonts w:ascii="Times New Roman" w:hAnsi="Times New Roman"/>
          <w:sz w:val="24"/>
          <w:szCs w:val="24"/>
        </w:rPr>
        <w:t>газоснабжение с. Итатка Томского района Томской области;</w:t>
      </w:r>
    </w:p>
    <w:p w:rsidR="007E27CB" w:rsidRDefault="008F141F">
      <w:pPr>
        <w:pStyle w:val="a6"/>
        <w:widowControl w:val="0"/>
        <w:numPr>
          <w:ilvl w:val="0"/>
          <w:numId w:val="76"/>
        </w:numPr>
        <w:tabs>
          <w:tab w:val="left" w:pos="993"/>
          <w:tab w:val="left" w:pos="1134"/>
        </w:tabs>
        <w:spacing w:after="0" w:line="240" w:lineRule="auto"/>
        <w:ind w:left="0" w:firstLine="567"/>
        <w:jc w:val="both"/>
        <w:rPr>
          <w:rFonts w:ascii="Times New Roman" w:hAnsi="Times New Roman"/>
          <w:sz w:val="24"/>
          <w:szCs w:val="24"/>
        </w:rPr>
      </w:pPr>
      <w:r>
        <w:rPr>
          <w:rFonts w:ascii="Times New Roman" w:hAnsi="Times New Roman"/>
          <w:sz w:val="24"/>
          <w:szCs w:val="24"/>
        </w:rPr>
        <w:t>газоснабжение с. Дзержинское муниципального образования «Город Томск» (1-й этап).</w:t>
      </w:r>
    </w:p>
    <w:p w:rsidR="007E27CB" w:rsidRDefault="008F141F">
      <w:pPr>
        <w:pStyle w:val="Pa2"/>
        <w:tabs>
          <w:tab w:val="left" w:pos="993"/>
        </w:tabs>
        <w:spacing w:line="240" w:lineRule="auto"/>
        <w:ind w:firstLine="567"/>
        <w:jc w:val="both"/>
        <w:rPr>
          <w:rFonts w:ascii="Times New Roman" w:eastAsia="Times New Roman" w:hAnsi="Times New Roman" w:cs="Times New Roman"/>
        </w:rPr>
      </w:pPr>
      <w:r>
        <w:rPr>
          <w:rFonts w:ascii="Times New Roman" w:eastAsia="Times New Roman" w:hAnsi="Times New Roman" w:cs="Times New Roman"/>
        </w:rPr>
        <w:t>В Единый государственный реестр недвижимости внесены сведения об участке границы Томской области с Омской областью.</w:t>
      </w:r>
    </w:p>
    <w:p w:rsidR="007E27CB" w:rsidRDefault="008F141F">
      <w:pPr>
        <w:tabs>
          <w:tab w:val="left" w:pos="993"/>
        </w:tabs>
        <w:spacing w:after="0" w:line="240" w:lineRule="auto"/>
        <w:ind w:firstLine="567"/>
        <w:jc w:val="both"/>
        <w:rPr>
          <w:sz w:val="24"/>
          <w:szCs w:val="24"/>
        </w:rPr>
      </w:pPr>
      <w:r>
        <w:rPr>
          <w:sz w:val="24"/>
          <w:szCs w:val="24"/>
        </w:rPr>
        <w:t>В рамках государственной программы «Обеспечение доступности жилья и улучшение качества жилищных условий населения Томской области» реализованы следующие мероприятия:</w:t>
      </w:r>
    </w:p>
    <w:p w:rsidR="007E27CB" w:rsidRDefault="008F141F">
      <w:pPr>
        <w:pStyle w:val="a6"/>
        <w:numPr>
          <w:ilvl w:val="0"/>
          <w:numId w:val="121"/>
        </w:numPr>
        <w:tabs>
          <w:tab w:val="left" w:pos="993"/>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осуществлена актуализация картографического материала (ортофотопланов) 100 населенных пунктов Томской области, в том числе всех населенных пунктов Томского района (в целях обеспечения последующей разработки документов территориального планирования и градостроительного зонирования муниципальных образований, документации по планировке территории, проведения комплексных кадастровых работ на </w:t>
      </w:r>
      <w:r>
        <w:rPr>
          <w:rFonts w:ascii="Times New Roman" w:hAnsi="Times New Roman"/>
          <w:sz w:val="24"/>
          <w:szCs w:val="24"/>
        </w:rPr>
        <w:lastRenderedPageBreak/>
        <w:t>территориях населенных пунктов Томской области с последующей передачей сведений в ЕГРН);</w:t>
      </w:r>
    </w:p>
    <w:p w:rsidR="007E27CB" w:rsidRDefault="008F141F">
      <w:pPr>
        <w:pStyle w:val="a6"/>
        <w:numPr>
          <w:ilvl w:val="0"/>
          <w:numId w:val="121"/>
        </w:numPr>
        <w:tabs>
          <w:tab w:val="left" w:pos="993"/>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в целях реализации положений Градостроительного кодекса Российской Федерации выполнено развитие государственной информационной системы обеспечения градостроительной деятельности (далее по разделу </w:t>
      </w:r>
      <w:r>
        <w:rPr>
          <w:sz w:val="24"/>
          <w:szCs w:val="24"/>
        </w:rPr>
        <w:t>–</w:t>
      </w:r>
      <w:r>
        <w:rPr>
          <w:rFonts w:ascii="Times New Roman" w:hAnsi="Times New Roman"/>
          <w:sz w:val="24"/>
          <w:szCs w:val="24"/>
        </w:rPr>
        <w:t xml:space="preserve"> ГИС ОГД) Томской области, созданной в 2018 году, в результате которого сформированы клиентские приложения (модули) всех муниципальных образований Томской области (16 районов и 4 городских округов), предназначенные для документирования, актуализации, обработки, систематизации и учета документов и материалов в сфере градостроительства;</w:t>
      </w:r>
    </w:p>
    <w:p w:rsidR="007E27CB" w:rsidRDefault="008F141F">
      <w:pPr>
        <w:pStyle w:val="a6"/>
        <w:numPr>
          <w:ilvl w:val="0"/>
          <w:numId w:val="121"/>
        </w:numPr>
        <w:tabs>
          <w:tab w:val="left" w:pos="993"/>
        </w:tabs>
        <w:spacing w:after="0" w:line="240" w:lineRule="auto"/>
        <w:ind w:left="0" w:firstLine="567"/>
        <w:jc w:val="both"/>
        <w:rPr>
          <w:rFonts w:ascii="Times New Roman" w:hAnsi="Times New Roman"/>
          <w:sz w:val="24"/>
          <w:szCs w:val="24"/>
        </w:rPr>
      </w:pPr>
      <w:r>
        <w:rPr>
          <w:rFonts w:ascii="Times New Roman" w:hAnsi="Times New Roman"/>
          <w:sz w:val="24"/>
          <w:szCs w:val="24"/>
        </w:rPr>
        <w:t>оборудовано 5 автоматизированных рабочих мест для ведения ГИС ОГД Томской области;</w:t>
      </w:r>
    </w:p>
    <w:p w:rsidR="007E27CB" w:rsidRDefault="008F141F">
      <w:pPr>
        <w:pStyle w:val="a6"/>
        <w:numPr>
          <w:ilvl w:val="0"/>
          <w:numId w:val="121"/>
        </w:numPr>
        <w:tabs>
          <w:tab w:val="left" w:pos="993"/>
        </w:tabs>
        <w:spacing w:after="0" w:line="240" w:lineRule="auto"/>
        <w:ind w:left="0" w:firstLine="567"/>
        <w:jc w:val="both"/>
        <w:rPr>
          <w:rFonts w:ascii="Times New Roman" w:hAnsi="Times New Roman"/>
          <w:sz w:val="24"/>
          <w:szCs w:val="24"/>
        </w:rPr>
      </w:pPr>
      <w:r>
        <w:rPr>
          <w:rFonts w:ascii="Times New Roman" w:hAnsi="Times New Roman"/>
          <w:sz w:val="24"/>
          <w:szCs w:val="24"/>
        </w:rPr>
        <w:t>обеспечена подготовка проектов генеральных планов, правил землепользования и застройки вновь образованных муниципальных образований Колпашевского района: Новоселовского и Инкинского сельских поселений;</w:t>
      </w:r>
    </w:p>
    <w:p w:rsidR="007E27CB" w:rsidRDefault="008F141F">
      <w:pPr>
        <w:pStyle w:val="a6"/>
        <w:numPr>
          <w:ilvl w:val="0"/>
          <w:numId w:val="121"/>
        </w:numPr>
        <w:tabs>
          <w:tab w:val="left" w:pos="993"/>
        </w:tabs>
        <w:spacing w:after="0" w:line="240" w:lineRule="auto"/>
        <w:ind w:left="0" w:firstLine="567"/>
        <w:jc w:val="both"/>
        <w:rPr>
          <w:rFonts w:ascii="Times New Roman" w:hAnsi="Times New Roman"/>
          <w:sz w:val="24"/>
          <w:szCs w:val="24"/>
        </w:rPr>
      </w:pPr>
      <w:r>
        <w:rPr>
          <w:rFonts w:ascii="Times New Roman" w:hAnsi="Times New Roman"/>
          <w:sz w:val="24"/>
          <w:szCs w:val="24"/>
        </w:rPr>
        <w:t>в ЕГРН внесены сведения об участке границы Томской области с Омской областью.</w:t>
      </w:r>
    </w:p>
    <w:p w:rsidR="007E27CB" w:rsidRDefault="007E27CB">
      <w:pPr>
        <w:pStyle w:val="Default"/>
        <w:tabs>
          <w:tab w:val="left" w:pos="993"/>
        </w:tabs>
        <w:ind w:firstLine="567"/>
      </w:pPr>
    </w:p>
    <w:p w:rsidR="007E27CB" w:rsidRDefault="008F141F">
      <w:pPr>
        <w:pStyle w:val="Default"/>
        <w:tabs>
          <w:tab w:val="left" w:pos="993"/>
        </w:tabs>
        <w:ind w:firstLine="567"/>
      </w:pPr>
      <w:r>
        <w:t>КОММУНИКАЦИОННЫЕ МЕРОПРИЯТИЯ СТРОИТЕЛЬНОГО  СЕКТОРА</w:t>
      </w:r>
    </w:p>
    <w:p w:rsidR="007E27CB" w:rsidRDefault="007E27CB">
      <w:pPr>
        <w:tabs>
          <w:tab w:val="left" w:pos="993"/>
        </w:tabs>
        <w:spacing w:after="0" w:line="240" w:lineRule="auto"/>
        <w:ind w:firstLine="567"/>
        <w:jc w:val="both"/>
        <w:rPr>
          <w:b/>
          <w:sz w:val="24"/>
          <w:szCs w:val="24"/>
        </w:rPr>
      </w:pPr>
    </w:p>
    <w:p w:rsidR="007E27CB" w:rsidRDefault="008F141F">
      <w:pPr>
        <w:tabs>
          <w:tab w:val="left" w:pos="993"/>
        </w:tabs>
        <w:spacing w:after="0" w:line="240" w:lineRule="auto"/>
        <w:ind w:firstLine="567"/>
        <w:jc w:val="both"/>
        <w:rPr>
          <w:b/>
          <w:sz w:val="24"/>
          <w:szCs w:val="24"/>
        </w:rPr>
      </w:pPr>
      <w:r>
        <w:rPr>
          <w:b/>
          <w:sz w:val="24"/>
          <w:szCs w:val="24"/>
          <w:lang w:val="en-US"/>
        </w:rPr>
        <w:t>III</w:t>
      </w:r>
      <w:r>
        <w:rPr>
          <w:b/>
          <w:sz w:val="24"/>
          <w:szCs w:val="24"/>
        </w:rPr>
        <w:t xml:space="preserve"> Съезд строителей и проектировщиков Томской области</w:t>
      </w:r>
    </w:p>
    <w:p w:rsidR="007E27CB" w:rsidRDefault="008F141F">
      <w:pPr>
        <w:tabs>
          <w:tab w:val="left" w:pos="993"/>
        </w:tabs>
        <w:spacing w:after="0" w:line="240" w:lineRule="auto"/>
        <w:ind w:firstLine="567"/>
        <w:jc w:val="both"/>
        <w:rPr>
          <w:sz w:val="24"/>
          <w:szCs w:val="24"/>
        </w:rPr>
      </w:pPr>
      <w:r>
        <w:rPr>
          <w:sz w:val="24"/>
          <w:szCs w:val="24"/>
        </w:rPr>
        <w:t>Программа Съезда включала дискуссионные площадки: «Жилье и право», «Жилье и спрос» и «Жилье и финансы», презентацию итогов первого эксперимента «Живой лаборатории Томска» и выезд делегатов на две строительные площадки: в микрорайоны Радонежский и Северный Парк с демонстрацией гостям и участникам деловой программы новых форм жилья и благоустройства.</w:t>
      </w:r>
    </w:p>
    <w:p w:rsidR="007E27CB" w:rsidRDefault="008F141F">
      <w:pPr>
        <w:tabs>
          <w:tab w:val="left" w:pos="993"/>
        </w:tabs>
        <w:spacing w:after="0" w:line="240" w:lineRule="auto"/>
        <w:ind w:firstLine="567"/>
        <w:jc w:val="both"/>
        <w:rPr>
          <w:sz w:val="24"/>
          <w:szCs w:val="24"/>
        </w:rPr>
      </w:pPr>
      <w:r>
        <w:rPr>
          <w:sz w:val="24"/>
          <w:szCs w:val="24"/>
        </w:rPr>
        <w:t>В рамках Съезда были рассмотрены такие аспекты как переход на проектное финансирование в строительстве, перспективы отраслевого проектирования, лучшие областные практики благоустройства по проекту «Формирование комфортной городской среды», а также подписаны ряд соглашений с промышленными партнерами.</w:t>
      </w:r>
    </w:p>
    <w:p w:rsidR="007E27CB" w:rsidRDefault="008F141F">
      <w:pPr>
        <w:tabs>
          <w:tab w:val="left" w:pos="993"/>
        </w:tabs>
        <w:spacing w:after="0" w:line="240" w:lineRule="auto"/>
        <w:ind w:firstLine="567"/>
        <w:jc w:val="both"/>
        <w:rPr>
          <w:sz w:val="24"/>
          <w:szCs w:val="24"/>
        </w:rPr>
      </w:pPr>
      <w:r>
        <w:rPr>
          <w:sz w:val="24"/>
          <w:szCs w:val="24"/>
        </w:rPr>
        <w:t>В съезде приняли участие руководители региональных и муниципальных органов власти СФО, руководители строительных компаний, банков, проектных бюро, депутаты различных уровней, главные архитекторы субъектов и муниципальных образований, члены Союза архитекторов и Союза дизайнеров России, ветераны строительной отрасли. На съезде работала и представительная делегация Томского государственного архитектурно-строительного университета.</w:t>
      </w:r>
    </w:p>
    <w:p w:rsidR="007E27CB" w:rsidRDefault="008F141F">
      <w:pPr>
        <w:pStyle w:val="Default"/>
        <w:tabs>
          <w:tab w:val="left" w:pos="993"/>
        </w:tabs>
        <w:ind w:firstLine="567"/>
        <w:jc w:val="both"/>
      </w:pPr>
      <w:r>
        <w:t>В сравнении с предыдущими годами III Съезд строителей и проектировщиков Томской области был проведен в новом формате выездных штабов и был посвящен реализации в Томской области национального проекта «Жилье и городская среда».</w:t>
      </w:r>
    </w:p>
    <w:p w:rsidR="007E27CB" w:rsidRDefault="007E27CB">
      <w:pPr>
        <w:pStyle w:val="Pa2"/>
        <w:tabs>
          <w:tab w:val="left" w:pos="1134"/>
        </w:tabs>
        <w:spacing w:line="240" w:lineRule="auto"/>
        <w:ind w:firstLine="709"/>
        <w:jc w:val="both"/>
        <w:rPr>
          <w:rStyle w:val="A90"/>
          <w:rFonts w:ascii="Times New Roman" w:hAnsi="Times New Roman" w:cs="Times New Roman"/>
          <w:sz w:val="24"/>
          <w:szCs w:val="24"/>
        </w:rPr>
      </w:pPr>
    </w:p>
    <w:p w:rsidR="007E27CB" w:rsidRDefault="008F141F">
      <w:pPr>
        <w:pStyle w:val="a6"/>
        <w:shd w:val="clear" w:color="auto" w:fill="F2F2F2" w:themeFill="background1" w:themeFillShade="F2"/>
        <w:tabs>
          <w:tab w:val="left" w:pos="4962"/>
        </w:tabs>
        <w:spacing w:after="0" w:line="240" w:lineRule="auto"/>
        <w:ind w:left="0"/>
        <w:jc w:val="both"/>
        <w:rPr>
          <w:rFonts w:ascii="Times New Roman" w:hAnsi="Times New Roman"/>
          <w:b/>
          <w:sz w:val="24"/>
          <w:szCs w:val="24"/>
        </w:rPr>
      </w:pPr>
      <w:r>
        <w:rPr>
          <w:rFonts w:ascii="Times New Roman" w:hAnsi="Times New Roman"/>
          <w:b/>
          <w:sz w:val="24"/>
          <w:szCs w:val="24"/>
        </w:rPr>
        <w:t xml:space="preserve">Перспективные задачи </w:t>
      </w:r>
    </w:p>
    <w:p w:rsidR="007E27CB" w:rsidRDefault="007E27CB">
      <w:pPr>
        <w:pStyle w:val="Pa2"/>
        <w:spacing w:line="240" w:lineRule="auto"/>
        <w:ind w:left="360"/>
        <w:jc w:val="both"/>
        <w:rPr>
          <w:rFonts w:ascii="Times New Roman" w:hAnsi="Times New Roman" w:cs="Times New Roman"/>
          <w:color w:val="000000"/>
        </w:rPr>
      </w:pPr>
    </w:p>
    <w:p w:rsidR="007E27CB" w:rsidRDefault="008F141F">
      <w:pPr>
        <w:pStyle w:val="Pa2"/>
        <w:numPr>
          <w:ilvl w:val="0"/>
          <w:numId w:val="112"/>
        </w:numPr>
        <w:tabs>
          <w:tab w:val="left" w:pos="284"/>
        </w:tabs>
        <w:spacing w:line="240" w:lineRule="auto"/>
        <w:ind w:left="0" w:firstLine="0"/>
        <w:jc w:val="both"/>
        <w:rPr>
          <w:rFonts w:ascii="Times New Roman" w:hAnsi="Times New Roman" w:cs="Times New Roman"/>
          <w:color w:val="000000"/>
        </w:rPr>
      </w:pPr>
      <w:r>
        <w:rPr>
          <w:rFonts w:ascii="Times New Roman" w:hAnsi="Times New Roman" w:cs="Times New Roman"/>
          <w:color w:val="000000"/>
        </w:rPr>
        <w:t xml:space="preserve">Реализация Стратегии развития строительного комплекса на период до 2020 года. </w:t>
      </w:r>
    </w:p>
    <w:p w:rsidR="007E27CB" w:rsidRDefault="008F141F">
      <w:pPr>
        <w:pStyle w:val="a6"/>
        <w:widowControl w:val="0"/>
        <w:numPr>
          <w:ilvl w:val="0"/>
          <w:numId w:val="112"/>
        </w:numPr>
        <w:tabs>
          <w:tab w:val="left" w:pos="284"/>
        </w:tabs>
        <w:spacing w:after="0" w:line="240" w:lineRule="auto"/>
        <w:ind w:left="0" w:firstLine="0"/>
        <w:jc w:val="both"/>
        <w:rPr>
          <w:rFonts w:ascii="Times New Roman" w:hAnsi="Times New Roman"/>
          <w:color w:val="000000"/>
          <w:sz w:val="24"/>
          <w:szCs w:val="24"/>
        </w:rPr>
      </w:pPr>
      <w:r>
        <w:rPr>
          <w:rFonts w:ascii="Times New Roman" w:hAnsi="Times New Roman"/>
          <w:sz w:val="24"/>
          <w:szCs w:val="24"/>
        </w:rPr>
        <w:t>Обеспечение комплексного и устой</w:t>
      </w:r>
      <w:r>
        <w:rPr>
          <w:rFonts w:ascii="Times New Roman" w:hAnsi="Times New Roman"/>
          <w:sz w:val="24"/>
          <w:szCs w:val="24"/>
        </w:rPr>
        <w:softHyphen/>
        <w:t>чивого развития территории Томской области на основе актуализации доку</w:t>
      </w:r>
      <w:r>
        <w:rPr>
          <w:rFonts w:ascii="Times New Roman" w:hAnsi="Times New Roman"/>
          <w:sz w:val="24"/>
          <w:szCs w:val="24"/>
        </w:rPr>
        <w:softHyphen/>
        <w:t>ментов территориального планирования и градостроительного зонирования, раз</w:t>
      </w:r>
      <w:r>
        <w:rPr>
          <w:rFonts w:ascii="Times New Roman" w:hAnsi="Times New Roman"/>
          <w:sz w:val="24"/>
          <w:szCs w:val="24"/>
        </w:rPr>
        <w:softHyphen/>
        <w:t>вития государственной информационной системы обеспечения градостроительной деятельности.</w:t>
      </w:r>
    </w:p>
    <w:p w:rsidR="007E27CB" w:rsidRDefault="008F141F">
      <w:pPr>
        <w:pStyle w:val="a6"/>
        <w:widowControl w:val="0"/>
        <w:numPr>
          <w:ilvl w:val="0"/>
          <w:numId w:val="112"/>
        </w:numPr>
        <w:tabs>
          <w:tab w:val="left" w:pos="284"/>
        </w:tabs>
        <w:spacing w:after="0" w:line="240" w:lineRule="auto"/>
        <w:ind w:left="0" w:firstLine="0"/>
        <w:jc w:val="both"/>
        <w:rPr>
          <w:rFonts w:ascii="Times New Roman" w:hAnsi="Times New Roman"/>
          <w:color w:val="000000"/>
          <w:sz w:val="24"/>
          <w:szCs w:val="24"/>
        </w:rPr>
      </w:pPr>
      <w:r>
        <w:rPr>
          <w:rFonts w:ascii="Times New Roman" w:hAnsi="Times New Roman"/>
          <w:sz w:val="24"/>
          <w:szCs w:val="24"/>
        </w:rPr>
        <w:t>Решение вопросов о финансировании первоочередных (неотложных) градостроительных мероприятий:</w:t>
      </w:r>
    </w:p>
    <w:p w:rsidR="007E27CB" w:rsidRDefault="008F141F">
      <w:pPr>
        <w:tabs>
          <w:tab w:val="left" w:pos="284"/>
        </w:tabs>
        <w:spacing w:after="0" w:line="240" w:lineRule="auto"/>
        <w:jc w:val="both"/>
        <w:rPr>
          <w:sz w:val="24"/>
          <w:szCs w:val="24"/>
        </w:rPr>
      </w:pPr>
      <w:r>
        <w:rPr>
          <w:sz w:val="24"/>
          <w:szCs w:val="24"/>
        </w:rPr>
        <w:t>- подготовка проектов изменений в генеральные планы, правила землепользования и застройки поселений Томской области (с координатным описанием границ населенных пунктов и границ территориальных зон);</w:t>
      </w:r>
    </w:p>
    <w:p w:rsidR="007E27CB" w:rsidRDefault="008F141F">
      <w:pPr>
        <w:tabs>
          <w:tab w:val="left" w:pos="284"/>
        </w:tabs>
        <w:spacing w:after="0" w:line="240" w:lineRule="auto"/>
        <w:jc w:val="both"/>
        <w:rPr>
          <w:sz w:val="24"/>
          <w:szCs w:val="24"/>
        </w:rPr>
      </w:pPr>
      <w:r>
        <w:rPr>
          <w:sz w:val="24"/>
          <w:szCs w:val="24"/>
        </w:rPr>
        <w:lastRenderedPageBreak/>
        <w:t>- внесение в ЕГРН сведений об участках границы Томской области с 2 субъектами Российской Федерации: Кемеровской и Новосибирской областями;</w:t>
      </w:r>
    </w:p>
    <w:p w:rsidR="007E27CB" w:rsidRDefault="008F141F">
      <w:pPr>
        <w:tabs>
          <w:tab w:val="left" w:pos="284"/>
        </w:tabs>
        <w:spacing w:after="0" w:line="240" w:lineRule="auto"/>
        <w:jc w:val="both"/>
        <w:rPr>
          <w:sz w:val="24"/>
          <w:szCs w:val="24"/>
        </w:rPr>
      </w:pPr>
      <w:r>
        <w:rPr>
          <w:sz w:val="24"/>
          <w:szCs w:val="24"/>
        </w:rPr>
        <w:t>- внесение в ЕГРН сведений в отношении границ не менее 15 муниципальных образований (районов и городских округов) Томской области.</w:t>
      </w:r>
    </w:p>
    <w:p w:rsidR="007E27CB" w:rsidRDefault="008F141F">
      <w:pPr>
        <w:tabs>
          <w:tab w:val="left" w:pos="284"/>
        </w:tabs>
        <w:spacing w:after="0" w:line="240" w:lineRule="auto"/>
        <w:jc w:val="both"/>
        <w:rPr>
          <w:sz w:val="24"/>
          <w:szCs w:val="24"/>
        </w:rPr>
      </w:pPr>
      <w:r>
        <w:rPr>
          <w:sz w:val="24"/>
          <w:szCs w:val="24"/>
        </w:rPr>
        <w:t>4. Продолжение работы по актуализации картографического материала населенных пунктов Томской области.</w:t>
      </w:r>
    </w:p>
    <w:p w:rsidR="007E27CB" w:rsidRDefault="008F141F">
      <w:pPr>
        <w:tabs>
          <w:tab w:val="left" w:pos="284"/>
        </w:tabs>
        <w:spacing w:after="0" w:line="240" w:lineRule="auto"/>
        <w:jc w:val="both"/>
        <w:rPr>
          <w:sz w:val="24"/>
          <w:szCs w:val="24"/>
        </w:rPr>
      </w:pPr>
      <w:r>
        <w:rPr>
          <w:sz w:val="24"/>
          <w:szCs w:val="24"/>
        </w:rPr>
        <w:t>5. Эксплуатация, ведение и развитие ГИС ОГД Томской области с внедрением функций автоматизированной информационно-аналитической поддержки.</w:t>
      </w:r>
    </w:p>
    <w:p w:rsidR="007E27CB" w:rsidRDefault="007E27CB">
      <w:pPr>
        <w:tabs>
          <w:tab w:val="left" w:pos="4962"/>
        </w:tabs>
        <w:spacing w:after="0" w:line="240" w:lineRule="auto"/>
        <w:jc w:val="both"/>
        <w:rPr>
          <w:rFonts w:eastAsia="Times New Roman"/>
          <w:color w:val="FF0000"/>
          <w:sz w:val="24"/>
          <w:szCs w:val="24"/>
        </w:rPr>
      </w:pPr>
    </w:p>
    <w:p w:rsidR="007E27CB" w:rsidRDefault="008F141F">
      <w:pPr>
        <w:tabs>
          <w:tab w:val="left" w:pos="4962"/>
        </w:tabs>
        <w:spacing w:after="0" w:line="240" w:lineRule="auto"/>
        <w:jc w:val="both"/>
        <w:rPr>
          <w:rFonts w:eastAsia="Times New Roman"/>
          <w:b/>
          <w:sz w:val="24"/>
          <w:szCs w:val="24"/>
        </w:rPr>
      </w:pPr>
      <w:r>
        <w:rPr>
          <w:rFonts w:eastAsia="Times New Roman"/>
          <w:b/>
          <w:sz w:val="24"/>
          <w:szCs w:val="24"/>
        </w:rPr>
        <w:t xml:space="preserve">1.2. Повышение научно-образовательной и научно-практической отдачи сектора образования, исследований и разработок, обеспечение развития высокотехнологичных кластеров и инновационной инфраструктуры </w:t>
      </w:r>
    </w:p>
    <w:p w:rsidR="007E27CB" w:rsidRDefault="007E27CB">
      <w:pPr>
        <w:tabs>
          <w:tab w:val="left" w:pos="0"/>
        </w:tabs>
        <w:spacing w:after="0" w:line="240" w:lineRule="auto"/>
        <w:ind w:firstLine="567"/>
        <w:jc w:val="both"/>
        <w:rPr>
          <w:rFonts w:eastAsia="Times New Roman"/>
          <w:b/>
          <w:sz w:val="24"/>
          <w:szCs w:val="24"/>
        </w:rPr>
      </w:pPr>
    </w:p>
    <w:p w:rsidR="007E27CB" w:rsidRDefault="008F141F">
      <w:pPr>
        <w:tabs>
          <w:tab w:val="left" w:pos="0"/>
        </w:tabs>
        <w:spacing w:after="0" w:line="240" w:lineRule="auto"/>
        <w:ind w:firstLine="567"/>
        <w:jc w:val="both"/>
        <w:rPr>
          <w:b/>
          <w:sz w:val="24"/>
          <w:szCs w:val="24"/>
        </w:rPr>
      </w:pPr>
      <w:r>
        <w:rPr>
          <w:b/>
          <w:sz w:val="24"/>
          <w:szCs w:val="24"/>
        </w:rPr>
        <w:t>ИННОВАЦИОННЫЙ СЕКТОР</w:t>
      </w:r>
      <w:r>
        <w:rPr>
          <w:rStyle w:val="af3"/>
          <w:b/>
          <w:sz w:val="24"/>
          <w:szCs w:val="24"/>
        </w:rPr>
        <w:footnoteReference w:id="6"/>
      </w:r>
    </w:p>
    <w:p w:rsidR="007E27CB" w:rsidRDefault="007E27CB">
      <w:pPr>
        <w:tabs>
          <w:tab w:val="left" w:pos="0"/>
          <w:tab w:val="left" w:pos="4962"/>
        </w:tabs>
        <w:spacing w:after="0" w:line="240" w:lineRule="auto"/>
        <w:ind w:firstLine="567"/>
        <w:jc w:val="both"/>
        <w:rPr>
          <w:b/>
          <w:sz w:val="24"/>
          <w:szCs w:val="24"/>
        </w:rPr>
      </w:pPr>
    </w:p>
    <w:p w:rsidR="007E27CB" w:rsidRDefault="008F141F">
      <w:pPr>
        <w:pStyle w:val="af4"/>
        <w:tabs>
          <w:tab w:val="left" w:pos="0"/>
        </w:tabs>
        <w:ind w:firstLine="567"/>
        <w:contextualSpacing/>
        <w:rPr>
          <w:bCs/>
          <w:sz w:val="24"/>
          <w:szCs w:val="24"/>
        </w:rPr>
      </w:pPr>
      <w:r>
        <w:rPr>
          <w:bCs/>
          <w:sz w:val="24"/>
          <w:szCs w:val="24"/>
        </w:rPr>
        <w:t xml:space="preserve">Томская область традиционно сохраняет устойчивые лидерские позиции в рейтингах инновационной активности регионов Российской Федерации. По итогам 2019 года Томская область третий год подряд удерживает свои позиции в группе сильных инноваторов, занимая четвертую позицию (2015 год – 7-е место) после Санкт-Петербурга, Татарстана и Москвы. </w:t>
      </w:r>
    </w:p>
    <w:p w:rsidR="007E27CB" w:rsidRDefault="008F141F">
      <w:pPr>
        <w:pStyle w:val="af4"/>
        <w:ind w:firstLine="567"/>
        <w:rPr>
          <w:sz w:val="24"/>
          <w:szCs w:val="24"/>
        </w:rPr>
      </w:pPr>
      <w:r>
        <w:rPr>
          <w:sz w:val="24"/>
          <w:szCs w:val="24"/>
        </w:rPr>
        <w:t>Томская область является единственным регионом, помимо Москвы, Московской области и Санкт-Петербурга, в котором работают сразу 4 компании – национальных чемпиона, вошедших в рейтинг приоритетного проекта Минэкономразвития России «Поддержка частных высокотехнологических компаний-лидеров».</w:t>
      </w:r>
    </w:p>
    <w:p w:rsidR="007E27CB" w:rsidRDefault="008F141F">
      <w:pPr>
        <w:pStyle w:val="af4"/>
        <w:ind w:firstLine="567"/>
        <w:rPr>
          <w:sz w:val="24"/>
          <w:szCs w:val="24"/>
        </w:rPr>
      </w:pPr>
      <w:r>
        <w:rPr>
          <w:sz w:val="24"/>
          <w:szCs w:val="24"/>
        </w:rPr>
        <w:t>В 2019 году еще 3 томские компании (Рубиус, Сибэдж, ОйлТим) успешно прошли отбор и попали в рейтинг «ТехУспех» (рейтинг формирует РВК). Причем компания Рубиус вошла в ТОП-5.</w:t>
      </w:r>
    </w:p>
    <w:p w:rsidR="007E27CB" w:rsidRDefault="008F141F">
      <w:pPr>
        <w:pStyle w:val="af4"/>
        <w:ind w:firstLine="567"/>
        <w:rPr>
          <w:sz w:val="24"/>
          <w:szCs w:val="24"/>
        </w:rPr>
      </w:pPr>
      <w:r>
        <w:rPr>
          <w:sz w:val="24"/>
          <w:szCs w:val="24"/>
        </w:rPr>
        <w:t>Основные показатели инновационной активности региона сохраняют положительную динамику. Доля продукции высокотехнологичных и наукоемких отраслей экономики в ВРП составила 26,3%. Затраты на технологические инновации в Томской области по итогам 2019 года по оценке достигнут 18,1 млрд. рублей (рост на 11% к уровню 2018 года).</w:t>
      </w:r>
    </w:p>
    <w:p w:rsidR="007E27CB" w:rsidRDefault="008F141F">
      <w:pPr>
        <w:widowControl w:val="0"/>
        <w:tabs>
          <w:tab w:val="left" w:pos="0"/>
        </w:tabs>
        <w:suppressAutoHyphens/>
        <w:spacing w:after="0" w:line="240" w:lineRule="auto"/>
        <w:ind w:firstLine="567"/>
        <w:contextualSpacing/>
        <w:jc w:val="both"/>
        <w:rPr>
          <w:i/>
          <w:sz w:val="24"/>
          <w:szCs w:val="24"/>
        </w:rPr>
      </w:pPr>
      <w:r>
        <w:rPr>
          <w:i/>
          <w:sz w:val="24"/>
          <w:szCs w:val="24"/>
        </w:rPr>
        <w:t>К</w:t>
      </w:r>
      <w:r>
        <w:rPr>
          <w:i/>
          <w:sz w:val="24"/>
          <w:szCs w:val="24"/>
          <w:lang w:val="x-none"/>
        </w:rPr>
        <w:t>ластер «Smart Technologies Tomsk»</w:t>
      </w:r>
    </w:p>
    <w:p w:rsidR="007E27CB" w:rsidRDefault="008F141F">
      <w:pPr>
        <w:widowControl w:val="0"/>
        <w:tabs>
          <w:tab w:val="left" w:pos="0"/>
        </w:tabs>
        <w:suppressAutoHyphens/>
        <w:spacing w:after="0" w:line="240" w:lineRule="auto"/>
        <w:ind w:firstLine="567"/>
        <w:contextualSpacing/>
        <w:jc w:val="both"/>
        <w:rPr>
          <w:sz w:val="24"/>
          <w:szCs w:val="24"/>
        </w:rPr>
      </w:pPr>
      <w:r>
        <w:rPr>
          <w:sz w:val="24"/>
          <w:szCs w:val="24"/>
          <w:lang w:val="x-none"/>
        </w:rPr>
        <w:t xml:space="preserve">В 2019 году количество компаний инновационного территориального кластера «Smart Technologies Tomsk» достигло 210. В Кластер входят все томские университеты, Томский национальный исследовательский медицинский центр, Институт физики прочности и материаловедения СО РАН, Институт мониторинга климатических и экологических систем </w:t>
      </w:r>
      <w:r>
        <w:rPr>
          <w:sz w:val="24"/>
          <w:szCs w:val="24"/>
        </w:rPr>
        <w:t>СО РАН</w:t>
      </w:r>
      <w:r>
        <w:rPr>
          <w:sz w:val="24"/>
          <w:szCs w:val="24"/>
          <w:lang w:val="x-none"/>
        </w:rPr>
        <w:t>, крупные представители фармацевтической промышленности, инновационные высокотехнологичные компании, работающие в сфере медицинской техники, биомедицинских технологий и информационных технологий.</w:t>
      </w:r>
    </w:p>
    <w:p w:rsidR="007E27CB" w:rsidRDefault="008F141F">
      <w:pPr>
        <w:widowControl w:val="0"/>
        <w:tabs>
          <w:tab w:val="left" w:pos="0"/>
        </w:tabs>
        <w:suppressAutoHyphens/>
        <w:spacing w:after="0" w:line="240" w:lineRule="auto"/>
        <w:ind w:firstLine="567"/>
        <w:contextualSpacing/>
        <w:jc w:val="both"/>
        <w:rPr>
          <w:sz w:val="24"/>
          <w:szCs w:val="24"/>
        </w:rPr>
      </w:pPr>
      <w:r>
        <w:rPr>
          <w:sz w:val="24"/>
          <w:szCs w:val="24"/>
          <w:lang w:val="x-none"/>
        </w:rPr>
        <w:t>В основе Кластера в настоящее время лежит работа проектных альянсов, созданных по нескольким направлениям с ориентацией на новые перспективные рынки на базе высокотехнологичных решений, которые будут определять развитие мировой и российской экономики через 15</w:t>
      </w:r>
      <w:r>
        <w:rPr>
          <w:rFonts w:eastAsia="Calibri"/>
          <w:sz w:val="24"/>
          <w:szCs w:val="24"/>
        </w:rPr>
        <w:t>–</w:t>
      </w:r>
      <w:r>
        <w:rPr>
          <w:sz w:val="24"/>
          <w:szCs w:val="24"/>
          <w:lang w:val="x-none"/>
        </w:rPr>
        <w:t>20 лет.</w:t>
      </w:r>
    </w:p>
    <w:p w:rsidR="007E27CB" w:rsidRDefault="008F141F">
      <w:pPr>
        <w:widowControl w:val="0"/>
        <w:tabs>
          <w:tab w:val="left" w:pos="0"/>
        </w:tabs>
        <w:suppressAutoHyphens/>
        <w:spacing w:after="0" w:line="240" w:lineRule="auto"/>
        <w:ind w:firstLine="567"/>
        <w:contextualSpacing/>
        <w:jc w:val="both"/>
        <w:rPr>
          <w:sz w:val="24"/>
          <w:szCs w:val="24"/>
          <w:lang w:eastAsia="ru-RU"/>
        </w:rPr>
      </w:pPr>
      <w:r>
        <w:rPr>
          <w:sz w:val="24"/>
          <w:szCs w:val="24"/>
          <w:lang w:val="x-none"/>
        </w:rPr>
        <w:t xml:space="preserve">Перечень проектных альянсов: «Медицина. Фармацевтика», «Техническое зрение», «Арктика», «Робототехника», «Digital Health», «Smart City Solutions». </w:t>
      </w:r>
      <w:r>
        <w:rPr>
          <w:sz w:val="24"/>
          <w:szCs w:val="24"/>
          <w:lang w:eastAsia="ru-RU"/>
        </w:rPr>
        <w:t>Планируется создание альянса «Цифровое производство».</w:t>
      </w:r>
    </w:p>
    <w:p w:rsidR="007E27CB" w:rsidRDefault="008F141F">
      <w:pPr>
        <w:widowControl w:val="0"/>
        <w:tabs>
          <w:tab w:val="left" w:pos="0"/>
        </w:tabs>
        <w:suppressAutoHyphens/>
        <w:spacing w:after="0" w:line="240" w:lineRule="auto"/>
        <w:ind w:firstLine="567"/>
        <w:contextualSpacing/>
        <w:jc w:val="both"/>
        <w:rPr>
          <w:bCs/>
          <w:i/>
          <w:sz w:val="24"/>
          <w:szCs w:val="24"/>
        </w:rPr>
      </w:pPr>
      <w:r>
        <w:rPr>
          <w:i/>
          <w:sz w:val="24"/>
          <w:szCs w:val="24"/>
        </w:rPr>
        <w:t xml:space="preserve">Особая экономическая зона технико-внедренческого типа в г. Томске </w:t>
      </w:r>
      <w:r>
        <w:rPr>
          <w:sz w:val="24"/>
          <w:szCs w:val="24"/>
        </w:rPr>
        <w:t>(далее по разделу – ОЭЗ ТВТ «Томск»)</w:t>
      </w:r>
    </w:p>
    <w:p w:rsidR="007E27CB" w:rsidRDefault="008F141F">
      <w:pPr>
        <w:pStyle w:val="a3"/>
        <w:ind w:firstLine="567"/>
      </w:pPr>
      <w:r>
        <w:lastRenderedPageBreak/>
        <w:t xml:space="preserve">На 01.01.2020 статус резидентов ОЭЗ ТВТ «Томск» имеют 44 компании. </w:t>
      </w:r>
    </w:p>
    <w:p w:rsidR="007E27CB" w:rsidRDefault="008F141F">
      <w:pPr>
        <w:pStyle w:val="a3"/>
        <w:ind w:firstLine="567"/>
      </w:pPr>
      <w:r>
        <w:t xml:space="preserve">В 2019 году 19 резидентов расторгли соглашения о ведении технико-внедренческой деятельности по собственной инициативе. Основной причиной расторжения соглашений стало прекращение действия федеральной льготы по взносам в социальные фонды: льготная ставка до конца 2019 года составляла 28% против 30% для нерезидентов, с 2020 года – 30%. </w:t>
      </w:r>
    </w:p>
    <w:p w:rsidR="007E27CB" w:rsidRDefault="008F141F">
      <w:pPr>
        <w:pStyle w:val="a3"/>
        <w:ind w:firstLine="567"/>
      </w:pPr>
      <w:r>
        <w:t>Компании, сохранившие статус резидентов, демонстрируют стабильный рост по всем показателям.</w:t>
      </w:r>
      <w:r>
        <w:rPr>
          <w:bCs/>
        </w:rPr>
        <w:t xml:space="preserve"> Объем налогов, уплаченных резидентами </w:t>
      </w:r>
      <w:r>
        <w:t>ОЭЗ ТВТ «Томск»</w:t>
      </w:r>
      <w:r>
        <w:rPr>
          <w:bCs/>
        </w:rPr>
        <w:t xml:space="preserve"> за 2019 год, превысил 500 млн. рублей. </w:t>
      </w:r>
    </w:p>
    <w:p w:rsidR="007E27CB" w:rsidRDefault="008F141F">
      <w:pPr>
        <w:widowControl w:val="0"/>
        <w:spacing w:after="0" w:line="240" w:lineRule="auto"/>
        <w:ind w:firstLine="567"/>
        <w:contextualSpacing/>
        <w:jc w:val="both"/>
        <w:rPr>
          <w:sz w:val="24"/>
          <w:szCs w:val="24"/>
        </w:rPr>
      </w:pPr>
      <w:r>
        <w:rPr>
          <w:sz w:val="24"/>
          <w:szCs w:val="24"/>
        </w:rPr>
        <w:t xml:space="preserve">В настоящий момент 3 компаниями уже построены на территории ОЭЗ ТВТ «Томск» административно-производственные здания: ООО «НИОСТ», ООО «НПО Реасиб», ООО «НПП Стелс». 4 компании-резидента ведут строительство собственных объектов на территории Южной площадки: ООО «СТИ ТДСК», ООО «ФОТОН», ООО «ЭКОДОР» и ООО «КРИСТАЛЛ Т». </w:t>
      </w:r>
    </w:p>
    <w:p w:rsidR="007E27CB" w:rsidRDefault="008F141F">
      <w:pPr>
        <w:pStyle w:val="af4"/>
        <w:tabs>
          <w:tab w:val="left" w:pos="0"/>
        </w:tabs>
        <w:ind w:firstLine="567"/>
        <w:rPr>
          <w:bCs/>
          <w:i/>
          <w:sz w:val="24"/>
          <w:szCs w:val="24"/>
        </w:rPr>
      </w:pPr>
      <w:r>
        <w:rPr>
          <w:bCs/>
          <w:i/>
          <w:sz w:val="24"/>
          <w:szCs w:val="24"/>
        </w:rPr>
        <w:t>Национальная технологическая инициатива</w:t>
      </w:r>
    </w:p>
    <w:p w:rsidR="007E27CB" w:rsidRDefault="008F141F">
      <w:pPr>
        <w:pStyle w:val="af4"/>
        <w:tabs>
          <w:tab w:val="left" w:pos="0"/>
        </w:tabs>
        <w:ind w:firstLine="567"/>
        <w:rPr>
          <w:bCs/>
          <w:sz w:val="24"/>
          <w:szCs w:val="24"/>
        </w:rPr>
      </w:pPr>
      <w:r>
        <w:rPr>
          <w:bCs/>
          <w:sz w:val="24"/>
          <w:szCs w:val="24"/>
        </w:rPr>
        <w:t>Продолжено исполнение «дорожной карты» по реализации Национальной технологической инициативы (далее по разделу – НТИ) в Томской области на 2017 – 2020 годы.</w:t>
      </w:r>
    </w:p>
    <w:p w:rsidR="007E27CB" w:rsidRDefault="008F141F">
      <w:pPr>
        <w:pStyle w:val="af4"/>
        <w:tabs>
          <w:tab w:val="left" w:pos="0"/>
        </w:tabs>
        <w:ind w:firstLine="567"/>
        <w:rPr>
          <w:bCs/>
          <w:sz w:val="24"/>
          <w:szCs w:val="24"/>
        </w:rPr>
      </w:pPr>
      <w:r>
        <w:rPr>
          <w:bCs/>
          <w:sz w:val="24"/>
          <w:szCs w:val="24"/>
        </w:rPr>
        <w:t>Подготовлены предложения для потенциальных заказчиков высокотехнологичных решений организаций Томской области, определены 6 потенциальных заказчиков, для которых были подготовлены индивидуальные предложения:</w:t>
      </w:r>
    </w:p>
    <w:p w:rsidR="007E27CB" w:rsidRDefault="008F141F">
      <w:pPr>
        <w:pStyle w:val="af4"/>
        <w:numPr>
          <w:ilvl w:val="0"/>
          <w:numId w:val="124"/>
        </w:numPr>
        <w:tabs>
          <w:tab w:val="left" w:pos="0"/>
          <w:tab w:val="left" w:pos="993"/>
        </w:tabs>
        <w:ind w:left="0" w:firstLine="567"/>
        <w:contextualSpacing/>
        <w:rPr>
          <w:bCs/>
          <w:sz w:val="24"/>
          <w:szCs w:val="24"/>
        </w:rPr>
      </w:pPr>
      <w:r>
        <w:rPr>
          <w:bCs/>
          <w:sz w:val="24"/>
          <w:szCs w:val="24"/>
        </w:rPr>
        <w:t>ОАО «Российские железные дороги»;</w:t>
      </w:r>
    </w:p>
    <w:p w:rsidR="007E27CB" w:rsidRDefault="008F141F">
      <w:pPr>
        <w:pStyle w:val="af4"/>
        <w:numPr>
          <w:ilvl w:val="0"/>
          <w:numId w:val="124"/>
        </w:numPr>
        <w:tabs>
          <w:tab w:val="left" w:pos="0"/>
          <w:tab w:val="left" w:pos="993"/>
        </w:tabs>
        <w:ind w:left="0" w:firstLine="567"/>
        <w:contextualSpacing/>
        <w:rPr>
          <w:bCs/>
          <w:sz w:val="24"/>
          <w:szCs w:val="24"/>
        </w:rPr>
      </w:pPr>
      <w:r>
        <w:rPr>
          <w:bCs/>
          <w:sz w:val="24"/>
          <w:szCs w:val="24"/>
        </w:rPr>
        <w:t>ПАО «СБЕРБАНК»;</w:t>
      </w:r>
    </w:p>
    <w:p w:rsidR="007E27CB" w:rsidRDefault="008F141F">
      <w:pPr>
        <w:pStyle w:val="af4"/>
        <w:numPr>
          <w:ilvl w:val="0"/>
          <w:numId w:val="124"/>
        </w:numPr>
        <w:tabs>
          <w:tab w:val="left" w:pos="0"/>
          <w:tab w:val="left" w:pos="993"/>
        </w:tabs>
        <w:ind w:left="0" w:firstLine="567"/>
        <w:contextualSpacing/>
        <w:rPr>
          <w:bCs/>
          <w:sz w:val="24"/>
          <w:szCs w:val="24"/>
        </w:rPr>
      </w:pPr>
      <w:r>
        <w:rPr>
          <w:bCs/>
          <w:sz w:val="24"/>
          <w:szCs w:val="24"/>
        </w:rPr>
        <w:t>ОАО «Российская венчурная компания»;</w:t>
      </w:r>
    </w:p>
    <w:p w:rsidR="007E27CB" w:rsidRDefault="008F141F">
      <w:pPr>
        <w:pStyle w:val="af4"/>
        <w:numPr>
          <w:ilvl w:val="0"/>
          <w:numId w:val="124"/>
        </w:numPr>
        <w:tabs>
          <w:tab w:val="left" w:pos="0"/>
          <w:tab w:val="left" w:pos="993"/>
        </w:tabs>
        <w:ind w:left="0" w:firstLine="567"/>
        <w:contextualSpacing/>
        <w:rPr>
          <w:bCs/>
          <w:sz w:val="24"/>
          <w:szCs w:val="24"/>
        </w:rPr>
      </w:pPr>
      <w:r>
        <w:rPr>
          <w:bCs/>
          <w:sz w:val="24"/>
          <w:szCs w:val="24"/>
        </w:rPr>
        <w:t>ПАО «РОССЕТИ»;</w:t>
      </w:r>
    </w:p>
    <w:p w:rsidR="007E27CB" w:rsidRDefault="008F141F">
      <w:pPr>
        <w:pStyle w:val="af4"/>
        <w:numPr>
          <w:ilvl w:val="0"/>
          <w:numId w:val="124"/>
        </w:numPr>
        <w:tabs>
          <w:tab w:val="left" w:pos="0"/>
          <w:tab w:val="left" w:pos="993"/>
        </w:tabs>
        <w:ind w:left="0" w:firstLine="567"/>
        <w:contextualSpacing/>
        <w:rPr>
          <w:bCs/>
          <w:sz w:val="24"/>
          <w:szCs w:val="24"/>
        </w:rPr>
      </w:pPr>
      <w:r>
        <w:rPr>
          <w:bCs/>
          <w:sz w:val="24"/>
          <w:szCs w:val="24"/>
        </w:rPr>
        <w:t>ООО «Клайбер Бионикс»;</w:t>
      </w:r>
    </w:p>
    <w:p w:rsidR="007E27CB" w:rsidRDefault="008F141F">
      <w:pPr>
        <w:pStyle w:val="af4"/>
        <w:numPr>
          <w:ilvl w:val="0"/>
          <w:numId w:val="124"/>
        </w:numPr>
        <w:tabs>
          <w:tab w:val="left" w:pos="0"/>
          <w:tab w:val="left" w:pos="993"/>
        </w:tabs>
        <w:ind w:left="0" w:firstLine="567"/>
        <w:contextualSpacing/>
        <w:rPr>
          <w:bCs/>
          <w:sz w:val="24"/>
          <w:szCs w:val="24"/>
        </w:rPr>
      </w:pPr>
      <w:r>
        <w:rPr>
          <w:bCs/>
          <w:sz w:val="24"/>
          <w:szCs w:val="24"/>
        </w:rPr>
        <w:t xml:space="preserve">ООО «МОЙЕ Керамик-Имплантате». </w:t>
      </w:r>
    </w:p>
    <w:p w:rsidR="007E27CB" w:rsidRDefault="008F141F">
      <w:pPr>
        <w:widowControl w:val="0"/>
        <w:tabs>
          <w:tab w:val="left" w:pos="0"/>
        </w:tabs>
        <w:suppressAutoHyphens/>
        <w:spacing w:after="0" w:line="240" w:lineRule="auto"/>
        <w:ind w:firstLine="567"/>
        <w:contextualSpacing/>
        <w:jc w:val="both"/>
        <w:rPr>
          <w:rFonts w:eastAsia="SimSun"/>
          <w:kern w:val="2"/>
          <w:sz w:val="24"/>
          <w:szCs w:val="24"/>
          <w:lang w:eastAsia="hi-IN" w:bidi="hi-IN"/>
        </w:rPr>
      </w:pPr>
      <w:r>
        <w:rPr>
          <w:rFonts w:eastAsia="SimSun"/>
          <w:kern w:val="2"/>
          <w:sz w:val="24"/>
          <w:szCs w:val="24"/>
          <w:lang w:eastAsia="hi-IN" w:bidi="hi-IN"/>
        </w:rPr>
        <w:t xml:space="preserve">В конце декабря 2019 года проект «Платформа ИИ Ocuscreen» компании «Энбисис» был поддержан на Проектном комитете НТИ и готовится к рассмотрению Межведомственной рабочей группой. </w:t>
      </w:r>
    </w:p>
    <w:p w:rsidR="007E27CB" w:rsidRDefault="008F141F">
      <w:pPr>
        <w:widowControl w:val="0"/>
        <w:tabs>
          <w:tab w:val="left" w:pos="0"/>
        </w:tabs>
        <w:suppressAutoHyphens/>
        <w:spacing w:after="0" w:line="240" w:lineRule="auto"/>
        <w:ind w:firstLine="567"/>
        <w:contextualSpacing/>
        <w:jc w:val="both"/>
        <w:rPr>
          <w:rFonts w:eastAsia="SimSun"/>
          <w:kern w:val="2"/>
          <w:sz w:val="24"/>
          <w:szCs w:val="24"/>
          <w:lang w:eastAsia="hi-IN" w:bidi="hi-IN"/>
        </w:rPr>
      </w:pPr>
      <w:r>
        <w:rPr>
          <w:rFonts w:eastAsia="SimSun"/>
          <w:kern w:val="2"/>
          <w:sz w:val="24"/>
          <w:szCs w:val="24"/>
          <w:lang w:eastAsia="hi-IN" w:bidi="hi-IN"/>
        </w:rPr>
        <w:t xml:space="preserve">По итогам 2019 года Фондом содействия инновациям были поддержаны проекты томских компаний на общую сумму 250 млн. рублей (не включая поддержку проекта «УМНИК» Фонда содействия инновациям). </w:t>
      </w:r>
    </w:p>
    <w:p w:rsidR="007E27CB" w:rsidRDefault="008F141F">
      <w:pPr>
        <w:tabs>
          <w:tab w:val="left" w:pos="0"/>
          <w:tab w:val="left" w:pos="284"/>
        </w:tabs>
        <w:spacing w:after="0" w:line="240" w:lineRule="auto"/>
        <w:ind w:firstLine="567"/>
        <w:contextualSpacing/>
        <w:jc w:val="both"/>
        <w:rPr>
          <w:rFonts w:eastAsia="SimSun"/>
          <w:kern w:val="2"/>
          <w:sz w:val="24"/>
          <w:szCs w:val="24"/>
          <w:lang w:eastAsia="hi-IN" w:bidi="hi-IN"/>
        </w:rPr>
      </w:pPr>
      <w:r>
        <w:rPr>
          <w:rFonts w:eastAsia="SimSun"/>
          <w:kern w:val="2"/>
          <w:sz w:val="24"/>
          <w:szCs w:val="24"/>
          <w:lang w:eastAsia="hi-IN" w:bidi="hi-IN"/>
        </w:rPr>
        <w:t>В 2019 году Томская область стала одной из опорных для организации конкурса Фонда содействия инновациям «УМНИК-Цифровая Россия» для Сибири и Дальнего востока (наряду с четырьмя другими регионами: Москва, Санкт-Петербург, Казань и Ростов-на-Дону).</w:t>
      </w:r>
    </w:p>
    <w:p w:rsidR="007E27CB" w:rsidRDefault="008F141F">
      <w:pPr>
        <w:widowControl w:val="0"/>
        <w:tabs>
          <w:tab w:val="left" w:pos="0"/>
        </w:tabs>
        <w:suppressAutoHyphens/>
        <w:spacing w:after="0" w:line="240" w:lineRule="auto"/>
        <w:ind w:firstLine="567"/>
        <w:contextualSpacing/>
        <w:jc w:val="both"/>
        <w:rPr>
          <w:rFonts w:eastAsia="SimSun"/>
          <w:kern w:val="2"/>
          <w:sz w:val="24"/>
          <w:szCs w:val="24"/>
          <w:lang w:eastAsia="hi-IN" w:bidi="hi-IN"/>
        </w:rPr>
      </w:pPr>
      <w:r>
        <w:rPr>
          <w:rFonts w:eastAsia="SimSun"/>
          <w:kern w:val="2"/>
          <w:sz w:val="24"/>
          <w:szCs w:val="24"/>
          <w:lang w:eastAsia="hi-IN" w:bidi="hi-IN"/>
        </w:rPr>
        <w:t>В рамках программы «УМНИК» Фонда содействия инновациям в 2019 году финансирование получили более 60 томских проектов (500 тыс. рублей каждый) с общим объемом финансирования в течение двух лет – 30,5 млн. рублей.</w:t>
      </w:r>
    </w:p>
    <w:p w:rsidR="007E27CB" w:rsidRDefault="008F141F">
      <w:pPr>
        <w:pStyle w:val="af4"/>
        <w:tabs>
          <w:tab w:val="left" w:pos="0"/>
        </w:tabs>
        <w:ind w:firstLine="567"/>
        <w:rPr>
          <w:bCs/>
          <w:sz w:val="24"/>
          <w:szCs w:val="24"/>
        </w:rPr>
      </w:pPr>
      <w:r>
        <w:rPr>
          <w:bCs/>
          <w:sz w:val="24"/>
          <w:szCs w:val="24"/>
        </w:rPr>
        <w:t>В 2019 году победителем отбора компаний-лидеров по разработке продукции на базе сквозных технологий стала НПФ «Микран» с проектом по разработке отечественных модулей 5G. Размер гранта на реализацию проектов компаний-лидеров – до 250 млн. рублей на 3 года.</w:t>
      </w:r>
    </w:p>
    <w:p w:rsidR="007E27CB" w:rsidRDefault="008F141F">
      <w:pPr>
        <w:tabs>
          <w:tab w:val="left" w:pos="0"/>
          <w:tab w:val="left" w:pos="284"/>
        </w:tabs>
        <w:spacing w:after="0" w:line="240" w:lineRule="auto"/>
        <w:ind w:firstLine="567"/>
        <w:contextualSpacing/>
        <w:jc w:val="both"/>
        <w:rPr>
          <w:i/>
          <w:sz w:val="24"/>
          <w:szCs w:val="24"/>
        </w:rPr>
      </w:pPr>
      <w:r>
        <w:rPr>
          <w:i/>
          <w:sz w:val="24"/>
          <w:szCs w:val="24"/>
        </w:rPr>
        <w:t>По итогам 2019 года крупнейшими коммуникационными мероприятиями инновационного сектора стали:</w:t>
      </w:r>
    </w:p>
    <w:p w:rsidR="007E27CB" w:rsidRDefault="008F141F">
      <w:pPr>
        <w:pStyle w:val="a6"/>
        <w:numPr>
          <w:ilvl w:val="0"/>
          <w:numId w:val="125"/>
        </w:numPr>
        <w:tabs>
          <w:tab w:val="left" w:pos="0"/>
          <w:tab w:val="left" w:pos="284"/>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Форум молодых ученых U-NOVUS 2019. Программа форума объединила серию из 14 воркшопов и дизайн-сессий, ориентированных на решение прикладных задач, определяющих научно-технологическое развитие крупных компаний в новых направлениях. В деловой программе форума приняли участие более 670 участников из 13 регионов России. </w:t>
      </w:r>
    </w:p>
    <w:p w:rsidR="007E27CB" w:rsidRDefault="008F141F">
      <w:pPr>
        <w:tabs>
          <w:tab w:val="left" w:pos="0"/>
          <w:tab w:val="left" w:pos="284"/>
        </w:tabs>
        <w:spacing w:after="0" w:line="240" w:lineRule="auto"/>
        <w:ind w:firstLine="567"/>
        <w:contextualSpacing/>
        <w:jc w:val="both"/>
        <w:rPr>
          <w:sz w:val="24"/>
          <w:szCs w:val="24"/>
        </w:rPr>
      </w:pPr>
      <w:r>
        <w:rPr>
          <w:sz w:val="24"/>
          <w:szCs w:val="24"/>
        </w:rPr>
        <w:lastRenderedPageBreak/>
        <w:t xml:space="preserve">Также в рамках форума на базе 37 лабораторий томских вузов и организаций (ТПУ, ТГУ, СибГМУ, ТУСУР, ТОИПКРО, Кванториум) прошла Tomsk science </w:t>
      </w:r>
      <w:r>
        <w:rPr>
          <w:sz w:val="24"/>
          <w:szCs w:val="24"/>
          <w:lang w:val="en-US"/>
        </w:rPr>
        <w:t>game</w:t>
      </w:r>
      <w:r>
        <w:rPr>
          <w:sz w:val="24"/>
          <w:szCs w:val="24"/>
        </w:rPr>
        <w:t xml:space="preserve"> </w:t>
      </w:r>
      <w:r>
        <w:rPr>
          <w:rFonts w:eastAsia="Calibri"/>
          <w:sz w:val="24"/>
          <w:szCs w:val="24"/>
        </w:rPr>
        <w:t xml:space="preserve">– </w:t>
      </w:r>
      <w:r>
        <w:rPr>
          <w:sz w:val="24"/>
          <w:szCs w:val="24"/>
        </w:rPr>
        <w:t>научная командная игра для молодежи. Направления игры: Аэронет, Хэлснет, Энерджинет, Технет, Сейфнет. В заочном туре приняли участие 10 110 зарегистрировавшихся участников из 892 населенных пунктов, - это 2 553 школы и 542 университета. В очном туре приняли участие 30 команд: 15 школьных, 15 студенческих из 17 вузов России,         13 общеобразовательных учреждений, в том числе гимназий, лицеев;</w:t>
      </w:r>
    </w:p>
    <w:p w:rsidR="007E27CB" w:rsidRDefault="008F141F">
      <w:pPr>
        <w:pStyle w:val="a6"/>
        <w:numPr>
          <w:ilvl w:val="0"/>
          <w:numId w:val="125"/>
        </w:numPr>
        <w:tabs>
          <w:tab w:val="left" w:pos="0"/>
          <w:tab w:val="left" w:pos="993"/>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российский этап чемпионата RoboCup Russia Open 2019. </w:t>
      </w:r>
      <w:r>
        <w:rPr>
          <w:rFonts w:ascii="Times New Roman" w:hAnsi="Times New Roman"/>
          <w:iCs/>
          <w:sz w:val="24"/>
          <w:szCs w:val="24"/>
        </w:rPr>
        <w:t xml:space="preserve">Организаторами чемпионата RoboCup Russia Open выступили ТУСУР, Администрация Томской области, инновационный кластер </w:t>
      </w:r>
      <w:r>
        <w:rPr>
          <w:rFonts w:ascii="Times New Roman" w:hAnsi="Times New Roman"/>
          <w:sz w:val="24"/>
          <w:szCs w:val="24"/>
          <w:lang w:val="x-none"/>
        </w:rPr>
        <w:t>Smart Technologies Tomsk</w:t>
      </w:r>
      <w:r>
        <w:rPr>
          <w:rFonts w:ascii="Times New Roman" w:hAnsi="Times New Roman"/>
          <w:iCs/>
          <w:sz w:val="24"/>
          <w:szCs w:val="24"/>
        </w:rPr>
        <w:t xml:space="preserve"> при поддержке Российского национального комитета RoboCup. </w:t>
      </w:r>
      <w:r>
        <w:rPr>
          <w:rFonts w:ascii="Times New Roman" w:hAnsi="Times New Roman"/>
          <w:bCs/>
          <w:sz w:val="24"/>
          <w:szCs w:val="24"/>
          <w:lang w:eastAsia="ru-RU"/>
        </w:rPr>
        <w:t xml:space="preserve">В программе чемпионата приняли участие 125 команд из России и Казахстана, 55 команд представляли Томскую область. </w:t>
      </w:r>
      <w:r>
        <w:rPr>
          <w:rFonts w:ascii="Times New Roman" w:hAnsi="Times New Roman"/>
          <w:sz w:val="24"/>
          <w:szCs w:val="24"/>
        </w:rPr>
        <w:t>По итогам трех дней соревнований томичи завоевали девять наград в разных лигах, мероприятие посетили более трех тысяч зрителей;</w:t>
      </w:r>
    </w:p>
    <w:p w:rsidR="007E27CB" w:rsidRDefault="008F141F">
      <w:pPr>
        <w:pStyle w:val="af4"/>
        <w:numPr>
          <w:ilvl w:val="0"/>
          <w:numId w:val="125"/>
        </w:numPr>
        <w:tabs>
          <w:tab w:val="left" w:pos="0"/>
          <w:tab w:val="left" w:pos="993"/>
        </w:tabs>
        <w:ind w:left="0" w:firstLine="567"/>
        <w:contextualSpacing/>
        <w:rPr>
          <w:sz w:val="24"/>
          <w:szCs w:val="24"/>
          <w:lang w:val="x-none"/>
        </w:rPr>
      </w:pPr>
      <w:r>
        <w:rPr>
          <w:sz w:val="24"/>
          <w:szCs w:val="24"/>
          <w:lang w:val="x-none"/>
        </w:rPr>
        <w:t>«Конференция для профессиональных разработчиков, дизайнеров, менеджеров, маркетологов и предпринимателей «DevPRO’19»</w:t>
      </w:r>
      <w:r>
        <w:rPr>
          <w:sz w:val="24"/>
          <w:szCs w:val="24"/>
        </w:rPr>
        <w:t>.</w:t>
      </w:r>
      <w:r>
        <w:rPr>
          <w:sz w:val="24"/>
          <w:szCs w:val="24"/>
          <w:lang w:val="x-none"/>
        </w:rPr>
        <w:t xml:space="preserve"> Цель мероприятия: развитие профессиональных компетенций томского IT-сообщества, увеличение предпринимательской активности в регионе. </w:t>
      </w:r>
      <w:r>
        <w:rPr>
          <w:sz w:val="24"/>
          <w:szCs w:val="24"/>
        </w:rPr>
        <w:t>Основные</w:t>
      </w:r>
      <w:r>
        <w:rPr>
          <w:sz w:val="24"/>
          <w:szCs w:val="24"/>
          <w:lang w:val="x-none"/>
        </w:rPr>
        <w:t xml:space="preserve"> направления: передовы</w:t>
      </w:r>
      <w:r>
        <w:rPr>
          <w:sz w:val="24"/>
          <w:szCs w:val="24"/>
        </w:rPr>
        <w:t xml:space="preserve">е </w:t>
      </w:r>
      <w:r>
        <w:rPr>
          <w:sz w:val="24"/>
          <w:szCs w:val="24"/>
          <w:lang w:val="x-none"/>
        </w:rPr>
        <w:t>технологии создания искусственного интеллекта, создание продуктов для виртуальной и дополненной реальности, проектирование интерфейсов будущего, технологии развития стартапов и выхода российских продуктов на международные рынки. Конференция собрала 800 участников и 60 спикеров из 8 стран мира (Россия, США, Испания, Финляндия, Чехия, Казахстан, Болгария, Польша) и 23 городов</w:t>
      </w:r>
      <w:r>
        <w:rPr>
          <w:sz w:val="24"/>
          <w:szCs w:val="24"/>
        </w:rPr>
        <w:t>;</w:t>
      </w:r>
    </w:p>
    <w:p w:rsidR="007E27CB" w:rsidRDefault="008F141F">
      <w:pPr>
        <w:pStyle w:val="af4"/>
        <w:numPr>
          <w:ilvl w:val="0"/>
          <w:numId w:val="125"/>
        </w:numPr>
        <w:tabs>
          <w:tab w:val="left" w:pos="0"/>
          <w:tab w:val="left" w:pos="993"/>
        </w:tabs>
        <w:ind w:left="0" w:firstLine="567"/>
        <w:contextualSpacing/>
        <w:rPr>
          <w:sz w:val="24"/>
          <w:szCs w:val="24"/>
          <w:lang w:val="x-none"/>
        </w:rPr>
      </w:pPr>
      <w:r>
        <w:rPr>
          <w:sz w:val="24"/>
          <w:szCs w:val="24"/>
        </w:rPr>
        <w:t>в рамках проекта «Тайга» состоялся конкурс</w:t>
      </w:r>
      <w:r>
        <w:rPr>
          <w:sz w:val="24"/>
          <w:szCs w:val="24"/>
          <w:lang w:val="x-none"/>
        </w:rPr>
        <w:t xml:space="preserve"> профессионалов рынка по решению народно-хозяйственных задач с применением беспилотных авиационных систем «Авиароботех-2019» – идея конкурса заключалась в тестировании готовности авиационных беспилотных систем выполнять реальные производственные задачи и на площадке конкурса познакомить производителей c потребителями. В мероприятии приняли участие разработчики БПЛА </w:t>
      </w:r>
      <w:r>
        <w:rPr>
          <w:sz w:val="24"/>
          <w:szCs w:val="24"/>
        </w:rPr>
        <w:t xml:space="preserve">со </w:t>
      </w:r>
      <w:r>
        <w:rPr>
          <w:sz w:val="24"/>
          <w:szCs w:val="24"/>
          <w:lang w:val="x-none"/>
        </w:rPr>
        <w:t>всей России</w:t>
      </w:r>
      <w:r>
        <w:rPr>
          <w:sz w:val="24"/>
          <w:szCs w:val="24"/>
        </w:rPr>
        <w:t>;</w:t>
      </w:r>
    </w:p>
    <w:p w:rsidR="007E27CB" w:rsidRDefault="008F141F">
      <w:pPr>
        <w:pStyle w:val="af4"/>
        <w:numPr>
          <w:ilvl w:val="0"/>
          <w:numId w:val="125"/>
        </w:numPr>
        <w:tabs>
          <w:tab w:val="left" w:pos="0"/>
          <w:tab w:val="left" w:pos="993"/>
        </w:tabs>
        <w:ind w:left="0" w:firstLine="567"/>
        <w:contextualSpacing/>
        <w:rPr>
          <w:sz w:val="24"/>
          <w:szCs w:val="24"/>
          <w:lang w:val="x-none"/>
        </w:rPr>
      </w:pPr>
      <w:r>
        <w:rPr>
          <w:sz w:val="24"/>
          <w:szCs w:val="24"/>
        </w:rPr>
        <w:t>10-я ежегодная конференция с международным участием Город IT-2019 «Ген цифры». Город IT – крупнейшая за Уралом региональная конференция, посвящённая       IT- бизнесу и ориентированная на предпринимателей, управленцев и специалистов, работающих в сфере информационных технологий. В 2019 году в конференции приняли участие 2 300 человек, что превышает число участников 2017 года в два раза. В течение двух дней на «Городе IT» было проведено 34 тематических мероприятия, в том числе ток-шоу, выступления экспертов, круглые столы и квартирники, участие в которых приняли 108 приглашенных спикеров.</w:t>
      </w:r>
    </w:p>
    <w:p w:rsidR="007E27CB" w:rsidRDefault="008F141F">
      <w:pPr>
        <w:pStyle w:val="af4"/>
        <w:ind w:firstLine="567"/>
        <w:rPr>
          <w:iCs/>
          <w:sz w:val="24"/>
          <w:szCs w:val="24"/>
        </w:rPr>
      </w:pPr>
      <w:r>
        <w:rPr>
          <w:iCs/>
          <w:sz w:val="24"/>
          <w:szCs w:val="24"/>
        </w:rPr>
        <w:t xml:space="preserve">Пространство коллективной работы «Точка кипения – Томск» (далее по разделу «Точка кипения </w:t>
      </w:r>
      <w:r>
        <w:rPr>
          <w:sz w:val="24"/>
          <w:szCs w:val="24"/>
          <w:lang w:val="x-none"/>
        </w:rPr>
        <w:t>–</w:t>
      </w:r>
      <w:r>
        <w:rPr>
          <w:iCs/>
          <w:sz w:val="24"/>
          <w:szCs w:val="24"/>
        </w:rPr>
        <w:t xml:space="preserve"> Томск») по итогам работы в 2019 году занимает одно из первых мест в Российской Федерации по интенсивности коммуникации, числу мероприятий и участников:</w:t>
      </w:r>
    </w:p>
    <w:p w:rsidR="007E27CB" w:rsidRDefault="008F141F">
      <w:pPr>
        <w:pStyle w:val="af4"/>
        <w:numPr>
          <w:ilvl w:val="0"/>
          <w:numId w:val="126"/>
        </w:numPr>
        <w:tabs>
          <w:tab w:val="left" w:pos="851"/>
        </w:tabs>
        <w:ind w:left="0" w:firstLine="567"/>
        <w:contextualSpacing/>
        <w:rPr>
          <w:iCs/>
          <w:sz w:val="24"/>
          <w:szCs w:val="24"/>
        </w:rPr>
      </w:pPr>
      <w:r>
        <w:rPr>
          <w:iCs/>
          <w:sz w:val="24"/>
          <w:szCs w:val="24"/>
        </w:rPr>
        <w:t>более 700 мероприятий проведено разными организаторами с момента открытия пространства;</w:t>
      </w:r>
    </w:p>
    <w:p w:rsidR="007E27CB" w:rsidRDefault="008F141F">
      <w:pPr>
        <w:pStyle w:val="af4"/>
        <w:numPr>
          <w:ilvl w:val="0"/>
          <w:numId w:val="126"/>
        </w:numPr>
        <w:tabs>
          <w:tab w:val="left" w:pos="851"/>
        </w:tabs>
        <w:ind w:left="0" w:firstLine="567"/>
        <w:contextualSpacing/>
        <w:rPr>
          <w:iCs/>
          <w:sz w:val="24"/>
          <w:szCs w:val="24"/>
        </w:rPr>
      </w:pPr>
      <w:r>
        <w:rPr>
          <w:iCs/>
          <w:sz w:val="24"/>
          <w:szCs w:val="24"/>
        </w:rPr>
        <w:t>свыше 35 тыс. участников мероприятий.</w:t>
      </w:r>
    </w:p>
    <w:p w:rsidR="007E27CB" w:rsidRDefault="008F141F">
      <w:pPr>
        <w:pStyle w:val="af4"/>
        <w:ind w:firstLine="567"/>
        <w:rPr>
          <w:iCs/>
          <w:sz w:val="24"/>
          <w:szCs w:val="24"/>
        </w:rPr>
      </w:pPr>
      <w:r>
        <w:rPr>
          <w:iCs/>
          <w:sz w:val="24"/>
          <w:szCs w:val="24"/>
        </w:rPr>
        <w:t xml:space="preserve">Количество пользователей городской Точки кипения с момента открытия (в конце ноября 2017 года) выросло в 40 раз. В целом в «Точке кипения – Томск» работают представители более трех тысяч организаций региона, 43% мероприятий проходят в активных форматах (воркшопы, сессии, мастер-классы и др.). Ведется коммуникация по 9 из 12 сквозных технологий и по 5 из 12 рынков НТИ. </w:t>
      </w:r>
    </w:p>
    <w:p w:rsidR="007E27CB" w:rsidRDefault="008F141F">
      <w:pPr>
        <w:pStyle w:val="af4"/>
        <w:ind w:firstLine="567"/>
        <w:rPr>
          <w:iCs/>
          <w:sz w:val="24"/>
          <w:szCs w:val="24"/>
        </w:rPr>
      </w:pPr>
      <w:r>
        <w:rPr>
          <w:iCs/>
          <w:sz w:val="24"/>
          <w:szCs w:val="24"/>
        </w:rPr>
        <w:t>Томская область в 2019 году удостоена победы в номинации «Прорыв года» за самый быстрый рост экосистемы, проведение исследований взаимодействия сообщества и мероприятий для поддержания и развития форматов.</w:t>
      </w:r>
    </w:p>
    <w:p w:rsidR="007E27CB" w:rsidRDefault="008F141F">
      <w:pPr>
        <w:pStyle w:val="af4"/>
        <w:ind w:firstLine="567"/>
        <w:rPr>
          <w:sz w:val="24"/>
          <w:szCs w:val="24"/>
        </w:rPr>
      </w:pPr>
      <w:r>
        <w:rPr>
          <w:sz w:val="24"/>
          <w:szCs w:val="24"/>
        </w:rPr>
        <w:lastRenderedPageBreak/>
        <w:t xml:space="preserve">Продолжена реализация проекта Tomsk HUB, направленного на вовлечение молодежи в региональную инновационную деятельность. Tomsk HUB – единый центр доступа молодых предприимчивых людей к образовательным программам, реализуемым менторами из бизнес-сообщества, региональной акселерационной программе и программам федеральных институтов развития. За 5 лет проведено 19 мероприятий различных форматов при поддержке 58 спикеров (представителей бизнеса), в которых приняли участие более 1 600 школьников, студентов, молодых ученых и начинающих предпринимателей. </w:t>
      </w:r>
    </w:p>
    <w:p w:rsidR="007E27CB" w:rsidRDefault="008F141F">
      <w:pPr>
        <w:tabs>
          <w:tab w:val="left" w:pos="426"/>
          <w:tab w:val="left" w:pos="709"/>
          <w:tab w:val="left" w:pos="851"/>
        </w:tabs>
        <w:spacing w:after="0" w:line="240" w:lineRule="auto"/>
        <w:ind w:firstLine="567"/>
        <w:contextualSpacing/>
        <w:jc w:val="both"/>
        <w:rPr>
          <w:b/>
          <w:i/>
          <w:sz w:val="24"/>
          <w:szCs w:val="24"/>
        </w:rPr>
      </w:pPr>
      <w:r>
        <w:rPr>
          <w:b/>
          <w:i/>
          <w:sz w:val="24"/>
          <w:szCs w:val="24"/>
        </w:rPr>
        <w:t xml:space="preserve"> Проекты цифровизации</w:t>
      </w:r>
    </w:p>
    <w:p w:rsidR="007E27CB" w:rsidRDefault="008F141F">
      <w:pPr>
        <w:tabs>
          <w:tab w:val="left" w:pos="426"/>
          <w:tab w:val="left" w:pos="709"/>
          <w:tab w:val="left" w:pos="851"/>
        </w:tabs>
        <w:spacing w:after="0" w:line="240" w:lineRule="auto"/>
        <w:ind w:firstLine="567"/>
        <w:contextualSpacing/>
        <w:jc w:val="both"/>
        <w:rPr>
          <w:i/>
          <w:sz w:val="24"/>
          <w:szCs w:val="24"/>
        </w:rPr>
      </w:pPr>
      <w:r>
        <w:rPr>
          <w:i/>
          <w:sz w:val="24"/>
          <w:szCs w:val="24"/>
        </w:rPr>
        <w:t>Цифровые технологии</w:t>
      </w:r>
    </w:p>
    <w:p w:rsidR="007E27CB" w:rsidRDefault="008F141F">
      <w:pPr>
        <w:tabs>
          <w:tab w:val="left" w:pos="426"/>
          <w:tab w:val="left" w:pos="709"/>
          <w:tab w:val="left" w:pos="851"/>
        </w:tabs>
        <w:spacing w:after="0" w:line="240" w:lineRule="auto"/>
        <w:ind w:firstLine="567"/>
        <w:contextualSpacing/>
        <w:jc w:val="both"/>
        <w:rPr>
          <w:sz w:val="24"/>
          <w:szCs w:val="24"/>
        </w:rPr>
      </w:pPr>
      <w:r>
        <w:rPr>
          <w:sz w:val="24"/>
          <w:szCs w:val="24"/>
        </w:rPr>
        <w:t>В рамках регионального проекта «Цифровые технологии» национального проекта «Цифровая экономика» реализуются два проекта:</w:t>
      </w:r>
    </w:p>
    <w:p w:rsidR="007E27CB" w:rsidRDefault="008F141F">
      <w:pPr>
        <w:pStyle w:val="a6"/>
        <w:numPr>
          <w:ilvl w:val="0"/>
          <w:numId w:val="207"/>
        </w:numPr>
        <w:tabs>
          <w:tab w:val="left" w:pos="426"/>
          <w:tab w:val="left" w:pos="709"/>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«Умная клиника. Приемное отделение» </w:t>
      </w:r>
    </w:p>
    <w:p w:rsidR="007E27CB" w:rsidRDefault="008F141F">
      <w:pPr>
        <w:spacing w:after="0" w:line="240" w:lineRule="auto"/>
        <w:ind w:firstLine="567"/>
        <w:contextualSpacing/>
        <w:jc w:val="both"/>
        <w:rPr>
          <w:rFonts w:eastAsia="Times New Roman"/>
          <w:sz w:val="24"/>
          <w:szCs w:val="24"/>
          <w:lang w:eastAsia="ru-RU"/>
        </w:rPr>
      </w:pPr>
      <w:r>
        <w:rPr>
          <w:rFonts w:eastAsia="Times New Roman"/>
          <w:sz w:val="24"/>
          <w:szCs w:val="24"/>
          <w:lang w:eastAsia="ru-RU"/>
        </w:rPr>
        <w:t>Проект «Цифровой госпиталь» предполагает разработку и тестирование технологий «Умной клиники» для перевода в цифровой формат ключевых бизнес-процессов: управление персоналом, лечебно-диагностическая, административно-хозяйственная и экономическая деятельность.</w:t>
      </w:r>
    </w:p>
    <w:p w:rsidR="007E27CB" w:rsidRDefault="008F141F">
      <w:pPr>
        <w:spacing w:after="0" w:line="240" w:lineRule="auto"/>
        <w:ind w:firstLine="567"/>
        <w:contextualSpacing/>
        <w:jc w:val="both"/>
        <w:rPr>
          <w:rFonts w:eastAsia="Times New Roman"/>
          <w:sz w:val="24"/>
          <w:szCs w:val="24"/>
          <w:lang w:eastAsia="ru-RU"/>
        </w:rPr>
      </w:pPr>
      <w:r>
        <w:rPr>
          <w:rFonts w:eastAsia="Times New Roman"/>
          <w:sz w:val="24"/>
          <w:szCs w:val="24"/>
          <w:lang w:eastAsia="ru-RU"/>
        </w:rPr>
        <w:t xml:space="preserve">В 2019 году разрабатывался модуль «Приемное отделение», который позволит автоматизировать процессы приема, «сортировки», информирования, навигации и маршрутизации пациентов в рамках приемного покоя клиники. </w:t>
      </w:r>
      <w:r>
        <w:rPr>
          <w:sz w:val="24"/>
          <w:szCs w:val="24"/>
        </w:rPr>
        <w:t>Внедрение системы  ведется на базе клиники СибГМУ. В следующем году запланированы включение модуля «Приемное отделение» в бизнес-процессы клиники СибГМУ и прием первых пациентов.</w:t>
      </w:r>
    </w:p>
    <w:p w:rsidR="007E27CB" w:rsidRDefault="008F141F">
      <w:pPr>
        <w:pStyle w:val="a6"/>
        <w:numPr>
          <w:ilvl w:val="0"/>
          <w:numId w:val="207"/>
        </w:numPr>
        <w:tabs>
          <w:tab w:val="left" w:pos="426"/>
          <w:tab w:val="left" w:pos="709"/>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 Цифровая платформа Томской области.</w:t>
      </w:r>
    </w:p>
    <w:p w:rsidR="007E27CB" w:rsidRDefault="008F141F">
      <w:pPr>
        <w:tabs>
          <w:tab w:val="left" w:pos="426"/>
          <w:tab w:val="left" w:pos="709"/>
          <w:tab w:val="left" w:pos="851"/>
        </w:tabs>
        <w:spacing w:after="0" w:line="240" w:lineRule="auto"/>
        <w:ind w:firstLine="567"/>
        <w:contextualSpacing/>
        <w:jc w:val="both"/>
        <w:rPr>
          <w:rFonts w:eastAsia="Times New Roman"/>
          <w:sz w:val="24"/>
          <w:szCs w:val="24"/>
        </w:rPr>
      </w:pPr>
      <w:r>
        <w:rPr>
          <w:rFonts w:eastAsia="Times New Roman"/>
          <w:sz w:val="24"/>
          <w:szCs w:val="24"/>
        </w:rPr>
        <w:t>Цифровая платформа является интерактивным инструментом решения и контроля вопросов городского хозяйства, регионального управления, развития и упрощения коммуникации между жителями, бизнесом и властью. Она направлена на упрощение процессов и обеспечение прозрачности коммуникаций и принятия решений.</w:t>
      </w:r>
    </w:p>
    <w:p w:rsidR="007E27CB" w:rsidRDefault="008F141F">
      <w:pPr>
        <w:tabs>
          <w:tab w:val="left" w:pos="426"/>
          <w:tab w:val="left" w:pos="709"/>
          <w:tab w:val="left" w:pos="851"/>
        </w:tabs>
        <w:spacing w:after="0" w:line="240" w:lineRule="auto"/>
        <w:ind w:firstLine="567"/>
        <w:contextualSpacing/>
        <w:jc w:val="both"/>
        <w:rPr>
          <w:rFonts w:eastAsia="Times New Roman"/>
          <w:sz w:val="24"/>
          <w:szCs w:val="24"/>
        </w:rPr>
      </w:pPr>
      <w:r>
        <w:rPr>
          <w:rFonts w:eastAsia="Times New Roman"/>
          <w:sz w:val="24"/>
          <w:szCs w:val="24"/>
        </w:rPr>
        <w:t>В 2019 году разрабатывались 5 приоритетных сервисов платформы:</w:t>
      </w:r>
    </w:p>
    <w:p w:rsidR="007E27CB" w:rsidRDefault="008F141F">
      <w:pPr>
        <w:pStyle w:val="a6"/>
        <w:numPr>
          <w:ilvl w:val="0"/>
          <w:numId w:val="208"/>
        </w:numPr>
        <w:tabs>
          <w:tab w:val="left" w:pos="426"/>
          <w:tab w:val="left" w:pos="851"/>
        </w:tabs>
        <w:spacing w:after="0" w:line="240" w:lineRule="auto"/>
        <w:ind w:left="0" w:firstLine="567"/>
        <w:jc w:val="both"/>
        <w:rPr>
          <w:rFonts w:ascii="Times New Roman" w:eastAsia="Times New Roman" w:hAnsi="Times New Roman"/>
          <w:sz w:val="24"/>
          <w:szCs w:val="24"/>
        </w:rPr>
      </w:pPr>
      <w:r>
        <w:rPr>
          <w:rFonts w:ascii="Times New Roman" w:eastAsia="Times New Roman" w:hAnsi="Times New Roman"/>
          <w:sz w:val="24"/>
          <w:szCs w:val="24"/>
        </w:rPr>
        <w:t>сервис «Активный житель Томской области» предназначен для повышения качества взаимодействия жителей Томской области с органами власти в части решения проблем городской инфраструктуры и контроля оперативности их устранения;</w:t>
      </w:r>
    </w:p>
    <w:p w:rsidR="007E27CB" w:rsidRDefault="008F141F">
      <w:pPr>
        <w:pStyle w:val="a6"/>
        <w:numPr>
          <w:ilvl w:val="0"/>
          <w:numId w:val="208"/>
        </w:numPr>
        <w:tabs>
          <w:tab w:val="left" w:pos="426"/>
          <w:tab w:val="left" w:pos="851"/>
        </w:tabs>
        <w:spacing w:after="0" w:line="240" w:lineRule="auto"/>
        <w:ind w:left="0" w:firstLine="567"/>
        <w:jc w:val="both"/>
        <w:rPr>
          <w:rFonts w:ascii="Times New Roman" w:eastAsia="Times New Roman" w:hAnsi="Times New Roman"/>
          <w:sz w:val="24"/>
          <w:szCs w:val="24"/>
        </w:rPr>
      </w:pPr>
      <w:r>
        <w:rPr>
          <w:rFonts w:ascii="Times New Roman" w:eastAsia="Times New Roman" w:hAnsi="Times New Roman"/>
          <w:sz w:val="24"/>
          <w:szCs w:val="24"/>
        </w:rPr>
        <w:t>сервис «Маркетплейс мер поддержки предпринимательства» предназначен для оказания помощи предпринимателям, как начинающим свой бизнес, так и ищущим пути эффективного развития;</w:t>
      </w:r>
    </w:p>
    <w:p w:rsidR="007E27CB" w:rsidRDefault="008F141F">
      <w:pPr>
        <w:pStyle w:val="a6"/>
        <w:numPr>
          <w:ilvl w:val="0"/>
          <w:numId w:val="208"/>
        </w:numPr>
        <w:tabs>
          <w:tab w:val="left" w:pos="426"/>
          <w:tab w:val="left" w:pos="851"/>
        </w:tabs>
        <w:spacing w:after="0" w:line="240" w:lineRule="auto"/>
        <w:ind w:left="0" w:firstLine="567"/>
        <w:jc w:val="both"/>
        <w:rPr>
          <w:rFonts w:ascii="Times New Roman" w:eastAsia="Times New Roman" w:hAnsi="Times New Roman"/>
          <w:sz w:val="24"/>
          <w:szCs w:val="24"/>
        </w:rPr>
      </w:pPr>
      <w:r>
        <w:rPr>
          <w:rFonts w:ascii="Times New Roman" w:eastAsia="Times New Roman" w:hAnsi="Times New Roman"/>
          <w:sz w:val="24"/>
          <w:szCs w:val="24"/>
        </w:rPr>
        <w:t>сервис «Цифровая лаборатория больших данных» предназначен для создания инфраструктуры сбора, хранения и обработки «больших» данных, их предоставления пользователям или другим сервисам по запросу;</w:t>
      </w:r>
    </w:p>
    <w:p w:rsidR="007E27CB" w:rsidRDefault="008F141F">
      <w:pPr>
        <w:pStyle w:val="a6"/>
        <w:numPr>
          <w:ilvl w:val="0"/>
          <w:numId w:val="208"/>
        </w:numPr>
        <w:tabs>
          <w:tab w:val="left" w:pos="426"/>
          <w:tab w:val="left" w:pos="851"/>
        </w:tabs>
        <w:spacing w:after="0" w:line="240" w:lineRule="auto"/>
        <w:ind w:left="0" w:firstLine="567"/>
        <w:jc w:val="both"/>
        <w:rPr>
          <w:rFonts w:ascii="Times New Roman" w:eastAsia="Times New Roman" w:hAnsi="Times New Roman"/>
          <w:sz w:val="24"/>
          <w:szCs w:val="24"/>
        </w:rPr>
      </w:pPr>
      <w:r>
        <w:rPr>
          <w:rFonts w:ascii="Times New Roman" w:eastAsia="Times New Roman" w:hAnsi="Times New Roman"/>
          <w:sz w:val="24"/>
          <w:szCs w:val="24"/>
        </w:rPr>
        <w:t>сервис «Гид-путеводитель по городам Томской области» предназначен для повышения туристической привлекательности Томской области, продвижения туристических услуг и развития туристического бизнеса на территории региона;</w:t>
      </w:r>
    </w:p>
    <w:p w:rsidR="007E27CB" w:rsidRDefault="008F141F">
      <w:pPr>
        <w:pStyle w:val="a6"/>
        <w:numPr>
          <w:ilvl w:val="0"/>
          <w:numId w:val="208"/>
        </w:numPr>
        <w:tabs>
          <w:tab w:val="left" w:pos="426"/>
          <w:tab w:val="left" w:pos="851"/>
        </w:tabs>
        <w:spacing w:after="0" w:line="240" w:lineRule="auto"/>
        <w:ind w:left="0" w:firstLine="567"/>
        <w:jc w:val="both"/>
        <w:rPr>
          <w:rFonts w:ascii="Times New Roman" w:eastAsia="Times New Roman" w:hAnsi="Times New Roman"/>
          <w:sz w:val="24"/>
          <w:szCs w:val="24"/>
        </w:rPr>
      </w:pPr>
      <w:r>
        <w:rPr>
          <w:rFonts w:ascii="Times New Roman" w:eastAsia="Times New Roman" w:hAnsi="Times New Roman"/>
          <w:sz w:val="24"/>
          <w:szCs w:val="24"/>
        </w:rPr>
        <w:t xml:space="preserve">сервис «Онлайн-площадка технологического предпринимательства» предназначен для включения малых инновационных компаний Томской области в проекты с участием крупных технологических компаний. </w:t>
      </w:r>
    </w:p>
    <w:p w:rsidR="007E27CB" w:rsidRDefault="008F141F">
      <w:pPr>
        <w:pStyle w:val="af4"/>
        <w:ind w:firstLine="567"/>
        <w:rPr>
          <w:i/>
          <w:iCs/>
          <w:sz w:val="24"/>
          <w:szCs w:val="24"/>
        </w:rPr>
      </w:pPr>
      <w:r>
        <w:rPr>
          <w:i/>
          <w:iCs/>
          <w:sz w:val="24"/>
          <w:szCs w:val="24"/>
        </w:rPr>
        <w:t>Цифровое производство</w:t>
      </w:r>
    </w:p>
    <w:p w:rsidR="007E27CB" w:rsidRDefault="008F141F">
      <w:pPr>
        <w:pStyle w:val="af4"/>
        <w:ind w:firstLine="567"/>
        <w:rPr>
          <w:iCs/>
          <w:sz w:val="24"/>
          <w:szCs w:val="24"/>
        </w:rPr>
      </w:pPr>
      <w:r>
        <w:rPr>
          <w:iCs/>
          <w:sz w:val="24"/>
          <w:szCs w:val="24"/>
        </w:rPr>
        <w:t xml:space="preserve">В рамках реализации национального проекта «Производительность труда и поддержка занятости» в Томской области реализуется инициатива по созданию альянса «Цифровое производство» при участии Администрации Томской области, Регионального центра компетенции и томских IT-компаний. Специалистом Регионального центра компетенции в сфере производительности труда проведена оценка технологических процессов предприятий-участников национального проекта на предмет возможности внедрения цифровых решений для повышения эффективности. </w:t>
      </w:r>
    </w:p>
    <w:p w:rsidR="007E27CB" w:rsidRDefault="007E27CB">
      <w:pPr>
        <w:pStyle w:val="af4"/>
        <w:ind w:firstLine="567"/>
        <w:rPr>
          <w:i/>
          <w:iCs/>
          <w:sz w:val="24"/>
          <w:szCs w:val="24"/>
        </w:rPr>
      </w:pPr>
    </w:p>
    <w:p w:rsidR="007E27CB" w:rsidRDefault="008F141F">
      <w:pPr>
        <w:pStyle w:val="af4"/>
        <w:ind w:firstLine="567"/>
        <w:rPr>
          <w:i/>
          <w:iCs/>
          <w:sz w:val="24"/>
          <w:szCs w:val="24"/>
        </w:rPr>
      </w:pPr>
      <w:r>
        <w:rPr>
          <w:i/>
          <w:iCs/>
          <w:sz w:val="24"/>
          <w:szCs w:val="24"/>
        </w:rPr>
        <w:lastRenderedPageBreak/>
        <w:t>Цифровой университет</w:t>
      </w:r>
    </w:p>
    <w:p w:rsidR="007E27CB" w:rsidRDefault="008F141F">
      <w:pPr>
        <w:pStyle w:val="af4"/>
        <w:ind w:firstLine="567"/>
        <w:rPr>
          <w:iCs/>
          <w:sz w:val="24"/>
          <w:szCs w:val="24"/>
        </w:rPr>
      </w:pPr>
      <w:r>
        <w:rPr>
          <w:iCs/>
          <w:sz w:val="24"/>
          <w:szCs w:val="24"/>
        </w:rPr>
        <w:t>В 2019 году ФГАОУ ВО «Национальный исследовательский Томский государственный университет» признано победителем по результатам конкурсного отбора «Создание и обеспечение функционирования сети центров на базе образовательных организаций высшего образования для разработки моделей «Цифровой университет».</w:t>
      </w:r>
    </w:p>
    <w:p w:rsidR="007E27CB" w:rsidRDefault="008F141F">
      <w:pPr>
        <w:pStyle w:val="af4"/>
        <w:ind w:firstLine="567"/>
        <w:rPr>
          <w:iCs/>
          <w:sz w:val="24"/>
          <w:szCs w:val="24"/>
        </w:rPr>
      </w:pPr>
      <w:r>
        <w:rPr>
          <w:iCs/>
          <w:sz w:val="24"/>
          <w:szCs w:val="24"/>
        </w:rPr>
        <w:t>Реализацию двух больших грантов, связанных с цифровизацией среды и образования, начали совместно ТГУ, ТПУ и ТУСУР. Первый грант – на создание модели цифрового университета, второй – на организацию международного научно-методического центра в области математики, информатики и сквозных технологий.</w:t>
      </w:r>
    </w:p>
    <w:p w:rsidR="007E27CB" w:rsidRDefault="008F141F">
      <w:pPr>
        <w:pStyle w:val="af4"/>
        <w:ind w:firstLine="567"/>
        <w:rPr>
          <w:i/>
          <w:iCs/>
          <w:sz w:val="24"/>
          <w:szCs w:val="24"/>
        </w:rPr>
      </w:pPr>
      <w:r>
        <w:rPr>
          <w:i/>
          <w:iCs/>
          <w:sz w:val="24"/>
          <w:szCs w:val="24"/>
        </w:rPr>
        <w:t>Концепция цифрового развития Томской области</w:t>
      </w:r>
    </w:p>
    <w:p w:rsidR="007E27CB" w:rsidRDefault="008F141F">
      <w:pPr>
        <w:pStyle w:val="af4"/>
        <w:ind w:firstLine="567"/>
        <w:rPr>
          <w:iCs/>
          <w:sz w:val="24"/>
          <w:szCs w:val="24"/>
        </w:rPr>
      </w:pPr>
      <w:r>
        <w:rPr>
          <w:iCs/>
          <w:sz w:val="24"/>
          <w:szCs w:val="24"/>
        </w:rPr>
        <w:t>Администрацией Томской области достигнуты договоренности с ПАО «Сбербанк» о совместной работе по оценке текущего уровня цифровизации региона и оказании экспертной поддержки в выработке стратегических приоритетов и разработке дорожной карты цифровой трансформации Томской области. Приоритетными направлениями концепции определены: туризм и инфраструктура гостеприимства, здравоохранение, образование, общесистемная поддержка предпринимательства и малого и среднего бизнеса.</w:t>
      </w:r>
    </w:p>
    <w:p w:rsidR="007E27CB" w:rsidRDefault="007E27CB">
      <w:pPr>
        <w:tabs>
          <w:tab w:val="left" w:pos="426"/>
          <w:tab w:val="left" w:pos="709"/>
          <w:tab w:val="left" w:pos="851"/>
        </w:tabs>
        <w:spacing w:after="0" w:line="240" w:lineRule="auto"/>
        <w:ind w:firstLine="709"/>
        <w:contextualSpacing/>
        <w:jc w:val="both"/>
        <w:rPr>
          <w:rFonts w:eastAsia="Times New Roman"/>
          <w:b/>
          <w:bCs/>
          <w:sz w:val="24"/>
          <w:szCs w:val="24"/>
        </w:rPr>
      </w:pPr>
    </w:p>
    <w:p w:rsidR="007E27CB" w:rsidRDefault="008F141F">
      <w:pPr>
        <w:shd w:val="clear" w:color="auto" w:fill="F2F2F2" w:themeFill="background1" w:themeFillShade="F2"/>
        <w:tabs>
          <w:tab w:val="left" w:pos="4962"/>
        </w:tabs>
        <w:spacing w:after="0" w:line="240" w:lineRule="auto"/>
        <w:jc w:val="both"/>
        <w:rPr>
          <w:b/>
          <w:sz w:val="24"/>
          <w:szCs w:val="24"/>
        </w:rPr>
      </w:pPr>
      <w:r>
        <w:rPr>
          <w:b/>
          <w:sz w:val="24"/>
          <w:szCs w:val="24"/>
        </w:rPr>
        <w:t>Перспективные задачи</w:t>
      </w:r>
    </w:p>
    <w:p w:rsidR="007E27CB" w:rsidRDefault="007E27CB">
      <w:pPr>
        <w:tabs>
          <w:tab w:val="left" w:pos="4962"/>
        </w:tabs>
        <w:spacing w:after="0" w:line="240" w:lineRule="auto"/>
        <w:ind w:firstLine="709"/>
        <w:jc w:val="both"/>
        <w:rPr>
          <w:rFonts w:eastAsiaTheme="minorEastAsia"/>
          <w:b/>
          <w:sz w:val="24"/>
          <w:szCs w:val="24"/>
        </w:rPr>
      </w:pPr>
    </w:p>
    <w:p w:rsidR="007E27CB" w:rsidRDefault="008F141F">
      <w:pPr>
        <w:pStyle w:val="a6"/>
        <w:numPr>
          <w:ilvl w:val="0"/>
          <w:numId w:val="32"/>
        </w:numPr>
        <w:tabs>
          <w:tab w:val="left" w:pos="284"/>
        </w:tabs>
        <w:spacing w:after="0" w:line="240" w:lineRule="auto"/>
        <w:ind w:left="0" w:firstLine="0"/>
        <w:jc w:val="both"/>
        <w:rPr>
          <w:rFonts w:ascii="Times New Roman" w:hAnsi="Times New Roman"/>
          <w:sz w:val="24"/>
          <w:szCs w:val="24"/>
        </w:rPr>
      </w:pPr>
      <w:r>
        <w:rPr>
          <w:rFonts w:ascii="Times New Roman" w:hAnsi="Times New Roman"/>
          <w:sz w:val="24"/>
          <w:szCs w:val="24"/>
        </w:rPr>
        <w:t>Повышение эффективности работы инновационной инфраструктуры региона, увеличение количества резидентов ОЭЗ ТВТ «Томск».</w:t>
      </w:r>
    </w:p>
    <w:p w:rsidR="007E27CB" w:rsidRDefault="008F141F">
      <w:pPr>
        <w:pStyle w:val="a6"/>
        <w:numPr>
          <w:ilvl w:val="0"/>
          <w:numId w:val="32"/>
        </w:numPr>
        <w:tabs>
          <w:tab w:val="left" w:pos="284"/>
        </w:tabs>
        <w:spacing w:after="0" w:line="240" w:lineRule="auto"/>
        <w:ind w:left="0" w:firstLine="0"/>
        <w:jc w:val="both"/>
        <w:rPr>
          <w:rFonts w:ascii="Times New Roman" w:hAnsi="Times New Roman"/>
          <w:sz w:val="24"/>
          <w:szCs w:val="24"/>
        </w:rPr>
      </w:pPr>
      <w:r>
        <w:rPr>
          <w:rFonts w:ascii="Times New Roman" w:hAnsi="Times New Roman"/>
          <w:sz w:val="24"/>
          <w:szCs w:val="24"/>
        </w:rPr>
        <w:t>Расширение участия томских технологических компаний в мероприятиях НТИ.</w:t>
      </w:r>
    </w:p>
    <w:p w:rsidR="007E27CB" w:rsidRDefault="008F141F">
      <w:pPr>
        <w:pStyle w:val="a6"/>
        <w:numPr>
          <w:ilvl w:val="0"/>
          <w:numId w:val="32"/>
        </w:numPr>
        <w:tabs>
          <w:tab w:val="left" w:pos="284"/>
        </w:tabs>
        <w:spacing w:after="0" w:line="240" w:lineRule="auto"/>
        <w:ind w:left="0" w:firstLine="0"/>
        <w:jc w:val="both"/>
        <w:rPr>
          <w:rFonts w:ascii="Times New Roman" w:hAnsi="Times New Roman"/>
          <w:sz w:val="24"/>
          <w:szCs w:val="24"/>
        </w:rPr>
      </w:pPr>
      <w:r>
        <w:rPr>
          <w:rFonts w:ascii="Times New Roman" w:hAnsi="Times New Roman"/>
          <w:sz w:val="24"/>
          <w:szCs w:val="24"/>
        </w:rPr>
        <w:t>Продвижение проекта Tomsk HUB с целью формирования и расширения единого сообщества молодежи, начинающих предпринимателей и инноваторов.</w:t>
      </w:r>
    </w:p>
    <w:p w:rsidR="007E27CB" w:rsidRDefault="008F141F">
      <w:pPr>
        <w:spacing w:after="0" w:line="240" w:lineRule="auto"/>
        <w:jc w:val="both"/>
        <w:rPr>
          <w:rFonts w:eastAsiaTheme="minorEastAsia"/>
          <w:b/>
          <w:sz w:val="24"/>
          <w:szCs w:val="24"/>
        </w:rPr>
      </w:pPr>
      <w:r>
        <w:rPr>
          <w:rFonts w:eastAsiaTheme="minorEastAsia"/>
          <w:b/>
          <w:sz w:val="24"/>
          <w:szCs w:val="24"/>
        </w:rPr>
        <w:tab/>
      </w:r>
    </w:p>
    <w:p w:rsidR="007E27CB" w:rsidRDefault="008F141F">
      <w:pPr>
        <w:spacing w:after="0" w:line="240" w:lineRule="auto"/>
        <w:jc w:val="both"/>
        <w:rPr>
          <w:rFonts w:eastAsiaTheme="minorEastAsia"/>
          <w:b/>
          <w:sz w:val="24"/>
          <w:szCs w:val="24"/>
        </w:rPr>
      </w:pPr>
      <w:r>
        <w:rPr>
          <w:rFonts w:eastAsiaTheme="minorEastAsia"/>
          <w:b/>
          <w:sz w:val="24"/>
          <w:szCs w:val="24"/>
        </w:rPr>
        <w:t>НАУКА И ИССЛЕДОВАНИЯ</w:t>
      </w:r>
      <w:r>
        <w:rPr>
          <w:rStyle w:val="af3"/>
          <w:rFonts w:eastAsiaTheme="minorEastAsia"/>
          <w:b/>
          <w:sz w:val="24"/>
          <w:szCs w:val="24"/>
        </w:rPr>
        <w:footnoteReference w:id="7"/>
      </w:r>
    </w:p>
    <w:p w:rsidR="007E27CB" w:rsidRDefault="007E27CB">
      <w:pPr>
        <w:tabs>
          <w:tab w:val="left" w:pos="4962"/>
        </w:tabs>
        <w:spacing w:after="0" w:line="240" w:lineRule="auto"/>
        <w:ind w:firstLine="567"/>
        <w:jc w:val="both"/>
        <w:rPr>
          <w:sz w:val="24"/>
          <w:szCs w:val="24"/>
        </w:rPr>
      </w:pPr>
    </w:p>
    <w:p w:rsidR="007E27CB" w:rsidRDefault="008F141F">
      <w:pPr>
        <w:spacing w:after="0" w:line="240" w:lineRule="auto"/>
        <w:ind w:firstLine="708"/>
        <w:jc w:val="both"/>
        <w:rPr>
          <w:sz w:val="24"/>
          <w:szCs w:val="24"/>
        </w:rPr>
      </w:pPr>
      <w:r>
        <w:rPr>
          <w:sz w:val="24"/>
          <w:szCs w:val="24"/>
        </w:rPr>
        <w:t xml:space="preserve">Объем финансирования организаций научно-образовательного комплекса Томской области в 2019 году составил 28,8 млрд. рублей (2018 г. </w:t>
      </w:r>
      <w:r>
        <w:rPr>
          <w:sz w:val="24"/>
          <w:szCs w:val="24"/>
          <w:lang w:val="x-none"/>
        </w:rPr>
        <w:t>–</w:t>
      </w:r>
      <w:r>
        <w:rPr>
          <w:sz w:val="24"/>
          <w:szCs w:val="24"/>
        </w:rPr>
        <w:t xml:space="preserve"> 28,2 млрд. рублей), в том числе финансирование научной деятельности – 8,2 млрд. рублей.</w:t>
      </w:r>
    </w:p>
    <w:p w:rsidR="007E27CB" w:rsidRDefault="008F141F">
      <w:pPr>
        <w:spacing w:after="0" w:line="240" w:lineRule="auto"/>
        <w:ind w:firstLine="708"/>
        <w:jc w:val="both"/>
        <w:rPr>
          <w:sz w:val="24"/>
          <w:szCs w:val="24"/>
        </w:rPr>
      </w:pPr>
      <w:r>
        <w:rPr>
          <w:sz w:val="24"/>
          <w:szCs w:val="24"/>
        </w:rPr>
        <w:t>Проекты ИФПМ СО РАН и ТГУ вошли в число победителей конкурса, проводимого в рамках постановления Правительства Российской Федерации от 09.04.2010 № 218, по отбору организаций на право получения субсидий на реализацию комплексных проектов по созданию высокотехнологичного производства:</w:t>
      </w:r>
    </w:p>
    <w:p w:rsidR="007E27CB" w:rsidRDefault="008F141F">
      <w:pPr>
        <w:pStyle w:val="a6"/>
        <w:numPr>
          <w:ilvl w:val="0"/>
          <w:numId w:val="33"/>
        </w:numPr>
        <w:tabs>
          <w:tab w:val="left" w:pos="993"/>
        </w:tabs>
        <w:spacing w:after="0" w:line="240" w:lineRule="auto"/>
        <w:ind w:left="0" w:firstLine="709"/>
        <w:jc w:val="both"/>
        <w:rPr>
          <w:rFonts w:ascii="Times New Roman" w:hAnsi="Times New Roman"/>
          <w:sz w:val="24"/>
          <w:szCs w:val="24"/>
        </w:rPr>
      </w:pPr>
      <w:r>
        <w:rPr>
          <w:rFonts w:ascii="Times New Roman" w:hAnsi="Times New Roman"/>
          <w:sz w:val="24"/>
          <w:szCs w:val="24"/>
        </w:rPr>
        <w:t>ИФПМ СО РАН представил проект по созданию в кооперации с НГТУ производства крупногабаритного оборудования для интеллектуальной адаптивной сварки трением с перемешиванием для нужд авиакосмической и транспортной промышленности на заводе «Сеспель» (г. Чебоксары);</w:t>
      </w:r>
    </w:p>
    <w:p w:rsidR="007E27CB" w:rsidRDefault="008F141F">
      <w:pPr>
        <w:pStyle w:val="a6"/>
        <w:numPr>
          <w:ilvl w:val="0"/>
          <w:numId w:val="33"/>
        </w:numPr>
        <w:tabs>
          <w:tab w:val="left" w:pos="993"/>
        </w:tabs>
        <w:spacing w:after="0" w:line="240" w:lineRule="auto"/>
        <w:ind w:left="0" w:firstLine="709"/>
        <w:jc w:val="both"/>
        <w:rPr>
          <w:rFonts w:ascii="Times New Roman" w:hAnsi="Times New Roman"/>
          <w:sz w:val="24"/>
          <w:szCs w:val="24"/>
        </w:rPr>
      </w:pPr>
      <w:r>
        <w:rPr>
          <w:rFonts w:ascii="Times New Roman" w:hAnsi="Times New Roman"/>
          <w:sz w:val="24"/>
          <w:szCs w:val="24"/>
        </w:rPr>
        <w:t>проект ТГУ связан с разработкой программно-аппаратного комплекса для формирования тестовых сигналов нового стандарта связи 5G и организацией производства  на базе НПФ «Микран»;</w:t>
      </w:r>
    </w:p>
    <w:p w:rsidR="007E27CB" w:rsidRDefault="008F141F">
      <w:pPr>
        <w:pStyle w:val="a6"/>
        <w:numPr>
          <w:ilvl w:val="0"/>
          <w:numId w:val="33"/>
        </w:numPr>
        <w:tabs>
          <w:tab w:val="left" w:pos="993"/>
        </w:tabs>
        <w:spacing w:after="0" w:line="240" w:lineRule="auto"/>
        <w:ind w:left="0" w:firstLine="709"/>
        <w:jc w:val="both"/>
        <w:rPr>
          <w:rFonts w:ascii="Times New Roman" w:hAnsi="Times New Roman"/>
          <w:sz w:val="24"/>
          <w:szCs w:val="24"/>
        </w:rPr>
      </w:pPr>
      <w:r>
        <w:rPr>
          <w:rFonts w:ascii="Times New Roman" w:hAnsi="Times New Roman"/>
          <w:sz w:val="24"/>
          <w:szCs w:val="24"/>
        </w:rPr>
        <w:t>ИФПМ СО РАН совместно с ООО «Вириал» (г. Санкт-Петербург) представил проект по производству сложнопрофильных твердосплавных пластин для режущего инструмента.</w:t>
      </w:r>
    </w:p>
    <w:p w:rsidR="007E27CB" w:rsidRDefault="008F141F">
      <w:pPr>
        <w:pStyle w:val="a6"/>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Важным событием для региона стал визит в г. Томск Президента Российской академии наук академика Александра Сергеева, который высоко оценил уровень фундаментальных и поисковых исследований, выполняемых в Томске. </w:t>
      </w:r>
    </w:p>
    <w:p w:rsidR="007E27CB" w:rsidRDefault="008F141F">
      <w:pPr>
        <w:pStyle w:val="a6"/>
        <w:spacing w:after="0" w:line="240" w:lineRule="auto"/>
        <w:ind w:left="0" w:firstLine="709"/>
        <w:jc w:val="both"/>
        <w:rPr>
          <w:rFonts w:ascii="Times New Roman" w:hAnsi="Times New Roman"/>
          <w:sz w:val="24"/>
          <w:szCs w:val="24"/>
        </w:rPr>
      </w:pPr>
      <w:r>
        <w:rPr>
          <w:rFonts w:ascii="Times New Roman" w:hAnsi="Times New Roman"/>
          <w:sz w:val="24"/>
          <w:szCs w:val="24"/>
        </w:rPr>
        <w:lastRenderedPageBreak/>
        <w:t>В 2019 году три томских вуза (ТГУ, ТПУ и ТУСУР) по решению Межведомственной комиссии по оценке результативности деятельности образовательных организаций отнесены к 1-й категории. Данный статус подтверждает мировой уровень их образовательной деятельности, высокий уровень научных исследований и разработок, а также относит их к категории ведущих организаций, участвующих в программе обновления приборной базы, реализуемой в рамках федерального проекта «Развитие передовой инфраструктуры для проведения исследований и разработок в Российской Федерации». Статус ведущего учреждения 1-й категории подтвердил Томский национальный исследовательский медицинский центр РАН.</w:t>
      </w:r>
    </w:p>
    <w:p w:rsidR="007E27CB" w:rsidRDefault="008F141F">
      <w:pPr>
        <w:pStyle w:val="a6"/>
        <w:spacing w:after="0" w:line="240" w:lineRule="auto"/>
        <w:ind w:left="0" w:firstLine="709"/>
        <w:jc w:val="both"/>
        <w:rPr>
          <w:rFonts w:ascii="Times New Roman" w:hAnsi="Times New Roman"/>
          <w:sz w:val="24"/>
          <w:szCs w:val="24"/>
        </w:rPr>
      </w:pPr>
      <w:r>
        <w:rPr>
          <w:rFonts w:ascii="Times New Roman" w:hAnsi="Times New Roman"/>
          <w:sz w:val="24"/>
          <w:szCs w:val="24"/>
        </w:rPr>
        <w:t>Университетом НТИ 20.35 и Агентством стратегических инициатив на базе ТГУ создан Центр по разработке и реализации программ повышения квалификации и профессиональной переподготовки трудоспособного населения, управленцев и команд CDO-менеджеров, в рамках реализации федерального проекта «Кадры для цифровой экономики». На обеспечение работы этого центра в 2019 году было выделено 45 млн. рублей.</w:t>
      </w:r>
    </w:p>
    <w:p w:rsidR="007E27CB" w:rsidRDefault="008F141F">
      <w:pPr>
        <w:pStyle w:val="a6"/>
        <w:spacing w:after="0" w:line="240" w:lineRule="auto"/>
        <w:ind w:left="0" w:firstLine="709"/>
        <w:jc w:val="both"/>
        <w:rPr>
          <w:rFonts w:ascii="Times New Roman" w:hAnsi="Times New Roman"/>
          <w:sz w:val="24"/>
          <w:szCs w:val="24"/>
        </w:rPr>
      </w:pPr>
      <w:r>
        <w:rPr>
          <w:rFonts w:ascii="Times New Roman" w:hAnsi="Times New Roman"/>
          <w:sz w:val="24"/>
          <w:szCs w:val="24"/>
        </w:rPr>
        <w:t>На базе ТУСУР создан Региональный центр компетенций НТИ «Квантовые технологии», основными задачами которого являются подготовка кадров и разработка программ дополнительного образования для сферы квантовых технологий.</w:t>
      </w:r>
    </w:p>
    <w:p w:rsidR="007E27CB" w:rsidRDefault="008F141F">
      <w:pPr>
        <w:pStyle w:val="a6"/>
        <w:spacing w:after="0" w:line="240" w:lineRule="auto"/>
        <w:ind w:left="0" w:firstLine="709"/>
        <w:jc w:val="both"/>
        <w:rPr>
          <w:rFonts w:ascii="Times New Roman" w:hAnsi="Times New Roman"/>
          <w:sz w:val="24"/>
          <w:szCs w:val="24"/>
        </w:rPr>
      </w:pPr>
      <w:r>
        <w:rPr>
          <w:rFonts w:ascii="Times New Roman" w:hAnsi="Times New Roman"/>
          <w:sz w:val="24"/>
          <w:szCs w:val="24"/>
        </w:rPr>
        <w:t>В апреле 2019 года решением бюро совета Российского фонда фундаментальных исследований были подведены итоги конкурса проектов, выполняемых аспирантами. В число победителей вошло 86 томских проектов с общим объемом финансирования более 103 млн. рублей. Всего в России было поддержано 1 500 подобных проектов, около 6% из них – томские.</w:t>
      </w:r>
    </w:p>
    <w:p w:rsidR="007E27CB" w:rsidRDefault="008F141F">
      <w:pPr>
        <w:pStyle w:val="a6"/>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В 2019 году проект ученых Томского политехнического университета «Разработка таргетных молекул на основе каркасных белков для диагностики и терапии злокачественных новообразований: тераностический подход» победил в 7-м конкурсе мегагрантов. В рамках проекта создана новая лаборатория под руководством профессора Упсальского Университета (Швеция) Владимира Толмачева, которая будет проводить исследования по направлению персонализированной диагностики и терапии онкологических заболеваний. </w:t>
      </w:r>
    </w:p>
    <w:p w:rsidR="007E27CB" w:rsidRDefault="007E27CB">
      <w:pPr>
        <w:shd w:val="clear" w:color="auto" w:fill="FFFFFF" w:themeFill="background1"/>
        <w:tabs>
          <w:tab w:val="left" w:pos="4962"/>
        </w:tabs>
        <w:spacing w:after="0" w:line="240" w:lineRule="auto"/>
        <w:jc w:val="both"/>
        <w:rPr>
          <w:b/>
          <w:sz w:val="24"/>
          <w:szCs w:val="24"/>
        </w:rPr>
      </w:pPr>
    </w:p>
    <w:p w:rsidR="007E27CB" w:rsidRDefault="008F141F">
      <w:pPr>
        <w:shd w:val="clear" w:color="auto" w:fill="F2F2F2" w:themeFill="background1" w:themeFillShade="F2"/>
        <w:tabs>
          <w:tab w:val="left" w:pos="4962"/>
        </w:tabs>
        <w:spacing w:after="0" w:line="240" w:lineRule="auto"/>
        <w:jc w:val="both"/>
        <w:rPr>
          <w:b/>
          <w:sz w:val="24"/>
          <w:szCs w:val="24"/>
        </w:rPr>
      </w:pPr>
      <w:r>
        <w:rPr>
          <w:b/>
          <w:sz w:val="24"/>
          <w:szCs w:val="24"/>
        </w:rPr>
        <w:t>Перспективные задачи</w:t>
      </w:r>
    </w:p>
    <w:p w:rsidR="007E27CB" w:rsidRDefault="008F141F">
      <w:pPr>
        <w:tabs>
          <w:tab w:val="left" w:pos="284"/>
        </w:tabs>
        <w:spacing w:after="0" w:line="240" w:lineRule="auto"/>
        <w:jc w:val="both"/>
        <w:rPr>
          <w:bCs/>
          <w:sz w:val="24"/>
          <w:szCs w:val="24"/>
        </w:rPr>
      </w:pPr>
      <w:r>
        <w:rPr>
          <w:bCs/>
          <w:sz w:val="24"/>
          <w:szCs w:val="24"/>
        </w:rPr>
        <w:tab/>
      </w:r>
    </w:p>
    <w:p w:rsidR="007E27CB" w:rsidRDefault="008F141F">
      <w:pPr>
        <w:pStyle w:val="a6"/>
        <w:numPr>
          <w:ilvl w:val="1"/>
          <w:numId w:val="125"/>
        </w:numPr>
        <w:tabs>
          <w:tab w:val="left" w:pos="284"/>
          <w:tab w:val="left" w:pos="4962"/>
        </w:tabs>
        <w:spacing w:after="0" w:line="240" w:lineRule="auto"/>
        <w:ind w:left="0" w:firstLine="0"/>
        <w:jc w:val="both"/>
        <w:rPr>
          <w:rFonts w:ascii="Times New Roman" w:eastAsia="Times New Roman" w:hAnsi="Times New Roman"/>
          <w:sz w:val="24"/>
          <w:szCs w:val="24"/>
        </w:rPr>
      </w:pPr>
      <w:r>
        <w:rPr>
          <w:rFonts w:ascii="Times New Roman" w:eastAsia="Times New Roman" w:hAnsi="Times New Roman"/>
          <w:sz w:val="24"/>
          <w:szCs w:val="24"/>
        </w:rPr>
        <w:t xml:space="preserve">Реализация мероприятий, содействующих решению задач и достижению высоких целевых показателей национального проекта «Наука» и способствующих вхождению  Томской области в топ-50 инновационных регионов мира. </w:t>
      </w:r>
    </w:p>
    <w:p w:rsidR="007E27CB" w:rsidRDefault="008F141F">
      <w:pPr>
        <w:pStyle w:val="a6"/>
        <w:numPr>
          <w:ilvl w:val="1"/>
          <w:numId w:val="125"/>
        </w:numPr>
        <w:tabs>
          <w:tab w:val="left" w:pos="284"/>
          <w:tab w:val="left" w:pos="4962"/>
        </w:tabs>
        <w:spacing w:after="0" w:line="240" w:lineRule="auto"/>
        <w:ind w:left="0" w:firstLine="0"/>
        <w:jc w:val="both"/>
        <w:rPr>
          <w:rFonts w:ascii="Times New Roman" w:eastAsia="Times New Roman" w:hAnsi="Times New Roman"/>
          <w:sz w:val="24"/>
          <w:szCs w:val="24"/>
        </w:rPr>
      </w:pPr>
      <w:r>
        <w:rPr>
          <w:rFonts w:ascii="Times New Roman" w:eastAsia="Times New Roman" w:hAnsi="Times New Roman"/>
          <w:sz w:val="24"/>
          <w:szCs w:val="24"/>
        </w:rPr>
        <w:t>Увеличение количества и качества (цитируемости) научных публикаций, индексируемых в международных базах данных, а также улучшение показателей сотрудничества организаций томских научных организаций с индустрией в направлении достижения уровня мировых научных лидеров.</w:t>
      </w:r>
    </w:p>
    <w:p w:rsidR="007E27CB" w:rsidRDefault="008F141F">
      <w:pPr>
        <w:pStyle w:val="a6"/>
        <w:numPr>
          <w:ilvl w:val="1"/>
          <w:numId w:val="125"/>
        </w:numPr>
        <w:tabs>
          <w:tab w:val="left" w:pos="284"/>
          <w:tab w:val="left" w:pos="4962"/>
        </w:tabs>
        <w:spacing w:after="0" w:line="240" w:lineRule="auto"/>
        <w:ind w:left="0" w:firstLine="0"/>
        <w:jc w:val="both"/>
        <w:rPr>
          <w:rFonts w:ascii="Times New Roman" w:eastAsia="Times New Roman" w:hAnsi="Times New Roman"/>
          <w:sz w:val="24"/>
          <w:szCs w:val="24"/>
        </w:rPr>
      </w:pPr>
      <w:r>
        <w:rPr>
          <w:rFonts w:ascii="Times New Roman" w:eastAsia="Times New Roman" w:hAnsi="Times New Roman"/>
          <w:sz w:val="24"/>
          <w:szCs w:val="24"/>
        </w:rPr>
        <w:t xml:space="preserve">Создание условий для вовлечения в экономический оборот результатов научной и образовательной деятельности, полученных в организациях научно-образовательного комплекса, </w:t>
      </w:r>
      <w:r>
        <w:rPr>
          <w:rFonts w:ascii="Times New Roman" w:hAnsi="Times New Roman"/>
          <w:sz w:val="24"/>
          <w:szCs w:val="24"/>
        </w:rPr>
        <w:t>с доведением общего объема их финансирования до уровня более 29 млрд. рублей.</w:t>
      </w:r>
    </w:p>
    <w:p w:rsidR="007E27CB" w:rsidRDefault="007E27CB">
      <w:pPr>
        <w:spacing w:after="0" w:line="240" w:lineRule="auto"/>
        <w:jc w:val="both"/>
        <w:rPr>
          <w:rFonts w:eastAsiaTheme="minorEastAsia"/>
          <w:b/>
          <w:sz w:val="24"/>
          <w:szCs w:val="24"/>
        </w:rPr>
      </w:pPr>
    </w:p>
    <w:p w:rsidR="007E27CB" w:rsidRDefault="008F141F">
      <w:pPr>
        <w:spacing w:after="0" w:line="240" w:lineRule="auto"/>
        <w:ind w:firstLine="567"/>
        <w:jc w:val="both"/>
        <w:rPr>
          <w:rFonts w:eastAsiaTheme="minorEastAsia"/>
          <w:b/>
          <w:sz w:val="24"/>
          <w:szCs w:val="24"/>
        </w:rPr>
      </w:pPr>
      <w:r>
        <w:rPr>
          <w:rFonts w:eastAsiaTheme="minorEastAsia"/>
          <w:b/>
          <w:sz w:val="24"/>
          <w:szCs w:val="24"/>
        </w:rPr>
        <w:t>КОНЦЕПЦИЯ СОЗДАНИЯ ИННОВАЦИОННОГО ТЕРРИТОРИАЛЬНОГО ЦЕНТРА «ИНО ТОМСК»</w:t>
      </w:r>
    </w:p>
    <w:p w:rsidR="007E27CB" w:rsidRDefault="007E27CB">
      <w:pPr>
        <w:spacing w:after="0" w:line="240" w:lineRule="auto"/>
        <w:ind w:firstLine="567"/>
        <w:jc w:val="both"/>
        <w:rPr>
          <w:rFonts w:eastAsiaTheme="minorEastAsia"/>
          <w:b/>
          <w:sz w:val="24"/>
          <w:szCs w:val="24"/>
        </w:rPr>
      </w:pPr>
    </w:p>
    <w:p w:rsidR="007E27CB" w:rsidRDefault="008F141F">
      <w:pPr>
        <w:spacing w:after="0" w:line="240" w:lineRule="auto"/>
        <w:ind w:firstLine="567"/>
        <w:jc w:val="both"/>
        <w:rPr>
          <w:sz w:val="24"/>
          <w:szCs w:val="24"/>
        </w:rPr>
      </w:pPr>
      <w:r>
        <w:rPr>
          <w:sz w:val="24"/>
          <w:szCs w:val="24"/>
        </w:rPr>
        <w:t xml:space="preserve">Политика Томской области в предыдущий десятилетний период была ориентирована на развитие конкурентоспособного инновационного территориального центра за счет концентрации передовых производств, человеческого капитала и формирования перспективной технологической базы для отработки новой модели экономического роста </w:t>
      </w:r>
      <w:r>
        <w:rPr>
          <w:sz w:val="24"/>
          <w:szCs w:val="24"/>
        </w:rPr>
        <w:lastRenderedPageBreak/>
        <w:t>и повышения качества жизни. Распоряжением Правительства Российской Федерации от 14 января 2015 года № 22-р одобрена Концепция создания в Томской области инновационного территориального центра «ИНО Томск» (далее по разделу – Концепция).</w:t>
      </w:r>
    </w:p>
    <w:p w:rsidR="007E27CB" w:rsidRDefault="008F141F">
      <w:pPr>
        <w:spacing w:after="0" w:line="240" w:lineRule="auto"/>
        <w:ind w:firstLine="567"/>
        <w:jc w:val="both"/>
        <w:rPr>
          <w:sz w:val="24"/>
          <w:szCs w:val="24"/>
        </w:rPr>
      </w:pPr>
      <w:r>
        <w:rPr>
          <w:sz w:val="24"/>
          <w:szCs w:val="24"/>
        </w:rPr>
        <w:t>В целях обеспечения межведомственной координации государственной экономической, инновационной, промышленной и социальной политики в 2014 году был создан орган управления – федеральная рабочая группа по реализации Концепции в составе федеральных органов исполнительной власти и под руководством Заместителя Председателя Правительства Российской Федерации.</w:t>
      </w:r>
    </w:p>
    <w:p w:rsidR="007E27CB" w:rsidRDefault="008F141F">
      <w:pPr>
        <w:spacing w:after="0" w:line="240" w:lineRule="auto"/>
        <w:ind w:firstLine="567"/>
        <w:jc w:val="both"/>
        <w:rPr>
          <w:sz w:val="24"/>
          <w:szCs w:val="24"/>
        </w:rPr>
      </w:pPr>
      <w:r>
        <w:rPr>
          <w:sz w:val="24"/>
          <w:szCs w:val="24"/>
        </w:rPr>
        <w:t>Состав рабочей группы утверждается Заместителем Председателя Правительства Российской Федерации (первый состав утвержден протоколом от 28 мая 2014 года           № АД-П8-57-пр). Для реализации Концепции по пяти направлениям («Передовое производство», «Наука и образование», «Технологические инновации, новый бизнес», «Умный и удобный город», «Деловая среда») в состав рабочей группы вошли заместители руководителей 10 федеральных органов исполнительной власти, крупных компаний и институтов развития: Минфина России, Минэкономразвития России, Минкомсвязи России, Минприроды России, Минпромторга России, Минобрнауки России, Минздрава России, Минстроя России, Минтранса России, Минсельхоза России, ПАО «Газпром», АО «Газпромбанк», ПАО «СИБУР Холдинг», ПАО «Газпром нефть», Госкорпорации «Росатом», Агентства стратегических инициатив, Российской венчурной компании.</w:t>
      </w:r>
    </w:p>
    <w:p w:rsidR="007E27CB" w:rsidRDefault="008F141F">
      <w:pPr>
        <w:spacing w:after="0" w:line="240" w:lineRule="auto"/>
        <w:ind w:firstLine="567"/>
        <w:jc w:val="both"/>
        <w:rPr>
          <w:sz w:val="24"/>
          <w:szCs w:val="24"/>
        </w:rPr>
      </w:pPr>
      <w:r>
        <w:rPr>
          <w:sz w:val="24"/>
          <w:szCs w:val="24"/>
        </w:rPr>
        <w:t>Рабочая группа координировала реализацию «дорожной карты» (74 мероприятия в 2015–2016 годах и 77 мероприятий в 2017–2018 годах) и 92 объектов капитального строительства, имеющих разную ведомственную принадлежность в рамках развития специализированных городских территорий – особой экономической зоны технико-внедренческого типа «Томск», «промышленного парка», «историко-культурного парка», инновационных и промышленных кластеров, «научно-образовательного парка», «медицинского парка». Реализация большинства мероприятий «дорожной карты» завершена в 2018 году.</w:t>
      </w:r>
    </w:p>
    <w:p w:rsidR="007E27CB" w:rsidRDefault="008F141F">
      <w:pPr>
        <w:spacing w:after="0" w:line="240" w:lineRule="auto"/>
        <w:ind w:firstLine="567"/>
        <w:jc w:val="both"/>
        <w:rPr>
          <w:i/>
          <w:sz w:val="24"/>
          <w:szCs w:val="24"/>
          <w:u w:val="single"/>
        </w:rPr>
      </w:pPr>
      <w:r>
        <w:rPr>
          <w:sz w:val="24"/>
          <w:szCs w:val="24"/>
        </w:rPr>
        <w:t xml:space="preserve">В  развитие Концепции «ИНО Томск» в 2020–2024 годах в Томской области прорабатывается </w:t>
      </w:r>
      <w:r>
        <w:rPr>
          <w:i/>
          <w:sz w:val="24"/>
          <w:szCs w:val="24"/>
        </w:rPr>
        <w:t>реализация четырех новых масштабных инициатив.</w:t>
      </w:r>
    </w:p>
    <w:p w:rsidR="007E27CB" w:rsidRDefault="008F141F">
      <w:pPr>
        <w:pStyle w:val="a6"/>
        <w:numPr>
          <w:ilvl w:val="0"/>
          <w:numId w:val="128"/>
        </w:numPr>
        <w:tabs>
          <w:tab w:val="left" w:pos="993"/>
        </w:tabs>
        <w:spacing w:after="0" w:line="240" w:lineRule="auto"/>
        <w:ind w:left="0" w:firstLine="567"/>
        <w:jc w:val="both"/>
        <w:rPr>
          <w:rFonts w:ascii="Times New Roman" w:hAnsi="Times New Roman"/>
          <w:sz w:val="24"/>
          <w:szCs w:val="24"/>
        </w:rPr>
      </w:pPr>
      <w:r>
        <w:rPr>
          <w:rFonts w:ascii="Times New Roman" w:hAnsi="Times New Roman"/>
          <w:b/>
          <w:sz w:val="24"/>
          <w:szCs w:val="24"/>
        </w:rPr>
        <w:t xml:space="preserve">создание Научно-образовательного центра мирового уровня </w:t>
      </w:r>
      <w:r>
        <w:rPr>
          <w:rFonts w:ascii="Times New Roman" w:hAnsi="Times New Roman"/>
          <w:sz w:val="24"/>
          <w:szCs w:val="24"/>
        </w:rPr>
        <w:t>(далее по разделу – НОЦ)</w:t>
      </w:r>
      <w:r>
        <w:rPr>
          <w:rFonts w:ascii="Times New Roman" w:hAnsi="Times New Roman"/>
          <w:b/>
          <w:sz w:val="24"/>
          <w:szCs w:val="24"/>
        </w:rPr>
        <w:t xml:space="preserve"> </w:t>
      </w:r>
      <w:r>
        <w:rPr>
          <w:rFonts w:ascii="Times New Roman" w:hAnsi="Times New Roman"/>
          <w:sz w:val="24"/>
          <w:szCs w:val="24"/>
        </w:rPr>
        <w:t>в целях</w:t>
      </w:r>
      <w:r>
        <w:rPr>
          <w:rFonts w:ascii="Times New Roman" w:hAnsi="Times New Roman"/>
          <w:b/>
          <w:sz w:val="24"/>
          <w:szCs w:val="24"/>
        </w:rPr>
        <w:t xml:space="preserve"> </w:t>
      </w:r>
      <w:r>
        <w:rPr>
          <w:rFonts w:ascii="Times New Roman" w:hAnsi="Times New Roman"/>
          <w:sz w:val="24"/>
          <w:szCs w:val="24"/>
        </w:rPr>
        <w:t>развития технологических партнерств крупных компаний, инновационного бизнеса, университетов и научных организаций. Инициаторы НОЦ: Администрация Томской области, технологический бизнес, крупные компании – стратегические партнеры региона, шесть томских университетов, Национальный исследовательский медицинский центр РАН, шесть научных академических организаций. Приоритетные направления НОЦ Томской области:  новые системы и компоненты связи; нефтегазовый инжиниринг; новые материалы; новая химия; активное долголетие и агробиотехнологии.;</w:t>
      </w:r>
    </w:p>
    <w:p w:rsidR="007E27CB" w:rsidRDefault="008F141F">
      <w:pPr>
        <w:pStyle w:val="a6"/>
        <w:numPr>
          <w:ilvl w:val="0"/>
          <w:numId w:val="128"/>
        </w:numPr>
        <w:tabs>
          <w:tab w:val="left" w:pos="993"/>
        </w:tabs>
        <w:spacing w:after="0" w:line="240" w:lineRule="auto"/>
        <w:ind w:left="0" w:firstLine="567"/>
        <w:jc w:val="both"/>
        <w:rPr>
          <w:rFonts w:ascii="Times New Roman" w:hAnsi="Times New Roman"/>
          <w:sz w:val="24"/>
          <w:szCs w:val="24"/>
        </w:rPr>
      </w:pPr>
      <w:r>
        <w:rPr>
          <w:rFonts w:ascii="Times New Roman" w:hAnsi="Times New Roman"/>
          <w:b/>
          <w:sz w:val="24"/>
          <w:szCs w:val="24"/>
        </w:rPr>
        <w:t>создание «Большого университета Томска».</w:t>
      </w:r>
      <w:r>
        <w:rPr>
          <w:rFonts w:ascii="Times New Roman" w:hAnsi="Times New Roman"/>
          <w:sz w:val="24"/>
          <w:szCs w:val="24"/>
        </w:rPr>
        <w:t xml:space="preserve"> </w:t>
      </w:r>
    </w:p>
    <w:p w:rsidR="007E27CB" w:rsidRDefault="008F141F">
      <w:pPr>
        <w:tabs>
          <w:tab w:val="left" w:pos="567"/>
          <w:tab w:val="left" w:pos="851"/>
          <w:tab w:val="left" w:pos="993"/>
        </w:tabs>
        <w:spacing w:after="0" w:line="240" w:lineRule="auto"/>
        <w:ind w:firstLine="567"/>
        <w:jc w:val="both"/>
        <w:rPr>
          <w:sz w:val="24"/>
          <w:szCs w:val="24"/>
        </w:rPr>
      </w:pPr>
      <w:r>
        <w:rPr>
          <w:sz w:val="24"/>
          <w:szCs w:val="24"/>
        </w:rPr>
        <w:t>Проект предусматривает поэтапную сбалансированную интеграцию университетов и научных организаций Томска (с сохранением юридических лиц) в области инфраструктуры, образования, междисциплинарных исследований, сотрудничества с индустрией для повышения международной конкурентоспособности и включает реализацию следующих мероприятий:</w:t>
      </w:r>
    </w:p>
    <w:p w:rsidR="007E27CB" w:rsidRDefault="008F141F">
      <w:pPr>
        <w:pStyle w:val="a6"/>
        <w:numPr>
          <w:ilvl w:val="0"/>
          <w:numId w:val="127"/>
        </w:numPr>
        <w:tabs>
          <w:tab w:val="left" w:pos="567"/>
          <w:tab w:val="left" w:pos="851"/>
          <w:tab w:val="left" w:pos="993"/>
        </w:tabs>
        <w:spacing w:after="0" w:line="240" w:lineRule="auto"/>
        <w:ind w:left="0" w:firstLine="567"/>
        <w:jc w:val="both"/>
        <w:rPr>
          <w:rFonts w:ascii="Times New Roman" w:eastAsiaTheme="minorHAnsi" w:hAnsi="Times New Roman"/>
          <w:sz w:val="24"/>
          <w:szCs w:val="24"/>
        </w:rPr>
      </w:pPr>
      <w:r>
        <w:rPr>
          <w:rFonts w:ascii="Times New Roman" w:eastAsiaTheme="minorHAnsi" w:hAnsi="Times New Roman"/>
          <w:sz w:val="24"/>
          <w:szCs w:val="24"/>
        </w:rPr>
        <w:t>создание общей приемной кампании и единой программы привлечения иностранных студентов;</w:t>
      </w:r>
    </w:p>
    <w:p w:rsidR="007E27CB" w:rsidRDefault="008F141F">
      <w:pPr>
        <w:pStyle w:val="a6"/>
        <w:numPr>
          <w:ilvl w:val="0"/>
          <w:numId w:val="127"/>
        </w:numPr>
        <w:tabs>
          <w:tab w:val="left" w:pos="567"/>
          <w:tab w:val="left" w:pos="851"/>
          <w:tab w:val="left" w:pos="993"/>
        </w:tabs>
        <w:spacing w:after="0" w:line="240" w:lineRule="auto"/>
        <w:ind w:left="0" w:firstLine="567"/>
        <w:jc w:val="both"/>
        <w:rPr>
          <w:rFonts w:ascii="Times New Roman" w:eastAsiaTheme="minorHAnsi" w:hAnsi="Times New Roman"/>
          <w:sz w:val="24"/>
          <w:szCs w:val="24"/>
        </w:rPr>
      </w:pPr>
      <w:r>
        <w:rPr>
          <w:rFonts w:ascii="Times New Roman" w:eastAsiaTheme="minorHAnsi" w:hAnsi="Times New Roman"/>
          <w:sz w:val="24"/>
          <w:szCs w:val="24"/>
        </w:rPr>
        <w:t>разработка единых стандартов образовательной, научной и инновационной деятельности;</w:t>
      </w:r>
    </w:p>
    <w:p w:rsidR="007E27CB" w:rsidRDefault="008F141F">
      <w:pPr>
        <w:pStyle w:val="a6"/>
        <w:numPr>
          <w:ilvl w:val="0"/>
          <w:numId w:val="127"/>
        </w:numPr>
        <w:tabs>
          <w:tab w:val="left" w:pos="567"/>
          <w:tab w:val="left" w:pos="851"/>
          <w:tab w:val="left" w:pos="993"/>
        </w:tabs>
        <w:spacing w:after="0" w:line="240" w:lineRule="auto"/>
        <w:ind w:left="0" w:firstLine="567"/>
        <w:jc w:val="both"/>
        <w:rPr>
          <w:rFonts w:ascii="Times New Roman" w:eastAsiaTheme="minorHAnsi" w:hAnsi="Times New Roman"/>
          <w:sz w:val="24"/>
          <w:szCs w:val="24"/>
        </w:rPr>
      </w:pPr>
      <w:r>
        <w:rPr>
          <w:rFonts w:ascii="Times New Roman" w:eastAsiaTheme="minorHAnsi" w:hAnsi="Times New Roman"/>
          <w:sz w:val="24"/>
          <w:szCs w:val="24"/>
        </w:rPr>
        <w:t>формирование комплексной системы привлечения талантов со всего мира;</w:t>
      </w:r>
    </w:p>
    <w:p w:rsidR="007E27CB" w:rsidRDefault="008F141F">
      <w:pPr>
        <w:pStyle w:val="a6"/>
        <w:numPr>
          <w:ilvl w:val="0"/>
          <w:numId w:val="127"/>
        </w:numPr>
        <w:tabs>
          <w:tab w:val="left" w:pos="567"/>
          <w:tab w:val="left" w:pos="851"/>
          <w:tab w:val="left" w:pos="993"/>
        </w:tabs>
        <w:spacing w:after="0" w:line="240" w:lineRule="auto"/>
        <w:ind w:left="0" w:firstLine="567"/>
        <w:jc w:val="both"/>
        <w:rPr>
          <w:rFonts w:ascii="Times New Roman" w:eastAsiaTheme="minorHAnsi" w:hAnsi="Times New Roman"/>
          <w:sz w:val="24"/>
          <w:szCs w:val="24"/>
        </w:rPr>
      </w:pPr>
      <w:r>
        <w:rPr>
          <w:rFonts w:ascii="Times New Roman" w:eastAsiaTheme="minorHAnsi" w:hAnsi="Times New Roman"/>
          <w:sz w:val="24"/>
          <w:szCs w:val="24"/>
        </w:rPr>
        <w:t>объединение инфраструктур и сервисов в области образования, исследований и инноваций;</w:t>
      </w:r>
    </w:p>
    <w:p w:rsidR="007E27CB" w:rsidRDefault="008F141F">
      <w:pPr>
        <w:pStyle w:val="a6"/>
        <w:numPr>
          <w:ilvl w:val="0"/>
          <w:numId w:val="127"/>
        </w:numPr>
        <w:tabs>
          <w:tab w:val="left" w:pos="567"/>
          <w:tab w:val="left" w:pos="851"/>
          <w:tab w:val="left" w:pos="993"/>
        </w:tabs>
        <w:spacing w:after="0" w:line="240" w:lineRule="auto"/>
        <w:ind w:left="0" w:firstLine="567"/>
        <w:jc w:val="both"/>
        <w:rPr>
          <w:rFonts w:ascii="Times New Roman" w:eastAsiaTheme="minorHAnsi" w:hAnsi="Times New Roman"/>
          <w:sz w:val="24"/>
          <w:szCs w:val="24"/>
        </w:rPr>
      </w:pPr>
      <w:r>
        <w:rPr>
          <w:rFonts w:ascii="Times New Roman" w:eastAsiaTheme="minorHAnsi" w:hAnsi="Times New Roman"/>
          <w:sz w:val="24"/>
          <w:szCs w:val="24"/>
        </w:rPr>
        <w:lastRenderedPageBreak/>
        <w:t>создание единого сервисного центра по размещению и адаптации иностранных студентов;</w:t>
      </w:r>
    </w:p>
    <w:p w:rsidR="007E27CB" w:rsidRDefault="008F141F">
      <w:pPr>
        <w:pStyle w:val="a6"/>
        <w:numPr>
          <w:ilvl w:val="0"/>
          <w:numId w:val="127"/>
        </w:numPr>
        <w:tabs>
          <w:tab w:val="left" w:pos="567"/>
          <w:tab w:val="left" w:pos="851"/>
          <w:tab w:val="left" w:pos="993"/>
        </w:tabs>
        <w:spacing w:after="0" w:line="240" w:lineRule="auto"/>
        <w:ind w:left="0" w:firstLine="567"/>
        <w:jc w:val="both"/>
        <w:rPr>
          <w:rFonts w:ascii="Times New Roman" w:eastAsiaTheme="minorHAnsi" w:hAnsi="Times New Roman"/>
          <w:sz w:val="24"/>
          <w:szCs w:val="24"/>
        </w:rPr>
      </w:pPr>
      <w:r>
        <w:rPr>
          <w:rFonts w:ascii="Times New Roman" w:eastAsiaTheme="minorHAnsi" w:hAnsi="Times New Roman"/>
          <w:sz w:val="24"/>
          <w:szCs w:val="24"/>
        </w:rPr>
        <w:t>создание общего бренда и системы продвижения в международных рейтингах и на рынках образования, исследований и инноваций;</w:t>
      </w:r>
    </w:p>
    <w:p w:rsidR="007E27CB" w:rsidRDefault="008F141F">
      <w:pPr>
        <w:pStyle w:val="a6"/>
        <w:numPr>
          <w:ilvl w:val="0"/>
          <w:numId w:val="127"/>
        </w:numPr>
        <w:tabs>
          <w:tab w:val="left" w:pos="567"/>
          <w:tab w:val="left" w:pos="851"/>
          <w:tab w:val="left" w:pos="993"/>
        </w:tabs>
        <w:spacing w:after="0" w:line="240" w:lineRule="auto"/>
        <w:ind w:left="0" w:firstLine="567"/>
        <w:jc w:val="both"/>
        <w:rPr>
          <w:rFonts w:ascii="Times New Roman" w:eastAsiaTheme="minorHAnsi" w:hAnsi="Times New Roman"/>
          <w:sz w:val="24"/>
          <w:szCs w:val="24"/>
        </w:rPr>
      </w:pPr>
      <w:r>
        <w:rPr>
          <w:rFonts w:ascii="Times New Roman" w:eastAsiaTheme="minorHAnsi" w:hAnsi="Times New Roman"/>
          <w:sz w:val="24"/>
          <w:szCs w:val="24"/>
        </w:rPr>
        <w:t>формирование единого цифрового пространства научно-образовательных организаций с интеграцией городской инфраструктуры («цифровой город-университет»);</w:t>
      </w:r>
    </w:p>
    <w:p w:rsidR="007E27CB" w:rsidRDefault="008F141F">
      <w:pPr>
        <w:pStyle w:val="a6"/>
        <w:numPr>
          <w:ilvl w:val="0"/>
          <w:numId w:val="127"/>
        </w:numPr>
        <w:tabs>
          <w:tab w:val="left" w:pos="567"/>
          <w:tab w:val="left" w:pos="851"/>
          <w:tab w:val="left" w:pos="993"/>
        </w:tabs>
        <w:spacing w:after="0" w:line="240" w:lineRule="auto"/>
        <w:ind w:left="0" w:firstLine="567"/>
        <w:jc w:val="both"/>
        <w:rPr>
          <w:rFonts w:ascii="Times New Roman" w:eastAsiaTheme="minorHAnsi" w:hAnsi="Times New Roman"/>
          <w:sz w:val="24"/>
          <w:szCs w:val="24"/>
        </w:rPr>
      </w:pPr>
      <w:r>
        <w:rPr>
          <w:rFonts w:ascii="Times New Roman" w:eastAsiaTheme="minorHAnsi" w:hAnsi="Times New Roman"/>
          <w:sz w:val="24"/>
          <w:szCs w:val="24"/>
        </w:rPr>
        <w:t>консолидация ресурсов на научно-исследовательских приоритетах.</w:t>
      </w:r>
    </w:p>
    <w:p w:rsidR="007E27CB" w:rsidRDefault="008F141F">
      <w:pPr>
        <w:spacing w:after="0" w:line="240" w:lineRule="auto"/>
        <w:ind w:firstLine="567"/>
        <w:jc w:val="both"/>
        <w:rPr>
          <w:sz w:val="24"/>
          <w:szCs w:val="24"/>
        </w:rPr>
      </w:pPr>
      <w:r>
        <w:rPr>
          <w:sz w:val="24"/>
          <w:szCs w:val="24"/>
        </w:rPr>
        <w:t xml:space="preserve">3) </w:t>
      </w:r>
      <w:r>
        <w:rPr>
          <w:b/>
          <w:sz w:val="24"/>
          <w:szCs w:val="24"/>
        </w:rPr>
        <w:t>создание новой среды для талантов – Межуниверситетского кампуса мирового класса для российских и иностранных студентов.</w:t>
      </w:r>
      <w:r>
        <w:rPr>
          <w:sz w:val="24"/>
          <w:szCs w:val="24"/>
        </w:rPr>
        <w:t xml:space="preserve"> Ядро и основу томского межуниверситетского кампуса составит уникальный инновационный район, расположенный на левом берегу реки Томи, объединяющий центры разработок крупных компаний, малого бизнеса, научные и лабораторные корпуса, площадки для тестирования технологий, многофункциональный студенческий городок на 10 тыс. жителей. Проект станет пилотной площадкой по отработке модели финансирования создания и эксплуатации современного кампуса, а также механизмов вовлечения частного капитала в инфраструктурные объекты. Межуниверситетский кампус обеспечит решение задачи удвоения за 4 года числа иностранных студентов университетов, расположенных в Томской области (целевой показатель федерального проекта «Экспорт образования» национального проекта «Образование»);</w:t>
      </w:r>
    </w:p>
    <w:p w:rsidR="007E27CB" w:rsidRDefault="008F141F">
      <w:pPr>
        <w:autoSpaceDE w:val="0"/>
        <w:autoSpaceDN w:val="0"/>
        <w:spacing w:after="0" w:line="240" w:lineRule="auto"/>
        <w:ind w:firstLine="567"/>
        <w:jc w:val="both"/>
        <w:rPr>
          <w:b/>
          <w:sz w:val="24"/>
          <w:szCs w:val="24"/>
        </w:rPr>
      </w:pPr>
      <w:r>
        <w:rPr>
          <w:sz w:val="24"/>
          <w:szCs w:val="24"/>
        </w:rPr>
        <w:t xml:space="preserve">4) </w:t>
      </w:r>
      <w:r>
        <w:rPr>
          <w:b/>
          <w:sz w:val="24"/>
          <w:szCs w:val="24"/>
        </w:rPr>
        <w:t>создание пилотной федеральной площадки в Томской области по экспорту образования и адаптации иностранных студентов.</w:t>
      </w:r>
    </w:p>
    <w:p w:rsidR="007E27CB" w:rsidRDefault="008F141F">
      <w:pPr>
        <w:autoSpaceDE w:val="0"/>
        <w:autoSpaceDN w:val="0"/>
        <w:spacing w:after="0" w:line="240" w:lineRule="auto"/>
        <w:ind w:firstLine="567"/>
        <w:jc w:val="both"/>
        <w:rPr>
          <w:sz w:val="24"/>
          <w:szCs w:val="24"/>
        </w:rPr>
      </w:pPr>
      <w:r>
        <w:rPr>
          <w:sz w:val="24"/>
          <w:szCs w:val="24"/>
        </w:rPr>
        <w:t>В соответствии с федеральным проектом «Экспорт образования» национального проекта «Образование» Томская область реализует стратегию развития экспорта образования и технологий. Ключевая задача – развитие Томской области как одного из ведущих российских центров экспорта образования, основанного на поддержке междисциплинарности и связи с экспортом технологий.</w:t>
      </w:r>
    </w:p>
    <w:p w:rsidR="007E27CB" w:rsidRDefault="008F141F">
      <w:pPr>
        <w:spacing w:after="0" w:line="240" w:lineRule="auto"/>
        <w:ind w:firstLine="567"/>
        <w:jc w:val="both"/>
        <w:rPr>
          <w:sz w:val="24"/>
          <w:szCs w:val="24"/>
        </w:rPr>
      </w:pPr>
      <w:r>
        <w:rPr>
          <w:sz w:val="24"/>
          <w:szCs w:val="24"/>
        </w:rPr>
        <w:t>Мероприятия проекта предусматривают облегчение процедуры получения гражданства для сохранения талантов в технологическом секторе региона и России, ускоренное получение рабочей визы для иностранных студентов и др. Проект обеспечит рост числа иностранных студентов с 11 тыс. в 2019 году до 21 тыс. к 2024 году.</w:t>
      </w:r>
    </w:p>
    <w:p w:rsidR="007E27CB" w:rsidRDefault="007E27CB">
      <w:pPr>
        <w:autoSpaceDE w:val="0"/>
        <w:autoSpaceDN w:val="0"/>
        <w:spacing w:after="0" w:line="240" w:lineRule="auto"/>
        <w:ind w:firstLine="709"/>
        <w:jc w:val="both"/>
        <w:rPr>
          <w:rFonts w:eastAsia="Times New Roman"/>
          <w:sz w:val="24"/>
          <w:szCs w:val="24"/>
        </w:rPr>
      </w:pPr>
    </w:p>
    <w:p w:rsidR="007E27CB" w:rsidRDefault="008F141F">
      <w:pPr>
        <w:shd w:val="clear" w:color="auto" w:fill="F2F2F2" w:themeFill="background1" w:themeFillShade="F2"/>
        <w:tabs>
          <w:tab w:val="left" w:pos="4962"/>
        </w:tabs>
        <w:spacing w:after="0" w:line="240" w:lineRule="auto"/>
        <w:jc w:val="both"/>
        <w:rPr>
          <w:b/>
          <w:sz w:val="24"/>
          <w:szCs w:val="24"/>
        </w:rPr>
      </w:pPr>
      <w:r>
        <w:rPr>
          <w:b/>
          <w:sz w:val="24"/>
          <w:szCs w:val="24"/>
        </w:rPr>
        <w:t>Перспективные задачи:</w:t>
      </w:r>
    </w:p>
    <w:p w:rsidR="007E27CB" w:rsidRDefault="007E27CB">
      <w:pPr>
        <w:spacing w:after="0" w:line="240" w:lineRule="auto"/>
        <w:ind w:firstLine="567"/>
        <w:jc w:val="both"/>
        <w:rPr>
          <w:b/>
          <w:sz w:val="24"/>
          <w:szCs w:val="24"/>
        </w:rPr>
      </w:pPr>
    </w:p>
    <w:p w:rsidR="007E27CB" w:rsidRDefault="008F141F">
      <w:pPr>
        <w:autoSpaceDE w:val="0"/>
        <w:autoSpaceDN w:val="0"/>
        <w:spacing w:after="0" w:line="240" w:lineRule="auto"/>
        <w:jc w:val="both"/>
        <w:rPr>
          <w:sz w:val="24"/>
          <w:szCs w:val="24"/>
        </w:rPr>
      </w:pPr>
      <w:r>
        <w:rPr>
          <w:sz w:val="24"/>
          <w:szCs w:val="24"/>
        </w:rPr>
        <w:t xml:space="preserve">1. Создание новой системы управления региональным комплексом «наука-технологии-инновации-экономика». </w:t>
      </w:r>
    </w:p>
    <w:p w:rsidR="007E27CB" w:rsidRDefault="008F141F">
      <w:pPr>
        <w:autoSpaceDE w:val="0"/>
        <w:autoSpaceDN w:val="0"/>
        <w:spacing w:after="0" w:line="240" w:lineRule="auto"/>
        <w:jc w:val="both"/>
        <w:rPr>
          <w:sz w:val="24"/>
          <w:szCs w:val="24"/>
        </w:rPr>
      </w:pPr>
      <w:r>
        <w:rPr>
          <w:sz w:val="24"/>
          <w:szCs w:val="24"/>
        </w:rPr>
        <w:t xml:space="preserve">2. Создание условий развития передовых производств, умной городской среды, высокого качества жизни, делового и инновационного климата для трансфера знаний в реальный сектор экономики. </w:t>
      </w:r>
    </w:p>
    <w:p w:rsidR="007E27CB" w:rsidRDefault="008F141F">
      <w:pPr>
        <w:autoSpaceDE w:val="0"/>
        <w:autoSpaceDN w:val="0"/>
        <w:spacing w:after="0" w:line="240" w:lineRule="auto"/>
        <w:jc w:val="both"/>
        <w:rPr>
          <w:sz w:val="24"/>
          <w:szCs w:val="24"/>
        </w:rPr>
      </w:pPr>
      <w:r>
        <w:rPr>
          <w:sz w:val="24"/>
          <w:szCs w:val="24"/>
        </w:rPr>
        <w:t>3. Создание и развитие новых форматов кооперации индустриальных, технологических и научных компаний в целях повышения их эффективности и взаимодействия.</w:t>
      </w:r>
    </w:p>
    <w:p w:rsidR="007E27CB" w:rsidRDefault="008F141F">
      <w:pPr>
        <w:autoSpaceDE w:val="0"/>
        <w:autoSpaceDN w:val="0"/>
        <w:spacing w:after="0" w:line="240" w:lineRule="auto"/>
        <w:jc w:val="both"/>
        <w:rPr>
          <w:sz w:val="24"/>
          <w:szCs w:val="24"/>
        </w:rPr>
      </w:pPr>
      <w:r>
        <w:rPr>
          <w:sz w:val="24"/>
          <w:szCs w:val="24"/>
        </w:rPr>
        <w:t>4. Создание на базе Томской области федеральной пилотной площадки по созданию организационных и правовых условий для отработки модели межвузовского кампуса, модели «Большого университета», модели</w:t>
      </w:r>
      <w:r>
        <w:rPr>
          <w:b/>
          <w:sz w:val="24"/>
          <w:szCs w:val="24"/>
        </w:rPr>
        <w:t xml:space="preserve"> </w:t>
      </w:r>
      <w:r>
        <w:rPr>
          <w:sz w:val="24"/>
          <w:szCs w:val="24"/>
        </w:rPr>
        <w:t>экспорта образования и адаптации иностранных студентов.</w:t>
      </w:r>
    </w:p>
    <w:p w:rsidR="007E27CB" w:rsidRDefault="007E27CB">
      <w:pPr>
        <w:tabs>
          <w:tab w:val="left" w:pos="4962"/>
        </w:tabs>
        <w:spacing w:after="0" w:line="240" w:lineRule="auto"/>
        <w:jc w:val="both"/>
        <w:rPr>
          <w:rFonts w:eastAsia="Times New Roman"/>
          <w:color w:val="FF0000"/>
          <w:sz w:val="24"/>
          <w:szCs w:val="24"/>
        </w:rPr>
      </w:pPr>
    </w:p>
    <w:p w:rsidR="007E27CB" w:rsidRDefault="007E27CB">
      <w:pPr>
        <w:tabs>
          <w:tab w:val="left" w:pos="4962"/>
        </w:tabs>
        <w:spacing w:after="0" w:line="240" w:lineRule="auto"/>
        <w:jc w:val="both"/>
        <w:rPr>
          <w:rFonts w:eastAsia="Times New Roman"/>
          <w:b/>
          <w:sz w:val="24"/>
          <w:szCs w:val="24"/>
        </w:rPr>
      </w:pPr>
    </w:p>
    <w:p w:rsidR="007E27CB" w:rsidRDefault="007E27CB">
      <w:pPr>
        <w:tabs>
          <w:tab w:val="left" w:pos="4962"/>
        </w:tabs>
        <w:spacing w:after="0" w:line="240" w:lineRule="auto"/>
        <w:jc w:val="both"/>
        <w:rPr>
          <w:rFonts w:eastAsia="Times New Roman"/>
          <w:b/>
          <w:sz w:val="24"/>
          <w:szCs w:val="24"/>
        </w:rPr>
      </w:pPr>
    </w:p>
    <w:p w:rsidR="007E27CB" w:rsidRDefault="007E27CB">
      <w:pPr>
        <w:tabs>
          <w:tab w:val="left" w:pos="4962"/>
        </w:tabs>
        <w:spacing w:after="0" w:line="240" w:lineRule="auto"/>
        <w:jc w:val="both"/>
        <w:rPr>
          <w:rFonts w:eastAsia="Times New Roman"/>
          <w:b/>
          <w:sz w:val="24"/>
          <w:szCs w:val="24"/>
        </w:rPr>
      </w:pPr>
    </w:p>
    <w:p w:rsidR="007E27CB" w:rsidRDefault="007E27CB">
      <w:pPr>
        <w:tabs>
          <w:tab w:val="left" w:pos="4962"/>
        </w:tabs>
        <w:spacing w:after="0" w:line="240" w:lineRule="auto"/>
        <w:jc w:val="both"/>
        <w:rPr>
          <w:rFonts w:eastAsia="Times New Roman"/>
          <w:b/>
          <w:sz w:val="24"/>
          <w:szCs w:val="24"/>
        </w:rPr>
      </w:pPr>
    </w:p>
    <w:p w:rsidR="007E27CB" w:rsidRDefault="007E27CB">
      <w:pPr>
        <w:tabs>
          <w:tab w:val="left" w:pos="4962"/>
        </w:tabs>
        <w:spacing w:after="0" w:line="240" w:lineRule="auto"/>
        <w:jc w:val="both"/>
        <w:rPr>
          <w:rFonts w:eastAsia="Times New Roman"/>
          <w:b/>
          <w:sz w:val="24"/>
          <w:szCs w:val="24"/>
        </w:rPr>
      </w:pPr>
    </w:p>
    <w:p w:rsidR="007E27CB" w:rsidRDefault="008F141F">
      <w:pPr>
        <w:tabs>
          <w:tab w:val="left" w:pos="4962"/>
        </w:tabs>
        <w:spacing w:after="0" w:line="240" w:lineRule="auto"/>
        <w:jc w:val="both"/>
        <w:rPr>
          <w:rFonts w:eastAsia="Times New Roman"/>
          <w:b/>
          <w:sz w:val="24"/>
          <w:szCs w:val="24"/>
        </w:rPr>
      </w:pPr>
      <w:r>
        <w:rPr>
          <w:rFonts w:eastAsia="Times New Roman"/>
          <w:b/>
          <w:sz w:val="24"/>
          <w:szCs w:val="24"/>
        </w:rPr>
        <w:lastRenderedPageBreak/>
        <w:t>1.3. Обеспечение улучшения инвестиционного климата и повышения качества государственного регулирования, содействие укреплению международных и межрегиональных связей</w:t>
      </w:r>
    </w:p>
    <w:p w:rsidR="007E27CB" w:rsidRDefault="007E27CB">
      <w:pPr>
        <w:widowControl w:val="0"/>
        <w:tabs>
          <w:tab w:val="left" w:pos="142"/>
          <w:tab w:val="left" w:pos="4962"/>
        </w:tabs>
        <w:spacing w:after="0" w:line="240" w:lineRule="auto"/>
        <w:jc w:val="both"/>
        <w:rPr>
          <w:rFonts w:eastAsia="Times New Roman"/>
          <w:b/>
          <w:sz w:val="24"/>
          <w:szCs w:val="24"/>
          <w:lang w:eastAsia="ru-RU"/>
        </w:rPr>
      </w:pPr>
    </w:p>
    <w:p w:rsidR="007E27CB" w:rsidRDefault="008F141F">
      <w:pPr>
        <w:widowControl w:val="0"/>
        <w:tabs>
          <w:tab w:val="left" w:pos="142"/>
          <w:tab w:val="left" w:pos="4962"/>
        </w:tabs>
        <w:spacing w:after="0" w:line="240" w:lineRule="auto"/>
        <w:ind w:firstLine="567"/>
        <w:jc w:val="both"/>
        <w:rPr>
          <w:rFonts w:eastAsia="Times New Roman"/>
          <w:b/>
          <w:sz w:val="24"/>
          <w:szCs w:val="24"/>
          <w:lang w:eastAsia="ru-RU"/>
        </w:rPr>
      </w:pPr>
      <w:r>
        <w:rPr>
          <w:rFonts w:eastAsia="Times New Roman"/>
          <w:b/>
          <w:sz w:val="24"/>
          <w:szCs w:val="24"/>
          <w:lang w:eastAsia="ru-RU"/>
        </w:rPr>
        <w:t>ИНВЕСТИЦИОННАЯ ДЕЯТЕЛЬНОСТЬ</w:t>
      </w:r>
    </w:p>
    <w:p w:rsidR="007E27CB" w:rsidRDefault="007E27CB">
      <w:pPr>
        <w:widowControl w:val="0"/>
        <w:tabs>
          <w:tab w:val="left" w:pos="4962"/>
        </w:tabs>
        <w:spacing w:after="0" w:line="240" w:lineRule="auto"/>
        <w:ind w:firstLine="567"/>
        <w:contextualSpacing/>
        <w:jc w:val="both"/>
        <w:rPr>
          <w:sz w:val="24"/>
          <w:szCs w:val="24"/>
        </w:rPr>
      </w:pPr>
    </w:p>
    <w:p w:rsidR="007E27CB" w:rsidRDefault="008F141F">
      <w:pPr>
        <w:widowControl w:val="0"/>
        <w:spacing w:after="0" w:line="240" w:lineRule="auto"/>
        <w:ind w:firstLine="567"/>
        <w:contextualSpacing/>
        <w:jc w:val="both"/>
        <w:rPr>
          <w:b/>
          <w:sz w:val="24"/>
          <w:szCs w:val="24"/>
        </w:rPr>
      </w:pPr>
      <w:r>
        <w:rPr>
          <w:b/>
          <w:sz w:val="24"/>
          <w:szCs w:val="24"/>
        </w:rPr>
        <w:t>Состояние сферы инвестиционной деятельности</w:t>
      </w:r>
    </w:p>
    <w:p w:rsidR="007E27CB" w:rsidRDefault="008F141F">
      <w:pPr>
        <w:spacing w:after="0" w:line="240" w:lineRule="auto"/>
        <w:ind w:firstLine="567"/>
        <w:jc w:val="both"/>
        <w:rPr>
          <w:sz w:val="24"/>
          <w:szCs w:val="24"/>
        </w:rPr>
      </w:pPr>
      <w:r>
        <w:rPr>
          <w:sz w:val="24"/>
          <w:szCs w:val="24"/>
        </w:rPr>
        <w:t>Объем инвестиций в основной капитал по Томской области за 2019 год составил 96,2 млрд. рублей или 96,8% в сопоставимых ценах к уровню 2018 года, в том числе</w:t>
      </w:r>
      <w:r>
        <w:rPr>
          <w:color w:val="FF0000"/>
          <w:sz w:val="24"/>
          <w:szCs w:val="24"/>
        </w:rPr>
        <w:t xml:space="preserve"> </w:t>
      </w:r>
      <w:r>
        <w:rPr>
          <w:sz w:val="24"/>
          <w:szCs w:val="24"/>
        </w:rPr>
        <w:t xml:space="preserve">инвестиции по крупным и средним организациям – 76,4 млрд. рублей (индекс физического объема (далее – ИФО) – 97,5%). </w:t>
      </w:r>
    </w:p>
    <w:p w:rsidR="007E27CB" w:rsidRDefault="008F141F">
      <w:pPr>
        <w:spacing w:after="0" w:line="240" w:lineRule="auto"/>
        <w:ind w:firstLine="567"/>
        <w:jc w:val="both"/>
        <w:rPr>
          <w:sz w:val="24"/>
          <w:szCs w:val="24"/>
        </w:rPr>
      </w:pPr>
      <w:r>
        <w:rPr>
          <w:sz w:val="24"/>
          <w:szCs w:val="24"/>
        </w:rPr>
        <w:t xml:space="preserve">В составе инвестиций в основной капитал крупных и средних организаций преобладали инвестиции, направленные в добычу полезных ископаемых – 43,1%, обрабатывающие производства – 11,1%, деятельность по операциям с недвижимым имуществом – 8,2%, транспортировку и хранение – 7,7%. </w:t>
      </w:r>
    </w:p>
    <w:p w:rsidR="007E27CB" w:rsidRDefault="008F141F">
      <w:pPr>
        <w:spacing w:after="0" w:line="240" w:lineRule="auto"/>
        <w:ind w:firstLine="567"/>
        <w:jc w:val="both"/>
        <w:rPr>
          <w:sz w:val="24"/>
          <w:szCs w:val="24"/>
        </w:rPr>
      </w:pPr>
      <w:r>
        <w:rPr>
          <w:sz w:val="24"/>
          <w:szCs w:val="24"/>
        </w:rPr>
        <w:t>Значимую долю в структуре инвестиций составили также обеспечение электрической энергией, газом и паром – 5,7%, сельское и лесное хозяйство – 4,1%, образование – 3,3%, деятельность в области здравоохранения и социальных услуг – 2,6%, деятельность в области информации и связи – 2,2%, деятельность профессиональная, научная и техническая – 2,2%, строительство – 1,9%.</w:t>
      </w:r>
    </w:p>
    <w:p w:rsidR="007E27CB" w:rsidRDefault="008F141F">
      <w:pPr>
        <w:spacing w:after="0" w:line="240" w:lineRule="auto"/>
        <w:ind w:firstLine="567"/>
        <w:jc w:val="both"/>
        <w:rPr>
          <w:rFonts w:eastAsia="Times New Roman"/>
          <w:color w:val="000000"/>
          <w:sz w:val="24"/>
          <w:szCs w:val="24"/>
          <w:lang w:eastAsia="ru-RU"/>
        </w:rPr>
      </w:pPr>
      <w:r>
        <w:rPr>
          <w:rFonts w:eastAsia="Times New Roman"/>
          <w:color w:val="000000"/>
          <w:sz w:val="24"/>
          <w:szCs w:val="24"/>
          <w:lang w:eastAsia="ru-RU"/>
        </w:rPr>
        <w:t>На динамику объема инвестиций существенное влияние оказало сокращение инвестиционных вложений, направляемых в добычу полезных ископаемых и транспортировку нефти и газа по трубопроводам (ИФО – 90,2% и 67,9% соответственно), а также операции с недвижимым имуществом (ИФО – 68,0%).</w:t>
      </w:r>
    </w:p>
    <w:p w:rsidR="007E27CB" w:rsidRDefault="008F141F">
      <w:pPr>
        <w:spacing w:after="0" w:line="240" w:lineRule="auto"/>
        <w:ind w:firstLine="567"/>
        <w:jc w:val="both"/>
        <w:rPr>
          <w:rFonts w:eastAsia="Times New Roman"/>
          <w:color w:val="000000"/>
          <w:sz w:val="24"/>
          <w:szCs w:val="24"/>
          <w:lang w:eastAsia="ru-RU"/>
        </w:rPr>
      </w:pPr>
      <w:r>
        <w:rPr>
          <w:rFonts w:eastAsia="Times New Roman"/>
          <w:color w:val="000000"/>
          <w:sz w:val="24"/>
          <w:szCs w:val="24"/>
          <w:lang w:eastAsia="ru-RU"/>
        </w:rPr>
        <w:t>В нефтегазовом комплексе региона сохранились системные проблемы, связанные с истощением разведанных месторождений и сокращением капитальных затрат на их обустройство, а также неблагоприятной конъюнктурой мирового рынка нефти. Негативные тенденции развития отразились и на управлении собственным и арендованным нежилым недвижимым имуществом за счет сокращения участников инвестиционного процесса из числа предприятий нефтегазовой отрасли.</w:t>
      </w:r>
    </w:p>
    <w:p w:rsidR="007E27CB" w:rsidRDefault="008F141F">
      <w:pPr>
        <w:spacing w:after="0" w:line="240" w:lineRule="auto"/>
        <w:ind w:firstLine="567"/>
        <w:jc w:val="both"/>
        <w:rPr>
          <w:sz w:val="24"/>
          <w:szCs w:val="24"/>
        </w:rPr>
      </w:pPr>
      <w:r>
        <w:rPr>
          <w:rFonts w:eastAsia="Times New Roman"/>
          <w:color w:val="000000"/>
          <w:sz w:val="24"/>
          <w:szCs w:val="24"/>
          <w:lang w:eastAsia="ru-RU"/>
        </w:rPr>
        <w:t>В обрабатывающем производстве в целом сложилась отрицательная динамика объема инвестиций (ИФО – 77,8%), в том числе снижение наблюдалось в производстве нефтепродуктов (ИФО – 71,2%), химической промышленности (ИФО – 95,1%), металлургическом производстве (ИФО – 62,8%), деревообработке (ИФО – 52,9%), п</w:t>
      </w:r>
      <w:r>
        <w:rPr>
          <w:sz w:val="24"/>
          <w:szCs w:val="24"/>
        </w:rPr>
        <w:t>роизводстве электрического оборудования (ИФО – 88,4%), производстве машин и оборудования (ИФО – 38,4%), иных производствах.</w:t>
      </w:r>
    </w:p>
    <w:p w:rsidR="007E27CB" w:rsidRDefault="008F141F">
      <w:pPr>
        <w:spacing w:after="0" w:line="240" w:lineRule="auto"/>
        <w:ind w:firstLine="567"/>
        <w:jc w:val="both"/>
        <w:rPr>
          <w:bCs/>
          <w:sz w:val="24"/>
          <w:szCs w:val="24"/>
          <w:lang w:eastAsia="x-none"/>
        </w:rPr>
      </w:pPr>
      <w:r>
        <w:rPr>
          <w:sz w:val="24"/>
          <w:szCs w:val="24"/>
        </w:rPr>
        <w:t xml:space="preserve">При этом в </w:t>
      </w:r>
      <w:r>
        <w:rPr>
          <w:rFonts w:eastAsia="Times New Roman"/>
          <w:color w:val="000000"/>
          <w:sz w:val="24"/>
          <w:szCs w:val="24"/>
          <w:lang w:eastAsia="ru-RU"/>
        </w:rPr>
        <w:t>отдельных отраслях обрабатывающей промышленности наблюдался рост объема инвестиций. В частности, в производстве пищевых продуктов увеличение объема инвестиций (ИФО – 261,2%) произошло за счет инвестиционной деятельности О</w:t>
      </w:r>
      <w:r>
        <w:rPr>
          <w:bCs/>
          <w:sz w:val="24"/>
          <w:szCs w:val="24"/>
          <w:lang w:eastAsia="x-none"/>
        </w:rPr>
        <w:t xml:space="preserve">ОО «Сибирская Олива», АО «Дубровское», ООО «Межениновская птицефабрика», а также модернизации и приобретения производственного оборудования ООО «Эскимос», ООО ТПК «Сава» и  ООО «ПК «Лама». </w:t>
      </w:r>
    </w:p>
    <w:p w:rsidR="007E27CB" w:rsidRDefault="008F141F">
      <w:pPr>
        <w:spacing w:after="0" w:line="240" w:lineRule="auto"/>
        <w:ind w:firstLine="567"/>
        <w:jc w:val="both"/>
        <w:rPr>
          <w:sz w:val="24"/>
          <w:szCs w:val="24"/>
        </w:rPr>
      </w:pPr>
      <w:r>
        <w:rPr>
          <w:bCs/>
          <w:sz w:val="24"/>
          <w:szCs w:val="24"/>
          <w:lang w:eastAsia="x-none"/>
        </w:rPr>
        <w:t xml:space="preserve">В </w:t>
      </w:r>
      <w:r>
        <w:rPr>
          <w:sz w:val="24"/>
          <w:szCs w:val="24"/>
        </w:rPr>
        <w:t xml:space="preserve">производстве лекарственных средств и материалов, применяемых в медицинских целях, на рост инвестиционных вложений (ИФО – 163,3%) положительное влияние оказала деятельность филиала АО «НПО «Микроген» в г. Томске «НПО «Вирион». </w:t>
      </w:r>
    </w:p>
    <w:p w:rsidR="007E27CB" w:rsidRDefault="008F141F">
      <w:pPr>
        <w:spacing w:after="0" w:line="240" w:lineRule="auto"/>
        <w:ind w:firstLine="567"/>
        <w:jc w:val="both"/>
        <w:rPr>
          <w:sz w:val="24"/>
          <w:szCs w:val="24"/>
        </w:rPr>
      </w:pPr>
      <w:r>
        <w:rPr>
          <w:sz w:val="24"/>
          <w:szCs w:val="24"/>
        </w:rPr>
        <w:t xml:space="preserve">В </w:t>
      </w:r>
      <w:r>
        <w:rPr>
          <w:rFonts w:eastAsia="Times New Roman"/>
          <w:color w:val="000000"/>
          <w:sz w:val="24"/>
          <w:szCs w:val="24"/>
          <w:lang w:eastAsia="ru-RU"/>
        </w:rPr>
        <w:t>производстве компьютеров, электронных и оптических изделий (ИФО – 110,1%) рост объема инвестиций наблюдался за</w:t>
      </w:r>
      <w:r>
        <w:rPr>
          <w:sz w:val="24"/>
          <w:szCs w:val="24"/>
        </w:rPr>
        <w:t xml:space="preserve"> счет вложений АО «ЭлеСи», АО «НПФ «Микран», АО «НИИПП» и других организаций.</w:t>
      </w:r>
    </w:p>
    <w:p w:rsidR="007E27CB" w:rsidRDefault="008F141F">
      <w:pPr>
        <w:spacing w:after="0" w:line="240" w:lineRule="auto"/>
        <w:ind w:firstLine="567"/>
        <w:jc w:val="both"/>
        <w:rPr>
          <w:rFonts w:eastAsia="Times New Roman"/>
          <w:color w:val="000000"/>
          <w:sz w:val="24"/>
          <w:szCs w:val="24"/>
          <w:lang w:eastAsia="ru-RU"/>
        </w:rPr>
      </w:pPr>
      <w:r>
        <w:rPr>
          <w:rFonts w:eastAsia="Times New Roman"/>
          <w:color w:val="000000"/>
          <w:sz w:val="24"/>
          <w:szCs w:val="24"/>
          <w:lang w:eastAsia="ru-RU"/>
        </w:rPr>
        <w:t xml:space="preserve">Снижение объема инвестиций в регионе было также частично скомпенсировано ростом инвестиций в иных отраслях. </w:t>
      </w:r>
    </w:p>
    <w:p w:rsidR="007E27CB" w:rsidRDefault="008F141F">
      <w:pPr>
        <w:tabs>
          <w:tab w:val="left" w:pos="1134"/>
        </w:tabs>
        <w:spacing w:after="0" w:line="240" w:lineRule="auto"/>
        <w:ind w:firstLine="567"/>
        <w:jc w:val="both"/>
        <w:rPr>
          <w:bCs/>
          <w:sz w:val="24"/>
          <w:szCs w:val="24"/>
        </w:rPr>
      </w:pPr>
      <w:r>
        <w:rPr>
          <w:bCs/>
          <w:sz w:val="24"/>
          <w:szCs w:val="24"/>
        </w:rPr>
        <w:t xml:space="preserve">В сельском хозяйстве положительную динамику обеспечила реализация инвестиционных проектов АО «Сибирская Аграрная Группа», ООО «Сибирское Молоко», </w:t>
      </w:r>
      <w:r>
        <w:rPr>
          <w:bCs/>
          <w:sz w:val="24"/>
          <w:szCs w:val="24"/>
        </w:rPr>
        <w:lastRenderedPageBreak/>
        <w:t xml:space="preserve">ООО «Агрофирма «Межениновская», ООО «Трубачево», АО «Дубровское», СПК «Белосток», ООО «СПК «Межениновский» и других сельскохозяйственных производителей. </w:t>
      </w:r>
    </w:p>
    <w:p w:rsidR="007E27CB" w:rsidRDefault="008F141F">
      <w:pPr>
        <w:spacing w:after="0" w:line="240" w:lineRule="auto"/>
        <w:ind w:firstLine="567"/>
        <w:jc w:val="both"/>
        <w:rPr>
          <w:rFonts w:eastAsia="Times New Roman"/>
          <w:color w:val="000000"/>
          <w:sz w:val="24"/>
          <w:szCs w:val="24"/>
          <w:lang w:eastAsia="ru-RU"/>
        </w:rPr>
      </w:pPr>
      <w:r>
        <w:rPr>
          <w:sz w:val="24"/>
          <w:szCs w:val="24"/>
        </w:rPr>
        <w:t>В сфере д</w:t>
      </w:r>
      <w:r>
        <w:rPr>
          <w:bCs/>
          <w:sz w:val="24"/>
          <w:szCs w:val="24"/>
        </w:rPr>
        <w:t xml:space="preserve">обычи прочих полезных ископаемых увеличение объема инвестиций (в 5,3 раза) </w:t>
      </w:r>
      <w:r>
        <w:rPr>
          <w:sz w:val="24"/>
          <w:szCs w:val="24"/>
        </w:rPr>
        <w:t xml:space="preserve">произошло преимущественно за счет реализации проекта по разработке </w:t>
      </w:r>
      <w:r>
        <w:rPr>
          <w:color w:val="000000"/>
          <w:sz w:val="24"/>
          <w:szCs w:val="24"/>
          <w:shd w:val="clear" w:color="auto" w:fill="FFFFFF"/>
        </w:rPr>
        <w:t xml:space="preserve">Туганского ильменит-циркониевого месторождения </w:t>
      </w:r>
      <w:r>
        <w:rPr>
          <w:sz w:val="24"/>
          <w:szCs w:val="24"/>
        </w:rPr>
        <w:t>АО «ТГОК «Ильменит»</w:t>
      </w:r>
      <w:r>
        <w:rPr>
          <w:bCs/>
          <w:sz w:val="24"/>
          <w:szCs w:val="24"/>
        </w:rPr>
        <w:t>.</w:t>
      </w:r>
    </w:p>
    <w:p w:rsidR="007E27CB" w:rsidRDefault="008F141F">
      <w:pPr>
        <w:tabs>
          <w:tab w:val="left" w:pos="1134"/>
        </w:tabs>
        <w:spacing w:after="0" w:line="240" w:lineRule="auto"/>
        <w:ind w:firstLine="567"/>
        <w:jc w:val="both"/>
        <w:rPr>
          <w:bCs/>
          <w:sz w:val="24"/>
          <w:szCs w:val="24"/>
        </w:rPr>
      </w:pPr>
      <w:r>
        <w:rPr>
          <w:rFonts w:eastAsia="Times New Roman"/>
          <w:sz w:val="24"/>
          <w:szCs w:val="24"/>
          <w:lang w:eastAsia="ru-RU"/>
        </w:rPr>
        <w:t xml:space="preserve">В лесном хозяйстве рост инвестиционных вложений (ИФО – 187,3%) обеспечила деятельность </w:t>
      </w:r>
      <w:r>
        <w:rPr>
          <w:bCs/>
          <w:sz w:val="24"/>
          <w:szCs w:val="24"/>
        </w:rPr>
        <w:t>ООО «Хенда - Сибирь», ООО «Сибирьлес» и ООО «Лесэкспорт».</w:t>
      </w:r>
    </w:p>
    <w:p w:rsidR="007E27CB" w:rsidRDefault="008F141F">
      <w:pPr>
        <w:tabs>
          <w:tab w:val="left" w:pos="1134"/>
        </w:tabs>
        <w:spacing w:after="0" w:line="240" w:lineRule="auto"/>
        <w:ind w:firstLine="567"/>
        <w:jc w:val="both"/>
        <w:rPr>
          <w:bCs/>
          <w:sz w:val="24"/>
          <w:szCs w:val="24"/>
        </w:rPr>
      </w:pPr>
      <w:r>
        <w:rPr>
          <w:bCs/>
          <w:sz w:val="24"/>
          <w:szCs w:val="24"/>
        </w:rPr>
        <w:t xml:space="preserve">В деятельности по </w:t>
      </w:r>
      <w:r>
        <w:rPr>
          <w:rFonts w:eastAsia="Times New Roman"/>
          <w:color w:val="000000"/>
          <w:sz w:val="24"/>
          <w:szCs w:val="24"/>
          <w:lang w:eastAsia="ru-RU"/>
        </w:rPr>
        <w:t>обеспечению электрической энергией, газом и паром положительная динамика объема инвестиций (ИФО – 150,1%) сформировалась в результате реализации инвестиционных программ</w:t>
      </w:r>
      <w:r>
        <w:rPr>
          <w:bCs/>
          <w:sz w:val="24"/>
          <w:szCs w:val="24"/>
        </w:rPr>
        <w:t xml:space="preserve"> АО «ТомскРТС», АО «Томская генерация», ООО «Горсети», ПАО «ТРК» и ООО «Газпром Газораспределение Томск». </w:t>
      </w:r>
    </w:p>
    <w:p w:rsidR="007E27CB" w:rsidRDefault="008F141F">
      <w:pPr>
        <w:tabs>
          <w:tab w:val="left" w:pos="1134"/>
        </w:tabs>
        <w:spacing w:after="0" w:line="240" w:lineRule="auto"/>
        <w:ind w:firstLine="567"/>
        <w:jc w:val="both"/>
        <w:rPr>
          <w:bCs/>
          <w:sz w:val="24"/>
          <w:szCs w:val="24"/>
        </w:rPr>
      </w:pPr>
      <w:r>
        <w:rPr>
          <w:bCs/>
          <w:sz w:val="24"/>
          <w:szCs w:val="24"/>
        </w:rPr>
        <w:t xml:space="preserve">Инвестиционный рост в </w:t>
      </w:r>
      <w:r>
        <w:rPr>
          <w:sz w:val="24"/>
          <w:szCs w:val="24"/>
          <w:shd w:val="clear" w:color="auto" w:fill="FFFFFF"/>
        </w:rPr>
        <w:t>сфере телекоммуникаций (ИФО – 181,9%) обеспечило расширение присутствия в регионе операторов связи</w:t>
      </w:r>
      <w:r>
        <w:rPr>
          <w:color w:val="000000"/>
          <w:sz w:val="24"/>
          <w:szCs w:val="24"/>
          <w:shd w:val="clear" w:color="auto" w:fill="FFFFFF"/>
        </w:rPr>
        <w:t xml:space="preserve"> </w:t>
      </w:r>
      <w:r>
        <w:rPr>
          <w:bCs/>
          <w:sz w:val="24"/>
          <w:szCs w:val="24"/>
        </w:rPr>
        <w:t>ПАО «Ростелеком», ООО «Т2 МОБАЙЛ», ПАО «Мегафон», АО «Эр-Телеком Холдинг», ПАО «Мобильные Телесистемы».</w:t>
      </w:r>
    </w:p>
    <w:p w:rsidR="007E27CB" w:rsidRDefault="008F141F">
      <w:pPr>
        <w:tabs>
          <w:tab w:val="left" w:pos="1134"/>
        </w:tabs>
        <w:spacing w:after="0" w:line="240" w:lineRule="auto"/>
        <w:ind w:firstLine="567"/>
        <w:jc w:val="both"/>
        <w:rPr>
          <w:sz w:val="24"/>
          <w:szCs w:val="24"/>
        </w:rPr>
      </w:pPr>
      <w:r>
        <w:rPr>
          <w:sz w:val="24"/>
          <w:szCs w:val="24"/>
        </w:rPr>
        <w:t>В области здравоохранения увеличение объема инвестиций (ИФО – 182,7%) сформировалось за счет реализации крупных инвестиционных проектов по строительству хирургического корпуса, строительству центра позитронно-эмиссионной томографии, а также создания и оснащения референс-центров, переоснащения сети медицинских организаций, оказывающих помощь больным онкологическими заболеваниями.</w:t>
      </w:r>
    </w:p>
    <w:p w:rsidR="007E27CB" w:rsidRDefault="008F141F">
      <w:pPr>
        <w:tabs>
          <w:tab w:val="left" w:pos="1134"/>
        </w:tabs>
        <w:spacing w:after="0" w:line="240" w:lineRule="auto"/>
        <w:ind w:firstLine="567"/>
        <w:jc w:val="both"/>
        <w:rPr>
          <w:color w:val="000000"/>
          <w:sz w:val="24"/>
          <w:szCs w:val="24"/>
          <w:shd w:val="clear" w:color="auto" w:fill="FFFFFF"/>
        </w:rPr>
      </w:pPr>
      <w:r>
        <w:rPr>
          <w:bCs/>
          <w:sz w:val="24"/>
          <w:szCs w:val="24"/>
        </w:rPr>
        <w:t>Существенный рост инвестиций в д</w:t>
      </w:r>
      <w:r>
        <w:rPr>
          <w:rFonts w:eastAsia="Times New Roman"/>
          <w:color w:val="000000"/>
          <w:sz w:val="24"/>
          <w:szCs w:val="24"/>
          <w:lang w:eastAsia="ru-RU"/>
        </w:rPr>
        <w:t xml:space="preserve">еятельности по предоставлению мест для временного проживания </w:t>
      </w:r>
      <w:r>
        <w:rPr>
          <w:bCs/>
          <w:sz w:val="24"/>
          <w:szCs w:val="24"/>
        </w:rPr>
        <w:t xml:space="preserve">(в 34 раза) </w:t>
      </w:r>
      <w:r>
        <w:rPr>
          <w:rFonts w:eastAsia="Times New Roman"/>
          <w:color w:val="000000"/>
          <w:sz w:val="24"/>
          <w:szCs w:val="24"/>
          <w:lang w:eastAsia="ru-RU"/>
        </w:rPr>
        <w:t xml:space="preserve">сложился в результате </w:t>
      </w:r>
      <w:r>
        <w:rPr>
          <w:color w:val="000000"/>
          <w:sz w:val="24"/>
          <w:szCs w:val="24"/>
          <w:shd w:val="clear" w:color="auto" w:fill="FFFFFF"/>
        </w:rPr>
        <w:t>строительства общежитий Национального исследовательского Томского государственного университета.</w:t>
      </w:r>
    </w:p>
    <w:p w:rsidR="007E27CB" w:rsidRDefault="008F141F">
      <w:pPr>
        <w:tabs>
          <w:tab w:val="left" w:pos="1134"/>
        </w:tabs>
        <w:spacing w:after="0" w:line="240" w:lineRule="auto"/>
        <w:ind w:firstLine="567"/>
        <w:jc w:val="both"/>
        <w:rPr>
          <w:rFonts w:eastAsia="Times New Roman"/>
          <w:color w:val="000000"/>
          <w:sz w:val="24"/>
          <w:szCs w:val="24"/>
          <w:lang w:eastAsia="ru-RU"/>
        </w:rPr>
      </w:pPr>
      <w:r>
        <w:rPr>
          <w:sz w:val="24"/>
          <w:szCs w:val="24"/>
        </w:rPr>
        <w:t>В 2019 году на территории Томской области осуществлялась реализация более 100 инвестиционных проектов во всех базовых отраслях и сферах экономики региона, направленных на создание (модернизацию, расширение) производственных мощностей и инфраструктуры. З</w:t>
      </w:r>
      <w:r>
        <w:rPr>
          <w:rFonts w:eastAsia="Times New Roman"/>
          <w:color w:val="000000"/>
          <w:sz w:val="24"/>
          <w:szCs w:val="24"/>
          <w:lang w:eastAsia="ru-RU"/>
        </w:rPr>
        <w:t>авершена реализация следующих инвестиционных проектов:</w:t>
      </w:r>
    </w:p>
    <w:p w:rsidR="007E27CB" w:rsidRDefault="008F141F">
      <w:pPr>
        <w:pStyle w:val="a6"/>
        <w:widowControl w:val="0"/>
        <w:numPr>
          <w:ilvl w:val="0"/>
          <w:numId w:val="194"/>
        </w:numPr>
        <w:tabs>
          <w:tab w:val="left" w:pos="851"/>
        </w:tabs>
        <w:spacing w:after="0" w:line="240" w:lineRule="auto"/>
        <w:ind w:left="0" w:firstLine="56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строительство производственного комплекса по приемке, хранению и переработке масличных и зерновых культур (ООО </w:t>
      </w:r>
      <w:r>
        <w:rPr>
          <w:rFonts w:ascii="Times New Roman" w:eastAsia="Times New Roman" w:hAnsi="Times New Roman"/>
          <w:color w:val="000000"/>
          <w:sz w:val="24"/>
          <w:szCs w:val="24"/>
          <w:bdr w:val="none" w:sz="0" w:space="0" w:color="auto" w:frame="1"/>
          <w:lang w:eastAsia="ru-RU"/>
        </w:rPr>
        <w:t>«</w:t>
      </w:r>
      <w:r>
        <w:rPr>
          <w:rFonts w:ascii="Times New Roman" w:eastAsia="Times New Roman" w:hAnsi="Times New Roman"/>
          <w:color w:val="000000"/>
          <w:sz w:val="24"/>
          <w:szCs w:val="24"/>
          <w:lang w:eastAsia="ru-RU"/>
        </w:rPr>
        <w:t>Сибирская олива</w:t>
      </w:r>
      <w:r>
        <w:rPr>
          <w:rFonts w:ascii="Times New Roman" w:eastAsia="Times New Roman" w:hAnsi="Times New Roman"/>
          <w:color w:val="000000"/>
          <w:sz w:val="24"/>
          <w:szCs w:val="24"/>
          <w:bdr w:val="none" w:sz="0" w:space="0" w:color="auto" w:frame="1"/>
          <w:lang w:eastAsia="ru-RU"/>
        </w:rPr>
        <w:t>»</w:t>
      </w:r>
      <w:r>
        <w:rPr>
          <w:rFonts w:ascii="Times New Roman" w:eastAsia="Times New Roman" w:hAnsi="Times New Roman"/>
          <w:color w:val="000000"/>
          <w:sz w:val="24"/>
          <w:szCs w:val="24"/>
          <w:lang w:eastAsia="ru-RU"/>
        </w:rPr>
        <w:t>);</w:t>
      </w:r>
    </w:p>
    <w:p w:rsidR="007E27CB" w:rsidRDefault="008F141F">
      <w:pPr>
        <w:pStyle w:val="a6"/>
        <w:widowControl w:val="0"/>
        <w:numPr>
          <w:ilvl w:val="0"/>
          <w:numId w:val="194"/>
        </w:numPr>
        <w:tabs>
          <w:tab w:val="left" w:pos="851"/>
        </w:tabs>
        <w:spacing w:after="0" w:line="240" w:lineRule="auto"/>
        <w:ind w:left="0" w:firstLine="567"/>
        <w:jc w:val="both"/>
        <w:rPr>
          <w:rFonts w:ascii="Times New Roman" w:eastAsia="Times New Roman" w:hAnsi="Times New Roman"/>
          <w:color w:val="000000"/>
          <w:sz w:val="24"/>
          <w:szCs w:val="24"/>
          <w:bdr w:val="none" w:sz="0" w:space="0" w:color="auto" w:frame="1"/>
          <w:lang w:eastAsia="ru-RU"/>
        </w:rPr>
      </w:pPr>
      <w:r>
        <w:rPr>
          <w:rFonts w:ascii="Times New Roman" w:eastAsia="Times New Roman" w:hAnsi="Times New Roman"/>
          <w:color w:val="000000"/>
          <w:sz w:val="24"/>
          <w:szCs w:val="24"/>
          <w:lang w:eastAsia="ru-RU"/>
        </w:rPr>
        <w:t xml:space="preserve">создание производства светодиодных ламп нового поколения (ООО </w:t>
      </w:r>
      <w:r>
        <w:rPr>
          <w:rFonts w:ascii="Times New Roman" w:eastAsia="Times New Roman" w:hAnsi="Times New Roman"/>
          <w:color w:val="000000"/>
          <w:sz w:val="24"/>
          <w:szCs w:val="24"/>
          <w:bdr w:val="none" w:sz="0" w:space="0" w:color="auto" w:frame="1"/>
          <w:lang w:eastAsia="ru-RU"/>
        </w:rPr>
        <w:t>«</w:t>
      </w:r>
      <w:r>
        <w:rPr>
          <w:rFonts w:ascii="Times New Roman" w:eastAsia="Times New Roman" w:hAnsi="Times New Roman"/>
          <w:color w:val="000000"/>
          <w:sz w:val="24"/>
          <w:szCs w:val="24"/>
          <w:lang w:eastAsia="ru-RU"/>
        </w:rPr>
        <w:t>Свет 21 Века. Томский Завод Светотехники</w:t>
      </w:r>
      <w:r>
        <w:rPr>
          <w:rFonts w:ascii="Times New Roman" w:eastAsia="Times New Roman" w:hAnsi="Times New Roman"/>
          <w:color w:val="000000"/>
          <w:sz w:val="24"/>
          <w:szCs w:val="24"/>
          <w:bdr w:val="none" w:sz="0" w:space="0" w:color="auto" w:frame="1"/>
          <w:lang w:eastAsia="ru-RU"/>
        </w:rPr>
        <w:t>»);</w:t>
      </w:r>
    </w:p>
    <w:p w:rsidR="007E27CB" w:rsidRDefault="008F141F">
      <w:pPr>
        <w:pStyle w:val="a6"/>
        <w:widowControl w:val="0"/>
        <w:numPr>
          <w:ilvl w:val="0"/>
          <w:numId w:val="194"/>
        </w:numPr>
        <w:tabs>
          <w:tab w:val="left" w:pos="851"/>
        </w:tabs>
        <w:spacing w:after="0" w:line="240" w:lineRule="auto"/>
        <w:ind w:left="0" w:firstLine="567"/>
        <w:jc w:val="both"/>
        <w:rPr>
          <w:rFonts w:ascii="Times New Roman" w:eastAsia="Times New Roman" w:hAnsi="Times New Roman"/>
          <w:color w:val="000000"/>
          <w:sz w:val="24"/>
          <w:szCs w:val="24"/>
          <w:bdr w:val="none" w:sz="0" w:space="0" w:color="auto" w:frame="1"/>
          <w:lang w:eastAsia="ru-RU"/>
        </w:rPr>
      </w:pPr>
      <w:r>
        <w:rPr>
          <w:rFonts w:ascii="Times New Roman" w:eastAsia="Times New Roman" w:hAnsi="Times New Roman"/>
          <w:color w:val="000000"/>
          <w:sz w:val="24"/>
          <w:szCs w:val="24"/>
          <w:bdr w:val="none" w:sz="0" w:space="0" w:color="auto" w:frame="1"/>
          <w:lang w:eastAsia="ru-RU"/>
        </w:rPr>
        <w:t xml:space="preserve">создание газотранспортной системы Урмано-Арчинской группы месторождений </w:t>
      </w:r>
      <w:r>
        <w:rPr>
          <w:rFonts w:ascii="Times New Roman" w:eastAsia="Times New Roman" w:hAnsi="Times New Roman"/>
          <w:color w:val="000000"/>
          <w:sz w:val="24"/>
          <w:szCs w:val="24"/>
          <w:bdr w:val="none" w:sz="0" w:space="0" w:color="auto" w:frame="1"/>
          <w:lang w:eastAsia="ru-RU"/>
        </w:rPr>
        <w:br/>
        <w:t>и Южно-Пудинского лицензионного участка (ООО «Газпромнефть-Восток»);</w:t>
      </w:r>
    </w:p>
    <w:p w:rsidR="007E27CB" w:rsidRDefault="008F141F">
      <w:pPr>
        <w:pStyle w:val="a6"/>
        <w:widowControl w:val="0"/>
        <w:numPr>
          <w:ilvl w:val="0"/>
          <w:numId w:val="194"/>
        </w:numPr>
        <w:tabs>
          <w:tab w:val="left" w:pos="851"/>
        </w:tabs>
        <w:spacing w:after="0" w:line="240" w:lineRule="auto"/>
        <w:ind w:left="0" w:firstLine="56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bdr w:val="none" w:sz="0" w:space="0" w:color="auto" w:frame="1"/>
          <w:lang w:eastAsia="ru-RU"/>
        </w:rPr>
        <w:t>с</w:t>
      </w:r>
      <w:r>
        <w:rPr>
          <w:rFonts w:ascii="Times New Roman" w:eastAsia="Times New Roman" w:hAnsi="Times New Roman"/>
          <w:color w:val="000000"/>
          <w:sz w:val="24"/>
          <w:szCs w:val="24"/>
          <w:lang w:eastAsia="ru-RU"/>
        </w:rPr>
        <w:t>троительство нового рыбоконсервного завода в Александровском районе (ООО </w:t>
      </w:r>
      <w:r>
        <w:rPr>
          <w:rFonts w:ascii="Times New Roman" w:eastAsia="Times New Roman" w:hAnsi="Times New Roman"/>
          <w:color w:val="000000"/>
          <w:sz w:val="24"/>
          <w:szCs w:val="24"/>
          <w:bdr w:val="none" w:sz="0" w:space="0" w:color="auto" w:frame="1"/>
          <w:lang w:eastAsia="ru-RU"/>
        </w:rPr>
        <w:t>«</w:t>
      </w:r>
      <w:r>
        <w:rPr>
          <w:rFonts w:ascii="Times New Roman" w:eastAsia="Times New Roman" w:hAnsi="Times New Roman"/>
          <w:color w:val="000000"/>
          <w:sz w:val="24"/>
          <w:szCs w:val="24"/>
          <w:lang w:eastAsia="ru-RU"/>
        </w:rPr>
        <w:t>Ковчег</w:t>
      </w:r>
      <w:r>
        <w:rPr>
          <w:rFonts w:ascii="Times New Roman" w:eastAsia="Times New Roman" w:hAnsi="Times New Roman"/>
          <w:color w:val="000000"/>
          <w:sz w:val="24"/>
          <w:szCs w:val="24"/>
          <w:bdr w:val="none" w:sz="0" w:space="0" w:color="auto" w:frame="1"/>
          <w:lang w:eastAsia="ru-RU"/>
        </w:rPr>
        <w:t>»</w:t>
      </w:r>
      <w:r>
        <w:rPr>
          <w:rFonts w:ascii="Times New Roman" w:eastAsia="Times New Roman" w:hAnsi="Times New Roman"/>
          <w:color w:val="000000"/>
          <w:sz w:val="24"/>
          <w:szCs w:val="24"/>
          <w:lang w:eastAsia="ru-RU"/>
        </w:rPr>
        <w:t xml:space="preserve">); </w:t>
      </w:r>
    </w:p>
    <w:p w:rsidR="007E27CB" w:rsidRDefault="008F141F">
      <w:pPr>
        <w:pStyle w:val="a6"/>
        <w:widowControl w:val="0"/>
        <w:numPr>
          <w:ilvl w:val="0"/>
          <w:numId w:val="194"/>
        </w:numPr>
        <w:tabs>
          <w:tab w:val="left" w:pos="851"/>
        </w:tabs>
        <w:spacing w:after="0" w:line="240" w:lineRule="auto"/>
        <w:ind w:left="0" w:firstLine="56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увеличение производства молока и мяса КРС, утилизация биологических отходов, производство экструдированных кормов (АО </w:t>
      </w:r>
      <w:r>
        <w:rPr>
          <w:rFonts w:ascii="Times New Roman" w:eastAsia="Times New Roman" w:hAnsi="Times New Roman"/>
          <w:color w:val="000000"/>
          <w:sz w:val="24"/>
          <w:szCs w:val="24"/>
          <w:bdr w:val="none" w:sz="0" w:space="0" w:color="auto" w:frame="1"/>
          <w:lang w:eastAsia="ru-RU"/>
        </w:rPr>
        <w:t>«</w:t>
      </w:r>
      <w:r>
        <w:rPr>
          <w:rFonts w:ascii="Times New Roman" w:eastAsia="Times New Roman" w:hAnsi="Times New Roman"/>
          <w:color w:val="000000"/>
          <w:sz w:val="24"/>
          <w:szCs w:val="24"/>
          <w:lang w:eastAsia="ru-RU"/>
        </w:rPr>
        <w:t>Дубровское</w:t>
      </w:r>
      <w:r>
        <w:rPr>
          <w:rFonts w:ascii="Times New Roman" w:eastAsia="Times New Roman" w:hAnsi="Times New Roman"/>
          <w:color w:val="000000"/>
          <w:sz w:val="24"/>
          <w:szCs w:val="24"/>
          <w:bdr w:val="none" w:sz="0" w:space="0" w:color="auto" w:frame="1"/>
          <w:lang w:eastAsia="ru-RU"/>
        </w:rPr>
        <w:t>»</w:t>
      </w:r>
      <w:r>
        <w:rPr>
          <w:rFonts w:ascii="Times New Roman" w:eastAsia="Times New Roman" w:hAnsi="Times New Roman"/>
          <w:color w:val="000000"/>
          <w:sz w:val="24"/>
          <w:szCs w:val="24"/>
          <w:lang w:eastAsia="ru-RU"/>
        </w:rPr>
        <w:t>).</w:t>
      </w:r>
    </w:p>
    <w:p w:rsidR="007E27CB" w:rsidRDefault="008F141F">
      <w:pPr>
        <w:autoSpaceDE w:val="0"/>
        <w:autoSpaceDN w:val="0"/>
        <w:adjustRightInd w:val="0"/>
        <w:spacing w:after="0" w:line="240" w:lineRule="auto"/>
        <w:ind w:firstLine="567"/>
        <w:contextualSpacing/>
        <w:jc w:val="both"/>
        <w:rPr>
          <w:sz w:val="24"/>
          <w:szCs w:val="24"/>
        </w:rPr>
      </w:pPr>
      <w:r>
        <w:rPr>
          <w:sz w:val="24"/>
          <w:szCs w:val="24"/>
        </w:rPr>
        <w:t>Интегральный индекс Томской области в Национальном рейтинге (далее по     разделу – Рейтинг) состояния инвестиционного климата в субъектах Российской Федерации 2019 года увеличился на 6 баллов и составил 261,1 балла, регион занял 34-е место из 85 субъектов Российской Федерации.</w:t>
      </w:r>
    </w:p>
    <w:p w:rsidR="007E27CB" w:rsidRDefault="008F141F">
      <w:pPr>
        <w:autoSpaceDE w:val="0"/>
        <w:autoSpaceDN w:val="0"/>
        <w:adjustRightInd w:val="0"/>
        <w:spacing w:after="0" w:line="240" w:lineRule="auto"/>
        <w:ind w:firstLine="567"/>
        <w:contextualSpacing/>
        <w:jc w:val="both"/>
        <w:rPr>
          <w:sz w:val="24"/>
          <w:szCs w:val="24"/>
        </w:rPr>
      </w:pPr>
      <w:r>
        <w:rPr>
          <w:sz w:val="24"/>
          <w:szCs w:val="24"/>
        </w:rPr>
        <w:t>В результате системной работы региональных органов власти по совершенствованию организационных механизмов поддержки бизнеса и повышению качества работы с инвестором высокую оценку в Рейтинге получила деятельность органов власти по направлению «Институты для бизнеса». В частности, в первую группу Рейтинга отнесены качество регионального инвестиционного законодательства, деятельность Совета по улучшению инвестиционного климата в Томской области, качество Инвестиционного портала Томской области, работа канала прямой связи инвесторов с руководством региона, а также деятельность специализированной организации по работе с инвесторами.</w:t>
      </w:r>
    </w:p>
    <w:p w:rsidR="007E27CB" w:rsidRDefault="008F141F">
      <w:pPr>
        <w:autoSpaceDE w:val="0"/>
        <w:autoSpaceDN w:val="0"/>
        <w:adjustRightInd w:val="0"/>
        <w:spacing w:after="0" w:line="240" w:lineRule="auto"/>
        <w:ind w:firstLine="567"/>
        <w:contextualSpacing/>
        <w:jc w:val="both"/>
        <w:rPr>
          <w:sz w:val="24"/>
          <w:szCs w:val="24"/>
        </w:rPr>
      </w:pPr>
      <w:r>
        <w:rPr>
          <w:sz w:val="24"/>
          <w:szCs w:val="24"/>
        </w:rPr>
        <w:lastRenderedPageBreak/>
        <w:t xml:space="preserve">Регион сохранил высокие позиции по направлениям: качество и доступность инфраструктуры для бизнеса; регистрация юридических лиц; подключение к электроэнергии; качество и доступность трудовых ресурсов и другим. </w:t>
      </w:r>
    </w:p>
    <w:p w:rsidR="007E27CB" w:rsidRDefault="008F141F">
      <w:pPr>
        <w:widowControl w:val="0"/>
        <w:tabs>
          <w:tab w:val="left" w:pos="4962"/>
        </w:tabs>
        <w:spacing w:after="0" w:line="240" w:lineRule="auto"/>
        <w:ind w:firstLine="567"/>
        <w:contextualSpacing/>
        <w:jc w:val="both"/>
        <w:rPr>
          <w:b/>
          <w:sz w:val="24"/>
          <w:szCs w:val="24"/>
        </w:rPr>
      </w:pPr>
      <w:r>
        <w:rPr>
          <w:b/>
          <w:sz w:val="24"/>
          <w:szCs w:val="24"/>
        </w:rPr>
        <w:t>Осуществлен комплекс мер по улучшению инвестиционного климата:</w:t>
      </w:r>
    </w:p>
    <w:p w:rsidR="007E27CB" w:rsidRDefault="008F141F">
      <w:pPr>
        <w:widowControl w:val="0"/>
        <w:tabs>
          <w:tab w:val="left" w:pos="4962"/>
        </w:tabs>
        <w:spacing w:after="0" w:line="240" w:lineRule="auto"/>
        <w:ind w:firstLine="567"/>
        <w:contextualSpacing/>
        <w:jc w:val="both"/>
        <w:rPr>
          <w:sz w:val="24"/>
          <w:szCs w:val="24"/>
        </w:rPr>
      </w:pPr>
      <w:r>
        <w:rPr>
          <w:sz w:val="24"/>
          <w:szCs w:val="24"/>
        </w:rPr>
        <w:t>Обеспечена реализация плана мероприятий («дорожной карты») «Внедрение в Томской области целевых моделей упрощения процедур ведения бизнеса и повышения инвестиционной привлекательности субъектов Российской Федерации» (утвержден распоряжением Администрации Томской области от 01.03.2017 № 121-ра).</w:t>
      </w:r>
    </w:p>
    <w:p w:rsidR="007E27CB" w:rsidRDefault="008F141F">
      <w:pPr>
        <w:widowControl w:val="0"/>
        <w:tabs>
          <w:tab w:val="left" w:pos="4962"/>
        </w:tabs>
        <w:spacing w:after="0" w:line="240" w:lineRule="auto"/>
        <w:ind w:firstLine="567"/>
        <w:contextualSpacing/>
        <w:jc w:val="both"/>
        <w:rPr>
          <w:sz w:val="24"/>
          <w:szCs w:val="24"/>
        </w:rPr>
      </w:pPr>
      <w:r>
        <w:rPr>
          <w:sz w:val="24"/>
          <w:szCs w:val="24"/>
        </w:rPr>
        <w:t>По итогам 2019 года средний процент достигнутых показателей по всем целевым моделям в Томской области составил 91%, что соответствует среднероссийскому уровню.</w:t>
      </w:r>
    </w:p>
    <w:p w:rsidR="007E27CB" w:rsidRDefault="008F141F">
      <w:pPr>
        <w:tabs>
          <w:tab w:val="left" w:pos="4962"/>
        </w:tabs>
        <w:autoSpaceDE w:val="0"/>
        <w:autoSpaceDN w:val="0"/>
        <w:adjustRightInd w:val="0"/>
        <w:spacing w:after="0" w:line="240" w:lineRule="auto"/>
        <w:ind w:firstLine="567"/>
        <w:jc w:val="both"/>
        <w:rPr>
          <w:sz w:val="24"/>
          <w:szCs w:val="24"/>
        </w:rPr>
      </w:pPr>
      <w:r>
        <w:rPr>
          <w:sz w:val="24"/>
          <w:szCs w:val="24"/>
        </w:rPr>
        <w:t xml:space="preserve">Полностью внедрены 2 из 8 целевых моделей: подключение к сетям газораспределения, осуществление контрольно-надзорной деятельности. </w:t>
      </w:r>
    </w:p>
    <w:p w:rsidR="007E27CB" w:rsidRDefault="008F141F">
      <w:pPr>
        <w:tabs>
          <w:tab w:val="left" w:pos="4962"/>
        </w:tabs>
        <w:spacing w:after="0" w:line="240" w:lineRule="auto"/>
        <w:ind w:firstLine="567"/>
        <w:jc w:val="both"/>
        <w:rPr>
          <w:sz w:val="24"/>
          <w:szCs w:val="24"/>
        </w:rPr>
      </w:pPr>
      <w:r>
        <w:rPr>
          <w:sz w:val="24"/>
          <w:szCs w:val="24"/>
        </w:rPr>
        <w:t>В результате проделанной работы по внедрению целевых моделей с 2017 года достигнуты следующие позитивные результаты:</w:t>
      </w:r>
    </w:p>
    <w:p w:rsidR="007E27CB" w:rsidRDefault="008F141F">
      <w:pPr>
        <w:tabs>
          <w:tab w:val="left" w:pos="993"/>
        </w:tabs>
        <w:spacing w:after="0" w:line="240" w:lineRule="auto"/>
        <w:ind w:firstLine="567"/>
        <w:jc w:val="both"/>
        <w:rPr>
          <w:sz w:val="24"/>
          <w:szCs w:val="24"/>
        </w:rPr>
      </w:pPr>
      <w:r>
        <w:rPr>
          <w:sz w:val="24"/>
          <w:szCs w:val="24"/>
        </w:rPr>
        <w:t>1) сокращены сроки:</w:t>
      </w:r>
    </w:p>
    <w:p w:rsidR="007E27CB" w:rsidRDefault="008F141F">
      <w:pPr>
        <w:pStyle w:val="a6"/>
        <w:numPr>
          <w:ilvl w:val="0"/>
          <w:numId w:val="195"/>
        </w:numPr>
        <w:tabs>
          <w:tab w:val="left" w:pos="993"/>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регистрации предприятий </w:t>
      </w:r>
      <w:r>
        <w:rPr>
          <w:sz w:val="24"/>
          <w:szCs w:val="24"/>
        </w:rPr>
        <w:t xml:space="preserve">– </w:t>
      </w:r>
      <w:r>
        <w:rPr>
          <w:rFonts w:ascii="Times New Roman" w:hAnsi="Times New Roman"/>
          <w:sz w:val="24"/>
          <w:szCs w:val="24"/>
        </w:rPr>
        <w:t xml:space="preserve">с 9 до 3 дней; </w:t>
      </w:r>
    </w:p>
    <w:p w:rsidR="007E27CB" w:rsidRDefault="008F141F">
      <w:pPr>
        <w:pStyle w:val="a6"/>
        <w:numPr>
          <w:ilvl w:val="0"/>
          <w:numId w:val="195"/>
        </w:numPr>
        <w:tabs>
          <w:tab w:val="left" w:pos="993"/>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регистрации прав собственности – с 8 до 5 дней; </w:t>
      </w:r>
    </w:p>
    <w:p w:rsidR="007E27CB" w:rsidRDefault="008F141F">
      <w:pPr>
        <w:pStyle w:val="a6"/>
        <w:numPr>
          <w:ilvl w:val="0"/>
          <w:numId w:val="195"/>
        </w:numPr>
        <w:tabs>
          <w:tab w:val="left" w:pos="993"/>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постановки земельных участков на кадастровый учет </w:t>
      </w:r>
      <w:r>
        <w:rPr>
          <w:sz w:val="24"/>
          <w:szCs w:val="24"/>
        </w:rPr>
        <w:t>–</w:t>
      </w:r>
      <w:r>
        <w:rPr>
          <w:rFonts w:ascii="Times New Roman" w:hAnsi="Times New Roman"/>
          <w:sz w:val="24"/>
          <w:szCs w:val="24"/>
        </w:rPr>
        <w:t xml:space="preserve"> с 44 до 36 дней;</w:t>
      </w:r>
    </w:p>
    <w:p w:rsidR="007E27CB" w:rsidRDefault="008F141F">
      <w:pPr>
        <w:pStyle w:val="a6"/>
        <w:numPr>
          <w:ilvl w:val="0"/>
          <w:numId w:val="195"/>
        </w:numPr>
        <w:tabs>
          <w:tab w:val="left" w:pos="993"/>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подключения к электросетям – с 98 до 77 дней; </w:t>
      </w:r>
    </w:p>
    <w:p w:rsidR="007E27CB" w:rsidRDefault="008F141F">
      <w:pPr>
        <w:pStyle w:val="a6"/>
        <w:numPr>
          <w:ilvl w:val="0"/>
          <w:numId w:val="195"/>
        </w:numPr>
        <w:tabs>
          <w:tab w:val="left" w:pos="993"/>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подключения к сетям водоснабжения и водоотведения – с 90 до 47 дней; </w:t>
      </w:r>
    </w:p>
    <w:p w:rsidR="007E27CB" w:rsidRDefault="008F141F">
      <w:pPr>
        <w:pStyle w:val="a6"/>
        <w:numPr>
          <w:ilvl w:val="0"/>
          <w:numId w:val="195"/>
        </w:numPr>
        <w:tabs>
          <w:tab w:val="left" w:pos="993"/>
        </w:tabs>
        <w:spacing w:after="0" w:line="240" w:lineRule="auto"/>
        <w:ind w:left="0" w:firstLine="567"/>
        <w:jc w:val="both"/>
        <w:rPr>
          <w:rFonts w:ascii="Times New Roman" w:hAnsi="Times New Roman"/>
          <w:sz w:val="24"/>
          <w:szCs w:val="24"/>
        </w:rPr>
      </w:pPr>
      <w:r>
        <w:rPr>
          <w:rFonts w:ascii="Times New Roman" w:hAnsi="Times New Roman"/>
          <w:sz w:val="24"/>
          <w:szCs w:val="24"/>
        </w:rPr>
        <w:t>получения разрешения на строительство – с 118 до 89 дней;</w:t>
      </w:r>
    </w:p>
    <w:p w:rsidR="007E27CB" w:rsidRDefault="008F141F">
      <w:pPr>
        <w:pStyle w:val="a6"/>
        <w:numPr>
          <w:ilvl w:val="0"/>
          <w:numId w:val="197"/>
        </w:numPr>
        <w:tabs>
          <w:tab w:val="left" w:pos="993"/>
        </w:tabs>
        <w:spacing w:after="0" w:line="240" w:lineRule="auto"/>
        <w:ind w:left="0" w:firstLine="567"/>
        <w:jc w:val="both"/>
        <w:rPr>
          <w:rFonts w:ascii="Times New Roman" w:hAnsi="Times New Roman"/>
          <w:sz w:val="24"/>
          <w:szCs w:val="24"/>
        </w:rPr>
      </w:pPr>
      <w:r>
        <w:rPr>
          <w:rFonts w:ascii="Times New Roman" w:hAnsi="Times New Roman"/>
          <w:sz w:val="24"/>
          <w:szCs w:val="24"/>
        </w:rPr>
        <w:t>повысилась доля услуг для бизнеса, оказываемых в электронном виде и через МФЦ, а также улучшилось качество предоставления услуг и качество консультационной помощи;</w:t>
      </w:r>
    </w:p>
    <w:p w:rsidR="007E27CB" w:rsidRDefault="008F141F">
      <w:pPr>
        <w:pStyle w:val="a6"/>
        <w:numPr>
          <w:ilvl w:val="0"/>
          <w:numId w:val="197"/>
        </w:numPr>
        <w:tabs>
          <w:tab w:val="left" w:pos="993"/>
        </w:tabs>
        <w:spacing w:after="0" w:line="240" w:lineRule="auto"/>
        <w:ind w:left="0" w:firstLine="567"/>
        <w:jc w:val="both"/>
        <w:rPr>
          <w:rFonts w:ascii="Times New Roman" w:hAnsi="Times New Roman"/>
          <w:sz w:val="24"/>
          <w:szCs w:val="24"/>
        </w:rPr>
      </w:pPr>
      <w:r>
        <w:rPr>
          <w:rFonts w:ascii="Times New Roman" w:hAnsi="Times New Roman"/>
          <w:sz w:val="24"/>
          <w:szCs w:val="24"/>
        </w:rPr>
        <w:t>применены методы оценки рисков в деятельности контрольно-надзорных органов в целях снижения общей административной нагрузки на субъекты предпринимательской деятельности. Утвержден перечень из 8 видов регионального государственного контроля (надзора), в отношении которых применяется                      риск-ориентированный подход на территории Томской области.</w:t>
      </w:r>
    </w:p>
    <w:p w:rsidR="007E27CB" w:rsidRDefault="008F141F">
      <w:pPr>
        <w:widowControl w:val="0"/>
        <w:tabs>
          <w:tab w:val="left" w:pos="4962"/>
        </w:tabs>
        <w:spacing w:after="0" w:line="240" w:lineRule="auto"/>
        <w:ind w:firstLine="567"/>
        <w:contextualSpacing/>
        <w:jc w:val="both"/>
        <w:rPr>
          <w:b/>
          <w:sz w:val="24"/>
          <w:szCs w:val="24"/>
        </w:rPr>
      </w:pPr>
      <w:r>
        <w:rPr>
          <w:b/>
          <w:sz w:val="24"/>
          <w:szCs w:val="24"/>
        </w:rPr>
        <w:t>Расширены меры стимулирования инвестиционной деятельности:</w:t>
      </w:r>
    </w:p>
    <w:p w:rsidR="007E27CB" w:rsidRDefault="008F141F">
      <w:pPr>
        <w:pStyle w:val="a6"/>
        <w:numPr>
          <w:ilvl w:val="0"/>
          <w:numId w:val="196"/>
        </w:numPr>
        <w:tabs>
          <w:tab w:val="left" w:pos="709"/>
        </w:tabs>
        <w:autoSpaceDE w:val="0"/>
        <w:autoSpaceDN w:val="0"/>
        <w:adjustRightInd w:val="0"/>
        <w:spacing w:after="0" w:line="240" w:lineRule="auto"/>
        <w:ind w:left="-142" w:firstLine="567"/>
        <w:jc w:val="both"/>
        <w:rPr>
          <w:rFonts w:ascii="Times New Roman" w:hAnsi="Times New Roman"/>
          <w:sz w:val="24"/>
          <w:szCs w:val="24"/>
        </w:rPr>
      </w:pPr>
      <w:r>
        <w:rPr>
          <w:rFonts w:ascii="Times New Roman" w:hAnsi="Times New Roman"/>
          <w:sz w:val="24"/>
          <w:szCs w:val="24"/>
        </w:rPr>
        <w:t>принят Закон Томской области от 11.12.2019 № 132-ОЗ «О регулировании отдельных вопросов реализации региональных инвестиционных проектов в Томской области», устанавливающий порядок принятия решения о включении или об отказе во включении организации в реестр участников региональных инвестиционных проектов, а также порядок и условия принятия решения о внесении изменений в указанный реестр, не связанных с прекращением статуса участника регионального инвестиционного проекта;</w:t>
      </w:r>
    </w:p>
    <w:p w:rsidR="007E27CB" w:rsidRDefault="008F141F">
      <w:pPr>
        <w:pStyle w:val="a6"/>
        <w:widowControl w:val="0"/>
        <w:numPr>
          <w:ilvl w:val="0"/>
          <w:numId w:val="196"/>
        </w:numPr>
        <w:tabs>
          <w:tab w:val="left" w:pos="709"/>
        </w:tabs>
        <w:spacing w:after="0" w:line="240" w:lineRule="auto"/>
        <w:ind w:left="-142" w:firstLine="567"/>
        <w:jc w:val="both"/>
        <w:rPr>
          <w:rFonts w:ascii="Times New Roman" w:hAnsi="Times New Roman"/>
          <w:sz w:val="24"/>
          <w:szCs w:val="24"/>
        </w:rPr>
      </w:pPr>
      <w:r>
        <w:rPr>
          <w:rFonts w:ascii="Times New Roman" w:hAnsi="Times New Roman"/>
          <w:sz w:val="24"/>
          <w:szCs w:val="24"/>
        </w:rPr>
        <w:t xml:space="preserve">принят Закон Томской области от 11.12.2019 № 136-ОЗ «Об установлении пониженной налоговой ставки налога на прибыль организаций, подлежащего зачислению в областной бюджет, для налогоплательщиков </w:t>
      </w:r>
      <w:r>
        <w:rPr>
          <w:sz w:val="24"/>
          <w:szCs w:val="24"/>
        </w:rPr>
        <w:t>–</w:t>
      </w:r>
      <w:r>
        <w:rPr>
          <w:rFonts w:ascii="Times New Roman" w:hAnsi="Times New Roman"/>
          <w:sz w:val="24"/>
          <w:szCs w:val="24"/>
        </w:rPr>
        <w:t xml:space="preserve"> участников региональных инвестиционных проектов в Томской области, включенных в реестр участников региональных инвестиционных проектов»;</w:t>
      </w:r>
    </w:p>
    <w:p w:rsidR="007E27CB" w:rsidRDefault="008F141F">
      <w:pPr>
        <w:pStyle w:val="a6"/>
        <w:numPr>
          <w:ilvl w:val="0"/>
          <w:numId w:val="196"/>
        </w:numPr>
        <w:tabs>
          <w:tab w:val="left" w:pos="709"/>
        </w:tabs>
        <w:autoSpaceDE w:val="0"/>
        <w:autoSpaceDN w:val="0"/>
        <w:adjustRightInd w:val="0"/>
        <w:spacing w:after="0" w:line="240" w:lineRule="auto"/>
        <w:ind w:left="-142" w:firstLine="567"/>
        <w:jc w:val="both"/>
        <w:rPr>
          <w:rFonts w:ascii="Times New Roman" w:hAnsi="Times New Roman"/>
          <w:sz w:val="24"/>
          <w:szCs w:val="24"/>
        </w:rPr>
      </w:pPr>
      <w:r>
        <w:rPr>
          <w:rFonts w:ascii="Times New Roman" w:hAnsi="Times New Roman"/>
          <w:sz w:val="24"/>
          <w:szCs w:val="24"/>
        </w:rPr>
        <w:t>внесены изменения в Закон Томской области от 13.03.2006 № 30-ОЗ «О предоставлении льготы по налогу на прибыль организаций резидентам особой экономической зоны технико-внедренческого типа» в части улучшения условий предоставления льгот по налогу на прибыль организациям, имеющим статус резидента особой экономической зоны технико-внедренческого типа и осуществляющим деятельность на территории г. Томска;</w:t>
      </w:r>
    </w:p>
    <w:p w:rsidR="007E27CB" w:rsidRDefault="008F141F">
      <w:pPr>
        <w:pStyle w:val="a6"/>
        <w:widowControl w:val="0"/>
        <w:numPr>
          <w:ilvl w:val="0"/>
          <w:numId w:val="196"/>
        </w:numPr>
        <w:tabs>
          <w:tab w:val="left" w:pos="709"/>
        </w:tabs>
        <w:spacing w:after="0" w:line="240" w:lineRule="auto"/>
        <w:ind w:left="-142" w:firstLine="567"/>
        <w:jc w:val="both"/>
        <w:rPr>
          <w:rFonts w:ascii="Times New Roman" w:hAnsi="Times New Roman"/>
          <w:sz w:val="24"/>
          <w:szCs w:val="24"/>
        </w:rPr>
      </w:pPr>
      <w:r>
        <w:rPr>
          <w:rFonts w:ascii="Times New Roman" w:hAnsi="Times New Roman"/>
          <w:sz w:val="24"/>
          <w:szCs w:val="24"/>
        </w:rPr>
        <w:t xml:space="preserve">внесены изменения в постановление Администрации Томской области от 16.09.2015 № 335а «Об утверждении Порядка рассмотрения документов, обосновывающих соответствие масштабного инвестиционного проекта критериям, установленным пунктом 3 части 1 статьи 9 Закона Томской области от 9 июля 2015 года № 100-ОЗ «О земельных отношениях в Томской области», и заключения соглашения о реализации масштабного </w:t>
      </w:r>
      <w:r>
        <w:rPr>
          <w:rFonts w:ascii="Times New Roman" w:hAnsi="Times New Roman"/>
          <w:sz w:val="24"/>
          <w:szCs w:val="24"/>
        </w:rPr>
        <w:lastRenderedPageBreak/>
        <w:t>инвестиционного проекта на земельном участке, предоставляемом в аренду без проведения торгов», постановление Администрации Томской области от 11.08.2015 № 293а «О присвоении статуса резидента промышленного парка в Томской области и заключении, внесении изменений, расторжении соглашения о ведении деятельности на территории промышленного парка в Томской области», направленные на совершенствование порядка рассмотрения заявлений о предоставлении государственной поддержки в различных формах;</w:t>
      </w:r>
    </w:p>
    <w:p w:rsidR="007E27CB" w:rsidRDefault="008F141F">
      <w:pPr>
        <w:pStyle w:val="a6"/>
        <w:widowControl w:val="0"/>
        <w:numPr>
          <w:ilvl w:val="0"/>
          <w:numId w:val="196"/>
        </w:numPr>
        <w:tabs>
          <w:tab w:val="left" w:pos="709"/>
        </w:tabs>
        <w:spacing w:after="0" w:line="240" w:lineRule="auto"/>
        <w:ind w:left="-142" w:firstLine="567"/>
        <w:jc w:val="both"/>
        <w:rPr>
          <w:rFonts w:ascii="Times New Roman" w:hAnsi="Times New Roman"/>
          <w:sz w:val="24"/>
          <w:szCs w:val="24"/>
        </w:rPr>
      </w:pPr>
      <w:r>
        <w:rPr>
          <w:rFonts w:ascii="Times New Roman" w:hAnsi="Times New Roman"/>
          <w:sz w:val="24"/>
          <w:szCs w:val="24"/>
        </w:rPr>
        <w:t>принят Закон Томской области от 09.09.2019 № 81-ОЗ «Об установлении налоговых льгот для резидентов территории опережающего социально-экономического развития «Северск» и о внесении изменений в отдельные законодательные акты Томской области» по налогам на прибыль и на имущество организаций, а также по упрощенной системе налогообложения.</w:t>
      </w:r>
    </w:p>
    <w:p w:rsidR="007E27CB" w:rsidRDefault="008F141F">
      <w:pPr>
        <w:widowControl w:val="0"/>
        <w:tabs>
          <w:tab w:val="left" w:pos="4962"/>
        </w:tabs>
        <w:spacing w:after="0" w:line="240" w:lineRule="auto"/>
        <w:ind w:firstLine="567"/>
        <w:contextualSpacing/>
        <w:jc w:val="both"/>
        <w:rPr>
          <w:b/>
          <w:sz w:val="24"/>
          <w:szCs w:val="24"/>
        </w:rPr>
      </w:pPr>
      <w:r>
        <w:rPr>
          <w:b/>
          <w:sz w:val="24"/>
          <w:szCs w:val="24"/>
        </w:rPr>
        <w:t>Осуществлено развитие инвестиционной инфраструктуры:</w:t>
      </w:r>
    </w:p>
    <w:p w:rsidR="007E27CB" w:rsidRDefault="008F141F">
      <w:pPr>
        <w:widowControl w:val="0"/>
        <w:tabs>
          <w:tab w:val="left" w:pos="4962"/>
        </w:tabs>
        <w:spacing w:after="0" w:line="240" w:lineRule="auto"/>
        <w:ind w:firstLine="567"/>
        <w:contextualSpacing/>
        <w:jc w:val="both"/>
        <w:rPr>
          <w:sz w:val="24"/>
          <w:szCs w:val="24"/>
        </w:rPr>
      </w:pPr>
      <w:r>
        <w:rPr>
          <w:sz w:val="24"/>
          <w:szCs w:val="24"/>
        </w:rPr>
        <w:t>1) в 2019 году осуществлялось выполнение мероприятий по технологическому присоединению площадок промышленного парка «Томск» (далее по разделу – промпарк) к электрическим сетям (строительство объектов распределительной электросетевой инфраструктуры), а также проектирование ливневой канализации для площадки «Березовая».</w:t>
      </w:r>
    </w:p>
    <w:p w:rsidR="007E27CB" w:rsidRDefault="008F141F">
      <w:pPr>
        <w:widowControl w:val="0"/>
        <w:tabs>
          <w:tab w:val="left" w:pos="4962"/>
        </w:tabs>
        <w:spacing w:after="0" w:line="240" w:lineRule="auto"/>
        <w:ind w:firstLine="567"/>
        <w:contextualSpacing/>
        <w:jc w:val="both"/>
        <w:rPr>
          <w:sz w:val="24"/>
          <w:szCs w:val="24"/>
        </w:rPr>
      </w:pPr>
      <w:r>
        <w:rPr>
          <w:sz w:val="24"/>
          <w:szCs w:val="24"/>
        </w:rPr>
        <w:t>За счет средств субсидии из областного бюджета муниципальному образованию «Город Томск» на площадке «Северная» построена трансформаторная подстанция ТП 630кВА, начато строительство распределительного пункта РП-10кВ на 6МВА; по площадке «Березовая» завершены работы по развитию внутриплощадочных сетей электроснабжения со строительством двух трансформаторных подстанций 2х1600 кВА (объекты введены в эксплуатацию), разработана проектно-сметная документация по строительству ливневой канализации для последующего проведения проверки достоверности определения сметной стоимости;</w:t>
      </w:r>
    </w:p>
    <w:p w:rsidR="007E27CB" w:rsidRDefault="008F141F">
      <w:pPr>
        <w:widowControl w:val="0"/>
        <w:tabs>
          <w:tab w:val="left" w:pos="4962"/>
        </w:tabs>
        <w:spacing w:after="0" w:line="240" w:lineRule="auto"/>
        <w:ind w:firstLine="567"/>
        <w:contextualSpacing/>
        <w:jc w:val="both"/>
        <w:rPr>
          <w:sz w:val="24"/>
          <w:szCs w:val="24"/>
        </w:rPr>
      </w:pPr>
      <w:r>
        <w:rPr>
          <w:sz w:val="24"/>
          <w:szCs w:val="24"/>
        </w:rPr>
        <w:t>2) в целях завершения передачи на региональный уровень полномочий по управлению особой экономической зоной технико-внедренческого типа в г. Томске (далее по разделу – ОЭЗ ТВТ) в 2019 году в уставный капитал управляющей компании АО «ОЭЗ ТВТ «Томск» головным АО «Особые экономические зоны» переданы имущество и денежные средства для завершения строительства и ввода в эксплуатацию 41 из 43 объектов незавершенного строительства инфраструктуры ОЭЗ ТВТ в объеме 1 784,9 млн. рублей.</w:t>
      </w:r>
    </w:p>
    <w:p w:rsidR="007E27CB" w:rsidRDefault="008F141F">
      <w:pPr>
        <w:pStyle w:val="a3"/>
        <w:ind w:firstLine="567"/>
      </w:pPr>
      <w:r>
        <w:tab/>
        <w:t>В отношении не обеспеченных финансированием объектов Экспоцентра (296,02 млн. рублей) и Инжинирингового центра (1 214,7 млн. рублей) Администрацией Томской области организовано активное взаимодействие с Правительством Российской Федерации и Советом Федерации Федерального Собрания Российской Федерации по вопросу выделения из федерального бюджета необходимых средств;</w:t>
      </w:r>
    </w:p>
    <w:p w:rsidR="007E27CB" w:rsidRDefault="008F141F">
      <w:pPr>
        <w:tabs>
          <w:tab w:val="left" w:pos="4962"/>
        </w:tabs>
        <w:spacing w:after="0" w:line="240" w:lineRule="auto"/>
        <w:ind w:firstLine="567"/>
        <w:jc w:val="both"/>
        <w:rPr>
          <w:sz w:val="24"/>
          <w:szCs w:val="24"/>
        </w:rPr>
      </w:pPr>
      <w:r>
        <w:rPr>
          <w:sz w:val="24"/>
          <w:szCs w:val="24"/>
        </w:rPr>
        <w:t xml:space="preserve">3) в соответствии с постановлением Правительства Российской Федерации от 12.02.2019 № 132 в Томской области создана территория опережающего социально-экономического развития (далее по разделу – ТОР «Северск») в целях формирования благоприятных условий для привлечения инвестиций в ЗАТО Северск и обеспечения ускоренного социально-экономического развития муниципального образования. </w:t>
      </w:r>
    </w:p>
    <w:p w:rsidR="007E27CB" w:rsidRDefault="008F141F">
      <w:pPr>
        <w:pStyle w:val="af6"/>
        <w:tabs>
          <w:tab w:val="left" w:pos="4962"/>
        </w:tabs>
        <w:spacing w:before="0" w:beforeAutospacing="0" w:after="0" w:afterAutospacing="0"/>
        <w:ind w:firstLine="567"/>
        <w:rPr>
          <w:lang w:eastAsia="en-US"/>
        </w:rPr>
      </w:pPr>
      <w:r>
        <w:rPr>
          <w:lang w:eastAsia="en-US"/>
        </w:rPr>
        <w:t>Территория  ТОР включает в себя 10 площадок общей площадью более 130 Га,  7 площадок относятся к муниципальной собственности и 3 – к федеральной собственности. На территории ТОР действуют льготные налоговые условия, упрощ</w:t>
      </w:r>
      <w:r>
        <w:rPr>
          <w:lang w:val="ru-RU" w:eastAsia="en-US"/>
        </w:rPr>
        <w:t>е</w:t>
      </w:r>
      <w:r>
        <w:rPr>
          <w:lang w:eastAsia="en-US"/>
        </w:rPr>
        <w:t xml:space="preserve">нные административные процедуры и другие преимущества. </w:t>
      </w:r>
    </w:p>
    <w:p w:rsidR="007E27CB" w:rsidRDefault="008F141F">
      <w:pPr>
        <w:pStyle w:val="af6"/>
        <w:tabs>
          <w:tab w:val="left" w:pos="4962"/>
        </w:tabs>
        <w:spacing w:before="0" w:beforeAutospacing="0" w:after="0" w:afterAutospacing="0"/>
        <w:ind w:firstLine="567"/>
        <w:rPr>
          <w:lang w:eastAsia="en-US"/>
        </w:rPr>
      </w:pPr>
      <w:r>
        <w:rPr>
          <w:lang w:eastAsia="en-US"/>
        </w:rPr>
        <w:t>В соответствии с постановлением в ТОР «Северск» предусмотрено 16 специализаций. При этом основными специализациями являются химико</w:t>
      </w:r>
      <w:r>
        <w:rPr>
          <w:lang w:val="ru-RU" w:eastAsia="en-US"/>
        </w:rPr>
        <w:t>-</w:t>
      </w:r>
      <w:r>
        <w:rPr>
          <w:lang w:eastAsia="en-US"/>
        </w:rPr>
        <w:t>технологическая</w:t>
      </w:r>
      <w:r>
        <w:rPr>
          <w:lang w:val="ru-RU" w:eastAsia="en-US"/>
        </w:rPr>
        <w:t xml:space="preserve"> промышленность</w:t>
      </w:r>
      <w:r>
        <w:rPr>
          <w:lang w:eastAsia="en-US"/>
        </w:rPr>
        <w:t xml:space="preserve">, а также приборостроение, строительные материалы, IT и пищевая промышленность. </w:t>
      </w:r>
    </w:p>
    <w:p w:rsidR="007E27CB" w:rsidRDefault="008F141F">
      <w:pPr>
        <w:pStyle w:val="af6"/>
        <w:tabs>
          <w:tab w:val="left" w:pos="4962"/>
        </w:tabs>
        <w:spacing w:before="0" w:beforeAutospacing="0" w:after="0" w:afterAutospacing="0"/>
        <w:ind w:firstLine="567"/>
        <w:rPr>
          <w:lang w:eastAsia="en-US"/>
        </w:rPr>
      </w:pPr>
      <w:r>
        <w:lastRenderedPageBreak/>
        <w:t>В качестве управляющей компании ТОСЭР «Северск» определено АО «Атом-ТОР», для осуществления отдельных функций создано дочернее хозяйственное общество ООО «Атом-ТОР-Северск»</w:t>
      </w:r>
      <w:r>
        <w:rPr>
          <w:lang w:val="ru-RU"/>
        </w:rPr>
        <w:t>.</w:t>
      </w:r>
      <w:r>
        <w:rPr>
          <w:lang w:eastAsia="en-US"/>
        </w:rPr>
        <w:t xml:space="preserve"> </w:t>
      </w:r>
    </w:p>
    <w:p w:rsidR="007E27CB" w:rsidRDefault="008F141F">
      <w:pPr>
        <w:tabs>
          <w:tab w:val="left" w:pos="4962"/>
        </w:tabs>
        <w:spacing w:after="0" w:line="240" w:lineRule="auto"/>
        <w:ind w:firstLine="567"/>
        <w:jc w:val="both"/>
        <w:rPr>
          <w:sz w:val="24"/>
          <w:szCs w:val="24"/>
        </w:rPr>
      </w:pPr>
      <w:r>
        <w:rPr>
          <w:sz w:val="24"/>
          <w:szCs w:val="24"/>
        </w:rPr>
        <w:t>Для создания инфраструктуры из областного бюджета выделены средства на проектирование газопровода к отдельным площадкам ТОСЭР «Северск», заключен муниципальный контракт на выполнение проектно-изыскательских работ.</w:t>
      </w:r>
    </w:p>
    <w:p w:rsidR="007E27CB" w:rsidRDefault="008F141F">
      <w:pPr>
        <w:widowControl w:val="0"/>
        <w:tabs>
          <w:tab w:val="left" w:pos="4962"/>
        </w:tabs>
        <w:spacing w:after="0" w:line="240" w:lineRule="auto"/>
        <w:ind w:firstLine="567"/>
        <w:contextualSpacing/>
        <w:jc w:val="both"/>
        <w:rPr>
          <w:sz w:val="24"/>
          <w:szCs w:val="24"/>
        </w:rPr>
      </w:pPr>
      <w:r>
        <w:rPr>
          <w:b/>
          <w:sz w:val="24"/>
          <w:szCs w:val="24"/>
        </w:rPr>
        <w:t>Оказано содействие при реализации инвестиционных проектов и обеспечено привлечение резидентов в промпарк, ОЭЗ ТВТ и ТОР «Северск»</w:t>
      </w:r>
      <w:r>
        <w:rPr>
          <w:sz w:val="24"/>
          <w:szCs w:val="24"/>
        </w:rPr>
        <w:t>:</w:t>
      </w:r>
    </w:p>
    <w:p w:rsidR="007E27CB" w:rsidRDefault="008F141F">
      <w:pPr>
        <w:widowControl w:val="0"/>
        <w:tabs>
          <w:tab w:val="left" w:pos="4962"/>
        </w:tabs>
        <w:spacing w:after="0" w:line="240" w:lineRule="auto"/>
        <w:ind w:firstLine="567"/>
        <w:contextualSpacing/>
        <w:jc w:val="both"/>
        <w:rPr>
          <w:sz w:val="24"/>
          <w:szCs w:val="24"/>
        </w:rPr>
      </w:pPr>
      <w:r>
        <w:rPr>
          <w:sz w:val="24"/>
          <w:szCs w:val="24"/>
        </w:rPr>
        <w:t>1) предоставлена государственная поддержка в форме субсидий на возмещение части затрат в рамках реализации новых инвестиционных проектов 5 организациям (ООО «ГОРЕМ № 10», ООО «К ГРУПП», ООО «Сибирьлес», ГУП ТО «Областное ДРСУ», ООО «Теннисный клуб»).</w:t>
      </w:r>
    </w:p>
    <w:p w:rsidR="007E27CB" w:rsidRDefault="008F141F">
      <w:pPr>
        <w:tabs>
          <w:tab w:val="left" w:pos="4962"/>
        </w:tabs>
        <w:spacing w:after="0" w:line="240" w:lineRule="auto"/>
        <w:ind w:firstLine="567"/>
        <w:contextualSpacing/>
        <w:jc w:val="both"/>
        <w:rPr>
          <w:sz w:val="24"/>
          <w:szCs w:val="24"/>
        </w:rPr>
      </w:pPr>
      <w:r>
        <w:rPr>
          <w:sz w:val="24"/>
          <w:szCs w:val="24"/>
        </w:rPr>
        <w:t>Общее количество получателей государственной поддержки – 19 организаций;</w:t>
      </w:r>
    </w:p>
    <w:p w:rsidR="007E27CB" w:rsidRDefault="008F141F">
      <w:pPr>
        <w:tabs>
          <w:tab w:val="left" w:pos="4962"/>
        </w:tabs>
        <w:spacing w:after="0" w:line="240" w:lineRule="auto"/>
        <w:ind w:firstLine="567"/>
        <w:contextualSpacing/>
        <w:jc w:val="both"/>
        <w:rPr>
          <w:sz w:val="24"/>
          <w:szCs w:val="24"/>
        </w:rPr>
      </w:pPr>
      <w:r>
        <w:rPr>
          <w:sz w:val="24"/>
          <w:szCs w:val="24"/>
        </w:rPr>
        <w:t>2) приняты решения о присвоении статуса резидента промпарка в отношении 2х организаций ООО «АБЗ-4» и ООО «Авангард» для реализации инвестиционного проекта по производству асфальтобетонных смесей и выпуску изделий из пластмасс.</w:t>
      </w:r>
    </w:p>
    <w:p w:rsidR="007E27CB" w:rsidRDefault="008F141F">
      <w:pPr>
        <w:widowControl w:val="0"/>
        <w:tabs>
          <w:tab w:val="left" w:pos="4962"/>
        </w:tabs>
        <w:spacing w:after="0" w:line="240" w:lineRule="auto"/>
        <w:ind w:firstLine="567"/>
        <w:contextualSpacing/>
        <w:jc w:val="both"/>
        <w:rPr>
          <w:sz w:val="24"/>
          <w:szCs w:val="24"/>
        </w:rPr>
      </w:pPr>
      <w:r>
        <w:rPr>
          <w:sz w:val="24"/>
          <w:szCs w:val="24"/>
        </w:rPr>
        <w:t>Общее количество резидентов промышленного парка на 01.01.2020 – 8 субъектов малого и среднего предпринимательства;</w:t>
      </w:r>
    </w:p>
    <w:p w:rsidR="007E27CB" w:rsidRDefault="008F141F">
      <w:pPr>
        <w:widowControl w:val="0"/>
        <w:tabs>
          <w:tab w:val="left" w:pos="4962"/>
        </w:tabs>
        <w:spacing w:after="0" w:line="240" w:lineRule="auto"/>
        <w:ind w:firstLine="567"/>
        <w:contextualSpacing/>
        <w:jc w:val="both"/>
        <w:rPr>
          <w:sz w:val="24"/>
          <w:szCs w:val="24"/>
        </w:rPr>
      </w:pPr>
      <w:r>
        <w:rPr>
          <w:sz w:val="24"/>
          <w:szCs w:val="24"/>
        </w:rPr>
        <w:t>3) присвоен статус резидента ОЭЗ ТВТ 1 организации ООО «Протеже Системс», планирующей реализацию проекта по разработке системы цифровизации промышленной безопасности и производства, с 3 резидентами (ЗАО «Элекард Девайсез», ООО «СофтИнформ», ООО «СибирьСофтПроект») заключены дополнительные соглашения о пролонгировании сроков осуществления технико-внедренческой деятельности в ОЭЗ ТВТ.</w:t>
      </w:r>
    </w:p>
    <w:p w:rsidR="007E27CB" w:rsidRDefault="008F141F">
      <w:pPr>
        <w:widowControl w:val="0"/>
        <w:tabs>
          <w:tab w:val="left" w:pos="4962"/>
        </w:tabs>
        <w:spacing w:after="0" w:line="240" w:lineRule="auto"/>
        <w:ind w:firstLine="567"/>
        <w:contextualSpacing/>
        <w:jc w:val="both"/>
        <w:rPr>
          <w:sz w:val="24"/>
          <w:szCs w:val="24"/>
        </w:rPr>
      </w:pPr>
      <w:r>
        <w:rPr>
          <w:sz w:val="24"/>
          <w:szCs w:val="24"/>
        </w:rPr>
        <w:t>Общее количество резидентов ОЭЗ ТВТ на 01.01.2020 – 44 инновационные компании;</w:t>
      </w:r>
    </w:p>
    <w:p w:rsidR="007E27CB" w:rsidRDefault="008F141F">
      <w:pPr>
        <w:tabs>
          <w:tab w:val="left" w:pos="4962"/>
        </w:tabs>
        <w:spacing w:after="0" w:line="240" w:lineRule="auto"/>
        <w:ind w:firstLine="567"/>
        <w:jc w:val="both"/>
        <w:rPr>
          <w:sz w:val="24"/>
          <w:szCs w:val="24"/>
        </w:rPr>
      </w:pPr>
      <w:r>
        <w:rPr>
          <w:sz w:val="24"/>
          <w:szCs w:val="24"/>
        </w:rPr>
        <w:t>4) по итогам 2019 года в ТОР «Северск» зарегистрированы два резидента:</w:t>
      </w:r>
    </w:p>
    <w:p w:rsidR="007E27CB" w:rsidRDefault="008F141F">
      <w:pPr>
        <w:tabs>
          <w:tab w:val="left" w:pos="4962"/>
        </w:tabs>
        <w:spacing w:after="0" w:line="240" w:lineRule="auto"/>
        <w:ind w:firstLine="567"/>
        <w:jc w:val="both"/>
        <w:rPr>
          <w:sz w:val="24"/>
          <w:szCs w:val="24"/>
        </w:rPr>
      </w:pPr>
      <w:r>
        <w:rPr>
          <w:sz w:val="24"/>
          <w:szCs w:val="24"/>
        </w:rPr>
        <w:t>- научно-производственная компания «ВАБ-70» с инвестиционным проектом по производству нестандартного оборудования для объектов использования атомной энергии, АЭС, оборонно-промышленного комплекса и нефтегазовой отрасли;</w:t>
      </w:r>
    </w:p>
    <w:p w:rsidR="007E27CB" w:rsidRDefault="008F141F">
      <w:pPr>
        <w:tabs>
          <w:tab w:val="left" w:pos="4962"/>
        </w:tabs>
        <w:spacing w:after="0" w:line="240" w:lineRule="auto"/>
        <w:ind w:firstLine="567"/>
        <w:jc w:val="both"/>
        <w:rPr>
          <w:color w:val="000000"/>
          <w:sz w:val="24"/>
          <w:szCs w:val="24"/>
          <w:shd w:val="clear" w:color="auto" w:fill="FFFFFF"/>
        </w:rPr>
      </w:pPr>
      <w:r>
        <w:rPr>
          <w:sz w:val="24"/>
          <w:szCs w:val="24"/>
        </w:rPr>
        <w:t xml:space="preserve">- ООО «Сибирский титан» с инвестиционным проектом по производству </w:t>
      </w:r>
      <w:r>
        <w:rPr>
          <w:color w:val="000000"/>
          <w:sz w:val="24"/>
          <w:szCs w:val="24"/>
          <w:shd w:val="clear" w:color="auto" w:fill="FFFFFF"/>
        </w:rPr>
        <w:t>диоксида титана.</w:t>
      </w:r>
    </w:p>
    <w:p w:rsidR="007E27CB" w:rsidRDefault="008F141F">
      <w:pPr>
        <w:tabs>
          <w:tab w:val="left" w:pos="1134"/>
          <w:tab w:val="left" w:pos="4962"/>
        </w:tabs>
        <w:spacing w:after="0" w:line="240" w:lineRule="auto"/>
        <w:ind w:firstLine="567"/>
        <w:jc w:val="both"/>
        <w:rPr>
          <w:sz w:val="24"/>
          <w:szCs w:val="24"/>
        </w:rPr>
      </w:pPr>
      <w:r>
        <w:rPr>
          <w:sz w:val="24"/>
          <w:szCs w:val="24"/>
        </w:rPr>
        <w:t>При реализации данных инвестиционных проектов создано 120 рабочих мест, привлечено 74,9 млн. рублей.</w:t>
      </w:r>
    </w:p>
    <w:p w:rsidR="007E27CB" w:rsidRDefault="008F141F">
      <w:pPr>
        <w:tabs>
          <w:tab w:val="left" w:pos="1134"/>
          <w:tab w:val="left" w:pos="4962"/>
        </w:tabs>
        <w:spacing w:after="0" w:line="240" w:lineRule="auto"/>
        <w:ind w:firstLine="567"/>
        <w:jc w:val="both"/>
        <w:rPr>
          <w:sz w:val="24"/>
          <w:szCs w:val="24"/>
        </w:rPr>
      </w:pPr>
      <w:r>
        <w:rPr>
          <w:sz w:val="24"/>
          <w:szCs w:val="24"/>
        </w:rPr>
        <w:t>Проведена работа с 26 потенциальными резидентами.</w:t>
      </w:r>
    </w:p>
    <w:p w:rsidR="007E27CB" w:rsidRDefault="008F141F">
      <w:pPr>
        <w:widowControl w:val="0"/>
        <w:tabs>
          <w:tab w:val="left" w:pos="4962"/>
        </w:tabs>
        <w:spacing w:after="0" w:line="240" w:lineRule="auto"/>
        <w:ind w:firstLine="567"/>
        <w:contextualSpacing/>
        <w:jc w:val="both"/>
        <w:rPr>
          <w:b/>
          <w:sz w:val="24"/>
          <w:szCs w:val="24"/>
        </w:rPr>
      </w:pPr>
      <w:r>
        <w:rPr>
          <w:b/>
          <w:sz w:val="24"/>
          <w:szCs w:val="24"/>
        </w:rPr>
        <w:t>Осуществлено продвижение инвестиционного потенциала Томской области:</w:t>
      </w:r>
    </w:p>
    <w:p w:rsidR="007E27CB" w:rsidRDefault="008F141F">
      <w:pPr>
        <w:widowControl w:val="0"/>
        <w:tabs>
          <w:tab w:val="left" w:pos="4962"/>
        </w:tabs>
        <w:spacing w:after="0" w:line="240" w:lineRule="auto"/>
        <w:ind w:firstLine="567"/>
        <w:contextualSpacing/>
        <w:jc w:val="both"/>
        <w:rPr>
          <w:sz w:val="24"/>
          <w:szCs w:val="24"/>
        </w:rPr>
      </w:pPr>
      <w:r>
        <w:rPr>
          <w:sz w:val="24"/>
          <w:szCs w:val="24"/>
        </w:rPr>
        <w:t xml:space="preserve">При содействии Фонда развития инвестиционной деятельности и проектного управления Томской области в сентябре 2019 года проведены инвестиционные сессии российско-китайских бизнес-встреч на территории Томской области. В ходе мероприятий для членов делегаций представлен инвестиционной потенциал Томской области, а также проведены презентации инновационных и высокотехнологичных томских компаний, в том числе: ООО «Рубиус Групп», АО «ЭлеСи», АО НПФ «Микран», ООО «Сибэдж», и других организаций. </w:t>
      </w:r>
    </w:p>
    <w:p w:rsidR="007E27CB" w:rsidRDefault="008F141F">
      <w:pPr>
        <w:widowControl w:val="0"/>
        <w:tabs>
          <w:tab w:val="left" w:pos="4962"/>
        </w:tabs>
        <w:spacing w:after="0" w:line="240" w:lineRule="auto"/>
        <w:ind w:firstLine="567"/>
        <w:contextualSpacing/>
        <w:jc w:val="both"/>
        <w:rPr>
          <w:sz w:val="24"/>
          <w:szCs w:val="24"/>
          <w:shd w:val="clear" w:color="auto" w:fill="FFFFFF"/>
        </w:rPr>
      </w:pPr>
      <w:r>
        <w:rPr>
          <w:sz w:val="24"/>
          <w:szCs w:val="24"/>
          <w:shd w:val="clear" w:color="auto" w:fill="FFFFFF"/>
        </w:rPr>
        <w:t xml:space="preserve">В октябре 2019 года проведена презентация инвестиционной инфраструктуры и приоритетных проектов региона в рамках Дней Томской области в Совете Федерации Федерального Собрания Российской Федерации. </w:t>
      </w:r>
    </w:p>
    <w:p w:rsidR="007E27CB" w:rsidRDefault="008F141F">
      <w:pPr>
        <w:tabs>
          <w:tab w:val="left" w:pos="4962"/>
        </w:tabs>
        <w:spacing w:after="0" w:line="240" w:lineRule="auto"/>
        <w:ind w:firstLine="567"/>
        <w:contextualSpacing/>
        <w:jc w:val="both"/>
        <w:rPr>
          <w:sz w:val="24"/>
          <w:szCs w:val="24"/>
        </w:rPr>
      </w:pPr>
      <w:r>
        <w:rPr>
          <w:sz w:val="24"/>
          <w:szCs w:val="24"/>
        </w:rPr>
        <w:t xml:space="preserve">В декабре 2019 года предпринимателям общероссийской общественной организации «Деловая Россия» из Новосибирска, Кемерова, Красноярска и Омска была представлена инфраструктура поддержки инвестиционной и предпринимательской деятельности в Томской области, региональный промышленный потенциал, возможности для инвестиций в сферу добычи полезных ископаемых, возобновляемых природных ресурсов, а также экспортный потенциал. </w:t>
      </w:r>
    </w:p>
    <w:p w:rsidR="007E27CB" w:rsidRDefault="008F141F">
      <w:pPr>
        <w:widowControl w:val="0"/>
        <w:tabs>
          <w:tab w:val="left" w:pos="4962"/>
        </w:tabs>
        <w:spacing w:after="0" w:line="240" w:lineRule="auto"/>
        <w:ind w:firstLine="567"/>
        <w:contextualSpacing/>
        <w:jc w:val="both"/>
        <w:rPr>
          <w:sz w:val="24"/>
          <w:szCs w:val="24"/>
        </w:rPr>
      </w:pPr>
      <w:r>
        <w:rPr>
          <w:sz w:val="24"/>
          <w:szCs w:val="24"/>
        </w:rPr>
        <w:lastRenderedPageBreak/>
        <w:t xml:space="preserve">При </w:t>
      </w:r>
      <w:r>
        <w:rPr>
          <w:rFonts w:eastAsia="Times New Roman"/>
          <w:color w:val="000000"/>
          <w:sz w:val="24"/>
          <w:szCs w:val="24"/>
          <w:lang w:eastAsia="ru-RU"/>
        </w:rPr>
        <w:t>Совете по улучшению инвестиционного климата в Томской области</w:t>
      </w:r>
      <w:r>
        <w:rPr>
          <w:sz w:val="24"/>
          <w:szCs w:val="24"/>
        </w:rPr>
        <w:t xml:space="preserve"> в 2019 году состоялось 11 заседаний рабочих групп по решению вопросов в области </w:t>
      </w:r>
      <w:r>
        <w:rPr>
          <w:rFonts w:eastAsia="Times New Roman"/>
          <w:color w:val="000000"/>
          <w:sz w:val="24"/>
          <w:szCs w:val="24"/>
          <w:lang w:eastAsia="ru-RU"/>
        </w:rPr>
        <w:t>контрольно-надзорной деятельности, инфраструктурного обеспечения, развития конкуренции, кадастрового учета и регистрации прав собственности земельных участков и объектов недвижимости, регионального инвестиционного стандарта. </w:t>
      </w:r>
    </w:p>
    <w:p w:rsidR="007E27CB" w:rsidRDefault="007E27CB">
      <w:pPr>
        <w:widowControl w:val="0"/>
        <w:tabs>
          <w:tab w:val="left" w:pos="4962"/>
        </w:tabs>
        <w:spacing w:after="0" w:line="240" w:lineRule="auto"/>
        <w:ind w:firstLine="567"/>
        <w:rPr>
          <w:color w:val="FF0000"/>
          <w:sz w:val="24"/>
          <w:szCs w:val="24"/>
        </w:rPr>
      </w:pPr>
    </w:p>
    <w:p w:rsidR="007E27CB" w:rsidRDefault="008F141F">
      <w:pPr>
        <w:shd w:val="clear" w:color="auto" w:fill="F2F2F2" w:themeFill="background1" w:themeFillShade="F2"/>
        <w:tabs>
          <w:tab w:val="left" w:pos="4962"/>
        </w:tabs>
        <w:spacing w:after="0" w:line="240" w:lineRule="auto"/>
        <w:jc w:val="both"/>
        <w:rPr>
          <w:b/>
          <w:sz w:val="24"/>
          <w:szCs w:val="24"/>
        </w:rPr>
      </w:pPr>
      <w:r>
        <w:rPr>
          <w:b/>
          <w:sz w:val="24"/>
          <w:szCs w:val="24"/>
        </w:rPr>
        <w:t>Перспективные задачи</w:t>
      </w:r>
    </w:p>
    <w:p w:rsidR="007E27CB" w:rsidRDefault="007E27CB">
      <w:pPr>
        <w:widowControl w:val="0"/>
        <w:tabs>
          <w:tab w:val="left" w:pos="4962"/>
        </w:tabs>
        <w:spacing w:after="0" w:line="240" w:lineRule="auto"/>
        <w:contextualSpacing/>
        <w:jc w:val="both"/>
        <w:rPr>
          <w:sz w:val="24"/>
          <w:szCs w:val="24"/>
        </w:rPr>
      </w:pPr>
    </w:p>
    <w:p w:rsidR="007E27CB" w:rsidRDefault="008F141F">
      <w:pPr>
        <w:widowControl w:val="0"/>
        <w:tabs>
          <w:tab w:val="left" w:pos="4962"/>
        </w:tabs>
        <w:spacing w:after="0" w:line="240" w:lineRule="auto"/>
        <w:contextualSpacing/>
        <w:jc w:val="both"/>
        <w:rPr>
          <w:sz w:val="24"/>
          <w:szCs w:val="24"/>
        </w:rPr>
      </w:pPr>
      <w:r>
        <w:rPr>
          <w:sz w:val="24"/>
          <w:szCs w:val="24"/>
        </w:rPr>
        <w:t>1. Улучшение состояния инвестиционного климата.</w:t>
      </w:r>
    </w:p>
    <w:p w:rsidR="007E27CB" w:rsidRDefault="008F141F">
      <w:pPr>
        <w:widowControl w:val="0"/>
        <w:tabs>
          <w:tab w:val="left" w:pos="4962"/>
        </w:tabs>
        <w:spacing w:after="0" w:line="240" w:lineRule="auto"/>
        <w:contextualSpacing/>
        <w:jc w:val="both"/>
        <w:rPr>
          <w:sz w:val="24"/>
          <w:szCs w:val="24"/>
        </w:rPr>
      </w:pPr>
      <w:r>
        <w:rPr>
          <w:sz w:val="24"/>
          <w:szCs w:val="24"/>
        </w:rPr>
        <w:t>2. Расширение мер стимулирования инвесторов.</w:t>
      </w:r>
    </w:p>
    <w:p w:rsidR="007E27CB" w:rsidRDefault="008F141F">
      <w:pPr>
        <w:widowControl w:val="0"/>
        <w:tabs>
          <w:tab w:val="left" w:pos="4962"/>
        </w:tabs>
        <w:spacing w:after="0" w:line="240" w:lineRule="auto"/>
        <w:contextualSpacing/>
        <w:jc w:val="both"/>
        <w:rPr>
          <w:sz w:val="24"/>
          <w:szCs w:val="24"/>
        </w:rPr>
      </w:pPr>
      <w:r>
        <w:rPr>
          <w:sz w:val="24"/>
          <w:szCs w:val="24"/>
        </w:rPr>
        <w:t>3. Содействие в реализации инвестиционных проектов.</w:t>
      </w:r>
    </w:p>
    <w:p w:rsidR="007E27CB" w:rsidRDefault="008F141F">
      <w:pPr>
        <w:widowControl w:val="0"/>
        <w:tabs>
          <w:tab w:val="left" w:pos="4962"/>
        </w:tabs>
        <w:spacing w:after="0" w:line="240" w:lineRule="auto"/>
        <w:contextualSpacing/>
        <w:jc w:val="both"/>
        <w:rPr>
          <w:sz w:val="24"/>
          <w:szCs w:val="24"/>
        </w:rPr>
      </w:pPr>
      <w:r>
        <w:rPr>
          <w:sz w:val="24"/>
          <w:szCs w:val="24"/>
        </w:rPr>
        <w:t>4. Развитие инвестиционной инфраструктуры.</w:t>
      </w:r>
    </w:p>
    <w:p w:rsidR="007E27CB" w:rsidRDefault="008F141F">
      <w:pPr>
        <w:widowControl w:val="0"/>
        <w:tabs>
          <w:tab w:val="left" w:pos="4962"/>
        </w:tabs>
        <w:spacing w:after="0" w:line="240" w:lineRule="auto"/>
        <w:contextualSpacing/>
        <w:jc w:val="both"/>
        <w:rPr>
          <w:sz w:val="24"/>
          <w:szCs w:val="24"/>
        </w:rPr>
      </w:pPr>
      <w:r>
        <w:rPr>
          <w:sz w:val="24"/>
          <w:szCs w:val="24"/>
        </w:rPr>
        <w:t xml:space="preserve">5. Расширение практики применения концессионных соглашений. </w:t>
      </w:r>
    </w:p>
    <w:p w:rsidR="007E27CB" w:rsidRDefault="007E27CB">
      <w:pPr>
        <w:widowControl w:val="0"/>
        <w:tabs>
          <w:tab w:val="left" w:pos="4962"/>
        </w:tabs>
        <w:spacing w:after="0" w:line="240" w:lineRule="auto"/>
        <w:jc w:val="both"/>
        <w:rPr>
          <w:sz w:val="24"/>
          <w:szCs w:val="24"/>
        </w:rPr>
      </w:pPr>
    </w:p>
    <w:p w:rsidR="007E27CB" w:rsidRDefault="008F141F">
      <w:pPr>
        <w:tabs>
          <w:tab w:val="left" w:pos="567"/>
        </w:tabs>
        <w:spacing w:after="0" w:line="240" w:lineRule="auto"/>
        <w:ind w:firstLine="567"/>
        <w:jc w:val="both"/>
        <w:rPr>
          <w:rFonts w:eastAsia="Calibri"/>
          <w:b/>
          <w:sz w:val="24"/>
          <w:szCs w:val="24"/>
        </w:rPr>
      </w:pPr>
      <w:r>
        <w:rPr>
          <w:rFonts w:eastAsia="Calibri"/>
          <w:b/>
          <w:sz w:val="24"/>
          <w:szCs w:val="24"/>
        </w:rPr>
        <w:t>ОЦЕНКА  РЕГУЛИРУЮЩЕГО ВОЗДЕЙСТВИЯ</w:t>
      </w:r>
    </w:p>
    <w:p w:rsidR="007E27CB" w:rsidRDefault="007E27CB">
      <w:pPr>
        <w:tabs>
          <w:tab w:val="left" w:pos="4962"/>
        </w:tabs>
        <w:spacing w:after="0" w:line="240" w:lineRule="auto"/>
        <w:ind w:firstLine="567"/>
        <w:jc w:val="both"/>
        <w:rPr>
          <w:rFonts w:eastAsia="Calibri"/>
          <w:sz w:val="24"/>
          <w:szCs w:val="24"/>
        </w:rPr>
      </w:pPr>
    </w:p>
    <w:p w:rsidR="007E27CB" w:rsidRDefault="008F141F">
      <w:pPr>
        <w:pStyle w:val="a3"/>
        <w:ind w:firstLine="567"/>
      </w:pPr>
      <w:r>
        <w:t>В 2019 году проводилась работа по совершенствованию и развитию института оценки регулирующего воздействия проектов нормативных правовых актов (далее по разделу – ОРВ) на территории Томской области в соответствии с Указом Президента Российской Федерации от 7 мая 2012 года № 601 «Об основных направлениях совершенствования системы государственного управления».</w:t>
      </w:r>
    </w:p>
    <w:p w:rsidR="007E27CB" w:rsidRDefault="008F141F">
      <w:pPr>
        <w:pStyle w:val="a3"/>
        <w:ind w:firstLine="567"/>
      </w:pPr>
      <w:r>
        <w:t xml:space="preserve">За 2019 год уполномоченным органом в сфере ОРВ было подготовлено 71 заключение об ОРВ, что практически в 2 раза больше предыдущего периода (в 2018 году – 38 заключений об ОРВ). За отчетный период чаще всего процедура ОРВ осуществлялась в отношении проектов постановлений, затрагивающих вопросы осуществления предпринимательской и инвестиционной деятельности, которые были подготовлены исполнительными органами государственной власти Томской области и структурными подразделениями Администрации Томской области. </w:t>
      </w:r>
    </w:p>
    <w:p w:rsidR="007E27CB" w:rsidRDefault="008F141F">
      <w:pPr>
        <w:pStyle w:val="a3"/>
        <w:ind w:firstLine="567"/>
      </w:pPr>
      <w:r>
        <w:t>Из общего количества подготовленных заключений за указанный период 57 или 80,3% были положительными, а 14 заключений или 19,7% – отрицательными заключениями, то есть содержащими вывод о наличии в рассматриваемых проектах актов избыточных требований и приводящих к необоснованным расходам субъектов предпринимательской, инвестиционной деятельности и бюджета.</w:t>
      </w:r>
    </w:p>
    <w:p w:rsidR="007E27CB" w:rsidRDefault="008F141F">
      <w:pPr>
        <w:pStyle w:val="a3"/>
        <w:ind w:firstLine="567"/>
      </w:pPr>
      <w:r>
        <w:rPr>
          <w:noProof/>
        </w:rPr>
        <w:drawing>
          <wp:inline distT="0" distB="0" distL="0" distR="0">
            <wp:extent cx="5934075" cy="2124075"/>
            <wp:effectExtent l="0" t="0" r="0" b="0"/>
            <wp:docPr id="8" name="Диаграмма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7E27CB" w:rsidRDefault="008F141F">
      <w:pPr>
        <w:pStyle w:val="a3"/>
        <w:ind w:firstLine="567"/>
      </w:pPr>
      <w:r>
        <w:t xml:space="preserve">Помимо ОРВ, на территории Томской области осуществляется экспертиза действующих нормативных правовых актов области, затрагивающих вопросы осуществления предпринимательской и инвестиционной деятельности и оценка фактического воздействия, проводимая в отношении нормативных правовых актов Томской области, затрагивающих вопросы осуществления предпринимательской и инвестиционной деятельности, при подготовке проекта которого проводилась процедура </w:t>
      </w:r>
      <w:r>
        <w:lastRenderedPageBreak/>
        <w:t>ОРВ. За 2019 год  было подготовлено 7 заключений об экспертизе и 2 заключения об оценке фактического воздействия.</w:t>
      </w:r>
    </w:p>
    <w:p w:rsidR="007E27CB" w:rsidRDefault="008F141F">
      <w:pPr>
        <w:pStyle w:val="a3"/>
        <w:ind w:firstLine="567"/>
      </w:pPr>
      <w:r>
        <w:t xml:space="preserve">В течение отчетного периода на постоянной основе осуществлялась организационная, информационная и методологическая поддержка как исполнительных органов государственной власти Томской области и структурных подразделений Администрации Томской области, являющихся разработчиками проектов нормативных правовых актов Томской области, так и органов местного самоуправления. </w:t>
      </w:r>
    </w:p>
    <w:p w:rsidR="007E27CB" w:rsidRDefault="008F141F">
      <w:pPr>
        <w:pStyle w:val="a3"/>
        <w:ind w:firstLine="567"/>
      </w:pPr>
      <w:r>
        <w:t>В целях оценки качества внедрения ОРВ и экспертизы в муниципальных образованиях Томской области, выявления лучших практик проведения ОРВ и экспертизы в органах местного самоуправления региона на основании Методики формирования рейтинга качества осуществления ОРВ и экспертизы в муниципальных образованиях Томской области второй год подряд формировался рейтинг муниципальных образований Томской области.</w:t>
      </w:r>
    </w:p>
    <w:p w:rsidR="007E27CB" w:rsidRDefault="008F141F">
      <w:pPr>
        <w:pStyle w:val="a3"/>
        <w:ind w:firstLine="567"/>
      </w:pPr>
      <w:r>
        <w:t xml:space="preserve">На официальной странице Томской области (информационный портал www.orv.gov.ru), посвященной ОРВ России, регулярно публикуются лучшие практики ОРВ и экспертизы как регионального, так и муниципального уровней. </w:t>
      </w:r>
    </w:p>
    <w:p w:rsidR="007E27CB" w:rsidRDefault="008F141F">
      <w:pPr>
        <w:pStyle w:val="a3"/>
        <w:ind w:firstLine="567"/>
      </w:pPr>
      <w:r>
        <w:t>В 2019 году была продолжена работа по проведению процедур ОРВ нормативных правовых актов федерального уровня, затрагивающих вопросы социально-экономического развития регионов, а также приводящих к возникновению расходных обязательств субъектов Российской Федерации в отношении более 35 проектов нормативных правовых актов федерального уровня.</w:t>
      </w:r>
    </w:p>
    <w:p w:rsidR="007E27CB" w:rsidRDefault="008F141F">
      <w:pPr>
        <w:pStyle w:val="a3"/>
        <w:ind w:firstLine="567"/>
      </w:pPr>
      <w:r>
        <w:t>По итогам 2019 года Томская область вошла в группу «высшего уровня» по качеству проведения ОРВ проектов нормативных правовых актов и экспертизы среди субъектов Российской Федерации и заняла лидирующие позиции среди регионов Сибирского федерального округа (по данным рейтинга качества осуществления ОРВ и экспертизы в субъектах Российской Федерации, подготовленного Минэкономразвития России).</w:t>
      </w:r>
    </w:p>
    <w:p w:rsidR="007E27CB" w:rsidRDefault="007E27CB">
      <w:pPr>
        <w:pStyle w:val="a3"/>
      </w:pPr>
    </w:p>
    <w:p w:rsidR="007E27CB" w:rsidRDefault="008F141F">
      <w:pPr>
        <w:shd w:val="clear" w:color="auto" w:fill="F2F2F2" w:themeFill="background1" w:themeFillShade="F2"/>
        <w:tabs>
          <w:tab w:val="left" w:pos="4962"/>
        </w:tabs>
        <w:spacing w:after="0" w:line="240" w:lineRule="auto"/>
        <w:jc w:val="both"/>
        <w:rPr>
          <w:b/>
          <w:sz w:val="24"/>
          <w:szCs w:val="24"/>
        </w:rPr>
      </w:pPr>
      <w:r>
        <w:rPr>
          <w:b/>
          <w:sz w:val="24"/>
          <w:szCs w:val="24"/>
        </w:rPr>
        <w:t>Перспективные задачи</w:t>
      </w:r>
    </w:p>
    <w:p w:rsidR="007E27CB" w:rsidRDefault="007E27CB">
      <w:pPr>
        <w:pStyle w:val="a3"/>
      </w:pPr>
    </w:p>
    <w:p w:rsidR="007E27CB" w:rsidRDefault="008F141F">
      <w:pPr>
        <w:pStyle w:val="a3"/>
      </w:pPr>
      <w:r>
        <w:t>1. Привлечение к проведению процедуры ОРВ законодательного органа региона с целью вовлечения заинтересованных лиц в процесс публичного обсуждения проектов законов, затрагивающих вопросы осуществления предпринимательской и инвестиционной деятельности.</w:t>
      </w:r>
    </w:p>
    <w:p w:rsidR="007E27CB" w:rsidRDefault="008F141F">
      <w:pPr>
        <w:tabs>
          <w:tab w:val="left" w:pos="4962"/>
        </w:tabs>
        <w:spacing w:after="0" w:line="240" w:lineRule="auto"/>
        <w:jc w:val="both"/>
        <w:rPr>
          <w:rFonts w:eastAsia="Calibri"/>
          <w:sz w:val="24"/>
          <w:szCs w:val="24"/>
        </w:rPr>
      </w:pPr>
      <w:r>
        <w:rPr>
          <w:sz w:val="24"/>
          <w:szCs w:val="24"/>
        </w:rPr>
        <w:t>2. Участие Томской области в процедуре ОРВ федеральных инициатив с целью недопущения принятия федеральных правовых актов, вводящих избыточные обязанности, запреты и ограничения для физических и юридических лиц в сфере предпринимательской и инвестиционной деятельности или способствующих их введению, а также положений, приводящих к возникновению необоснованных расходов физических и юридических лиц в сфере предпринимательской и инвестиционной деятельности, регионального  бюджета, которые негативно влияют на  социально-экономическое развитие Томской области.</w:t>
      </w:r>
    </w:p>
    <w:p w:rsidR="007E27CB" w:rsidRDefault="007E27CB">
      <w:pPr>
        <w:tabs>
          <w:tab w:val="left" w:pos="4962"/>
        </w:tabs>
        <w:spacing w:after="0" w:line="240" w:lineRule="auto"/>
        <w:ind w:firstLine="567"/>
        <w:jc w:val="both"/>
        <w:rPr>
          <w:rFonts w:eastAsia="Calibri"/>
          <w:sz w:val="24"/>
          <w:szCs w:val="24"/>
        </w:rPr>
      </w:pPr>
    </w:p>
    <w:p w:rsidR="007E27CB" w:rsidRDefault="008F141F">
      <w:pPr>
        <w:tabs>
          <w:tab w:val="left" w:pos="709"/>
        </w:tabs>
        <w:spacing w:after="0" w:line="240" w:lineRule="auto"/>
        <w:ind w:firstLine="567"/>
        <w:rPr>
          <w:rFonts w:eastAsia="Times New Roman"/>
          <w:b/>
          <w:sz w:val="24"/>
          <w:szCs w:val="24"/>
        </w:rPr>
      </w:pPr>
      <w:r>
        <w:rPr>
          <w:rFonts w:eastAsia="Times New Roman"/>
          <w:b/>
          <w:sz w:val="24"/>
          <w:szCs w:val="24"/>
        </w:rPr>
        <w:t>ТАРИФНАЯ ПОЛИТИКА</w:t>
      </w:r>
    </w:p>
    <w:p w:rsidR="007E27CB" w:rsidRDefault="007E27CB">
      <w:pPr>
        <w:tabs>
          <w:tab w:val="left" w:pos="4962"/>
        </w:tabs>
        <w:spacing w:after="0" w:line="240" w:lineRule="auto"/>
        <w:ind w:firstLine="567"/>
        <w:rPr>
          <w:rFonts w:eastAsia="Times New Roman"/>
          <w:sz w:val="24"/>
          <w:szCs w:val="24"/>
        </w:rPr>
      </w:pPr>
    </w:p>
    <w:p w:rsidR="007E27CB" w:rsidRDefault="008F141F">
      <w:pPr>
        <w:tabs>
          <w:tab w:val="left" w:pos="4962"/>
        </w:tabs>
        <w:spacing w:after="0" w:line="240" w:lineRule="auto"/>
        <w:ind w:firstLine="567"/>
        <w:jc w:val="both"/>
        <w:rPr>
          <w:sz w:val="24"/>
          <w:szCs w:val="24"/>
        </w:rPr>
      </w:pPr>
      <w:r>
        <w:rPr>
          <w:sz w:val="24"/>
          <w:szCs w:val="24"/>
        </w:rPr>
        <w:t>Задачами органов государственной власти Томской области в сфере тарифной политики являются принятие тарифных решений на основе баланса экономических интересов потребителей и субъектов регулирования, с учетом предельных (максимальных) индексов изменения размера вносимой гражданами платы за коммунальные услуги (электроснабжение, газоснабжение, отопление, горячее водоснабжение, холодное водоснабжение, водоотведение), а также повышение (сохранение) доступности для потребителей товаров и услуг, реализуемых на регулируемых рынках товаров и услуг.</w:t>
      </w:r>
    </w:p>
    <w:p w:rsidR="007E27CB" w:rsidRDefault="008F141F">
      <w:pPr>
        <w:tabs>
          <w:tab w:val="left" w:pos="4962"/>
        </w:tabs>
        <w:spacing w:after="0" w:line="240" w:lineRule="auto"/>
        <w:ind w:firstLine="567"/>
        <w:jc w:val="both"/>
        <w:rPr>
          <w:sz w:val="24"/>
          <w:szCs w:val="24"/>
        </w:rPr>
      </w:pPr>
      <w:r>
        <w:rPr>
          <w:sz w:val="24"/>
          <w:szCs w:val="24"/>
        </w:rPr>
        <w:lastRenderedPageBreak/>
        <w:t xml:space="preserve">Тарифное регулирование в Томской области в 2019 году осуществлялось в рамках государственной программы «Улучшение инвестиционного климата, развитие внешних связей Томской области и соблюдение баланса экономических интересов потребителей и поставщиков на регулируемых рынках товаров и услуг». </w:t>
      </w:r>
    </w:p>
    <w:p w:rsidR="007E27CB" w:rsidRDefault="008F141F">
      <w:pPr>
        <w:tabs>
          <w:tab w:val="left" w:pos="4962"/>
        </w:tabs>
        <w:spacing w:after="0" w:line="240" w:lineRule="auto"/>
        <w:ind w:firstLine="567"/>
        <w:jc w:val="both"/>
        <w:rPr>
          <w:sz w:val="24"/>
          <w:szCs w:val="24"/>
        </w:rPr>
      </w:pPr>
      <w:r>
        <w:rPr>
          <w:sz w:val="24"/>
          <w:szCs w:val="24"/>
        </w:rPr>
        <w:t xml:space="preserve">Проведена экспертиза предложений об установлении тарифов и по результатам экспертизы установлено 574 тарифа на услуги 172 организаций, осуществляющих регулируемые виды деятельности на территории Томской области (в том числе принято </w:t>
      </w:r>
      <w:r>
        <w:rPr>
          <w:sz w:val="24"/>
          <w:szCs w:val="24"/>
        </w:rPr>
        <w:br/>
        <w:t xml:space="preserve">12 решений об установлении платы за технологическое присоединение). </w:t>
      </w:r>
    </w:p>
    <w:p w:rsidR="007E27CB" w:rsidRDefault="008F141F">
      <w:pPr>
        <w:tabs>
          <w:tab w:val="left" w:pos="4962"/>
        </w:tabs>
        <w:spacing w:after="0" w:line="240" w:lineRule="auto"/>
        <w:ind w:firstLine="567"/>
        <w:jc w:val="both"/>
        <w:rPr>
          <w:sz w:val="24"/>
          <w:szCs w:val="24"/>
        </w:rPr>
      </w:pPr>
      <w:r>
        <w:rPr>
          <w:sz w:val="24"/>
          <w:szCs w:val="24"/>
        </w:rPr>
        <w:t xml:space="preserve">При формировании тарифной политики в 2019 году: </w:t>
      </w:r>
    </w:p>
    <w:p w:rsidR="007E27CB" w:rsidRDefault="008F141F">
      <w:pPr>
        <w:pStyle w:val="a6"/>
        <w:numPr>
          <w:ilvl w:val="1"/>
          <w:numId w:val="34"/>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расчет тарифов на коммунальные услуги осуществлялся с учетом предельных (максимальных) индексов изменения размера вносимой гражданами платы за коммунальные услуги, установленных для Томской области  Правительством Российской Федерации и для муниципальных образований – Губернатором Томской области. Темп роста тарифов для населения на коммунальные услуги в среднем по Томской области не превысил 5,0%;</w:t>
      </w:r>
    </w:p>
    <w:p w:rsidR="007E27CB" w:rsidRDefault="008F141F">
      <w:pPr>
        <w:pStyle w:val="a6"/>
        <w:numPr>
          <w:ilvl w:val="1"/>
          <w:numId w:val="34"/>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сохранены без изменения размеры надбавок на жизненно необходимые и важнейшие лекарственные препараты, а также оптовых надбавок к фактическим отпускным ценам на медицинские изделия, включенные в перечень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 на территории Томской области;</w:t>
      </w:r>
    </w:p>
    <w:p w:rsidR="007E27CB" w:rsidRDefault="008F141F">
      <w:pPr>
        <w:pStyle w:val="a6"/>
        <w:numPr>
          <w:ilvl w:val="1"/>
          <w:numId w:val="34"/>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сохранены без изменения предельные размеры платы за проведение технического осмотра транспортных средств;</w:t>
      </w:r>
    </w:p>
    <w:p w:rsidR="007E27CB" w:rsidRDefault="008F141F">
      <w:pPr>
        <w:pStyle w:val="a6"/>
        <w:numPr>
          <w:ilvl w:val="1"/>
          <w:numId w:val="34"/>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в целях совершенствования тарифной политики на пассажирские перевозки автомобильным транспортом по пригородным маршрутам на территории Томской области, для исключения разрозненности в величине тарифов на одних и тех же участках муниципальных и межмуниципальных пригородных маршрутов Департаментом тарифного регулирования Томской области сформирован единый подход при рассмотрении вопросов изменения тарифов на перевозку пассажиров и багажа автомобильным транспортом. </w:t>
      </w:r>
    </w:p>
    <w:p w:rsidR="007E27CB" w:rsidRDefault="008F141F">
      <w:pPr>
        <w:tabs>
          <w:tab w:val="left" w:pos="4962"/>
        </w:tabs>
        <w:spacing w:after="0" w:line="240" w:lineRule="auto"/>
        <w:ind w:firstLine="567"/>
        <w:jc w:val="both"/>
        <w:rPr>
          <w:sz w:val="24"/>
          <w:szCs w:val="24"/>
        </w:rPr>
      </w:pPr>
      <w:r>
        <w:rPr>
          <w:sz w:val="24"/>
          <w:szCs w:val="24"/>
        </w:rPr>
        <w:t>Предельная стоимость проезда на пригородных маршрутах рассчитывается по формуле путем сложения стоимостей проезда в соответствующем муниципальном образовании и стоимости одного пассажиро-километра при проезде по межмуниципальной зоне.</w:t>
      </w:r>
    </w:p>
    <w:p w:rsidR="007E27CB" w:rsidRDefault="008F141F">
      <w:pPr>
        <w:tabs>
          <w:tab w:val="left" w:pos="4962"/>
        </w:tabs>
        <w:spacing w:after="0" w:line="240" w:lineRule="auto"/>
        <w:ind w:firstLine="567"/>
        <w:jc w:val="both"/>
        <w:rPr>
          <w:sz w:val="24"/>
          <w:szCs w:val="24"/>
        </w:rPr>
      </w:pPr>
      <w:r>
        <w:rPr>
          <w:sz w:val="24"/>
          <w:szCs w:val="24"/>
        </w:rPr>
        <w:t xml:space="preserve">Изменение тарифов на перевозки пассажиров на межмуниципальных междугородных маршрутах: </w:t>
      </w:r>
    </w:p>
    <w:p w:rsidR="007E27CB" w:rsidRDefault="008F141F">
      <w:pPr>
        <w:pStyle w:val="a6"/>
        <w:numPr>
          <w:ilvl w:val="0"/>
          <w:numId w:val="35"/>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 503 «Томск </w:t>
      </w:r>
      <w:r>
        <w:rPr>
          <w:sz w:val="24"/>
          <w:szCs w:val="24"/>
        </w:rPr>
        <w:t xml:space="preserve">– </w:t>
      </w:r>
      <w:r>
        <w:rPr>
          <w:rFonts w:ascii="Times New Roman" w:hAnsi="Times New Roman"/>
          <w:sz w:val="24"/>
          <w:szCs w:val="24"/>
        </w:rPr>
        <w:t>Итатка (Октябрьское)» увеличен на 12,9%. Предельная стоимость одного пассажиро-километра для данного маршрута не увеличивалась с 11.02.2013 (среднегодовой рост тарифа (в период с 2013 по 2019 год) составил 2,1%);</w:t>
      </w:r>
    </w:p>
    <w:p w:rsidR="007E27CB" w:rsidRDefault="008F141F">
      <w:pPr>
        <w:pStyle w:val="a6"/>
        <w:numPr>
          <w:ilvl w:val="0"/>
          <w:numId w:val="35"/>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 506 Томск </w:t>
      </w:r>
      <w:r>
        <w:rPr>
          <w:sz w:val="24"/>
          <w:szCs w:val="24"/>
        </w:rPr>
        <w:t xml:space="preserve">– </w:t>
      </w:r>
      <w:r>
        <w:rPr>
          <w:rFonts w:ascii="Times New Roman" w:hAnsi="Times New Roman"/>
          <w:sz w:val="24"/>
          <w:szCs w:val="24"/>
        </w:rPr>
        <w:t xml:space="preserve">Зырянское» увеличен на 13,6% Предельная стоимость не увеличивалась с 21.04.2016 (среднегодовой рост тарифа (в период с 2016 по 2019 год) </w:t>
      </w:r>
      <w:r>
        <w:rPr>
          <w:sz w:val="24"/>
          <w:szCs w:val="24"/>
        </w:rPr>
        <w:t>–</w:t>
      </w:r>
      <w:r>
        <w:rPr>
          <w:rFonts w:ascii="Times New Roman" w:hAnsi="Times New Roman"/>
          <w:sz w:val="24"/>
          <w:szCs w:val="24"/>
        </w:rPr>
        <w:t xml:space="preserve"> 4,5%);</w:t>
      </w:r>
    </w:p>
    <w:p w:rsidR="007E27CB" w:rsidRDefault="008F141F">
      <w:pPr>
        <w:pStyle w:val="a6"/>
        <w:numPr>
          <w:ilvl w:val="0"/>
          <w:numId w:val="35"/>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 511 «Кривошеино </w:t>
      </w:r>
      <w:r>
        <w:rPr>
          <w:sz w:val="24"/>
          <w:szCs w:val="24"/>
        </w:rPr>
        <w:t>–</w:t>
      </w:r>
      <w:r>
        <w:rPr>
          <w:rFonts w:ascii="Times New Roman" w:hAnsi="Times New Roman"/>
          <w:sz w:val="24"/>
          <w:szCs w:val="24"/>
        </w:rPr>
        <w:t xml:space="preserve"> Томск» увеличен в среднем на 20%. Предельная стоимость не увеличивалась с 11.02.2013 (среднегодовой рост тарифа (в период с 2013 по 2019 годы) </w:t>
      </w:r>
      <w:r>
        <w:rPr>
          <w:sz w:val="24"/>
          <w:szCs w:val="24"/>
        </w:rPr>
        <w:t>–</w:t>
      </w:r>
      <w:r>
        <w:rPr>
          <w:rFonts w:ascii="Times New Roman" w:hAnsi="Times New Roman"/>
          <w:sz w:val="24"/>
          <w:szCs w:val="24"/>
        </w:rPr>
        <w:t xml:space="preserve"> 2,9%);</w:t>
      </w:r>
    </w:p>
    <w:p w:rsidR="007E27CB" w:rsidRDefault="008F141F">
      <w:pPr>
        <w:pStyle w:val="a6"/>
        <w:numPr>
          <w:ilvl w:val="0"/>
          <w:numId w:val="35"/>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 515 «Томск </w:t>
      </w:r>
      <w:r>
        <w:rPr>
          <w:sz w:val="24"/>
          <w:szCs w:val="24"/>
        </w:rPr>
        <w:t xml:space="preserve">– </w:t>
      </w:r>
      <w:r>
        <w:rPr>
          <w:rFonts w:ascii="Times New Roman" w:hAnsi="Times New Roman"/>
          <w:sz w:val="24"/>
          <w:szCs w:val="24"/>
        </w:rPr>
        <w:t xml:space="preserve">Асино» и № 516 «Томск </w:t>
      </w:r>
      <w:r>
        <w:rPr>
          <w:sz w:val="24"/>
          <w:szCs w:val="24"/>
        </w:rPr>
        <w:t xml:space="preserve">– </w:t>
      </w:r>
      <w:r>
        <w:rPr>
          <w:rFonts w:ascii="Times New Roman" w:hAnsi="Times New Roman"/>
          <w:sz w:val="24"/>
          <w:szCs w:val="24"/>
        </w:rPr>
        <w:t xml:space="preserve">Первомайское» увеличены на 4,4%; </w:t>
      </w:r>
    </w:p>
    <w:p w:rsidR="007E27CB" w:rsidRDefault="008F141F">
      <w:pPr>
        <w:pStyle w:val="a6"/>
        <w:numPr>
          <w:ilvl w:val="0"/>
          <w:numId w:val="35"/>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 523 «Колпашево – Томск» увеличен в среднем на 3,4%;</w:t>
      </w:r>
    </w:p>
    <w:p w:rsidR="007E27CB" w:rsidRDefault="008F141F">
      <w:pPr>
        <w:pStyle w:val="a6"/>
        <w:numPr>
          <w:ilvl w:val="0"/>
          <w:numId w:val="35"/>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 524 «Томск </w:t>
      </w:r>
      <w:r>
        <w:rPr>
          <w:sz w:val="24"/>
          <w:szCs w:val="24"/>
        </w:rPr>
        <w:t xml:space="preserve">– </w:t>
      </w:r>
      <w:r>
        <w:rPr>
          <w:rFonts w:ascii="Times New Roman" w:hAnsi="Times New Roman"/>
          <w:sz w:val="24"/>
          <w:szCs w:val="24"/>
        </w:rPr>
        <w:t xml:space="preserve">Нарга» увеличен в среднем на 17%. Предельная стоимость не увеличивалась с 11.02.2013 (среднегодовой рост тарифа (в период с 2013 по 2019 годы) </w:t>
      </w:r>
      <w:r>
        <w:rPr>
          <w:sz w:val="24"/>
          <w:szCs w:val="24"/>
        </w:rPr>
        <w:t>–</w:t>
      </w:r>
      <w:r>
        <w:rPr>
          <w:rFonts w:ascii="Times New Roman" w:hAnsi="Times New Roman"/>
          <w:sz w:val="24"/>
          <w:szCs w:val="24"/>
        </w:rPr>
        <w:t xml:space="preserve"> 2,5%);</w:t>
      </w:r>
    </w:p>
    <w:p w:rsidR="007E27CB" w:rsidRDefault="008F141F">
      <w:pPr>
        <w:pStyle w:val="a6"/>
        <w:numPr>
          <w:ilvl w:val="0"/>
          <w:numId w:val="35"/>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lastRenderedPageBreak/>
        <w:t xml:space="preserve">№ 537 Томск </w:t>
      </w:r>
      <w:r>
        <w:rPr>
          <w:sz w:val="24"/>
          <w:szCs w:val="24"/>
        </w:rPr>
        <w:t xml:space="preserve">– </w:t>
      </w:r>
      <w:r>
        <w:rPr>
          <w:rFonts w:ascii="Times New Roman" w:hAnsi="Times New Roman"/>
          <w:sz w:val="24"/>
          <w:szCs w:val="24"/>
        </w:rPr>
        <w:t xml:space="preserve">Кожевниково» увеличен на 20,04%. Предельная стоимость не увеличивалась с 07.11.2016 (среднегодовой рост тарифа (в период с 2016 по 2019 годы) </w:t>
      </w:r>
      <w:r>
        <w:rPr>
          <w:sz w:val="24"/>
          <w:szCs w:val="24"/>
        </w:rPr>
        <w:t>–</w:t>
      </w:r>
      <w:r>
        <w:rPr>
          <w:rFonts w:ascii="Times New Roman" w:hAnsi="Times New Roman"/>
          <w:sz w:val="24"/>
          <w:szCs w:val="24"/>
        </w:rPr>
        <w:t xml:space="preserve"> 6,7%).</w:t>
      </w:r>
    </w:p>
    <w:p w:rsidR="007E27CB" w:rsidRDefault="008F141F">
      <w:pPr>
        <w:tabs>
          <w:tab w:val="left" w:pos="4962"/>
        </w:tabs>
        <w:spacing w:after="0" w:line="240" w:lineRule="auto"/>
        <w:ind w:firstLine="567"/>
        <w:jc w:val="both"/>
        <w:rPr>
          <w:sz w:val="24"/>
          <w:szCs w:val="24"/>
        </w:rPr>
      </w:pPr>
      <w:r>
        <w:rPr>
          <w:sz w:val="24"/>
          <w:szCs w:val="24"/>
        </w:rPr>
        <w:t>На реализацию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 19 муниципальным образованиям Томской области предоставлена субвенция из областного бюджета в размере 437,3 тыс. рубле;</w:t>
      </w:r>
    </w:p>
    <w:p w:rsidR="007E27CB" w:rsidRDefault="008F141F">
      <w:pPr>
        <w:pStyle w:val="a6"/>
        <w:numPr>
          <w:ilvl w:val="1"/>
          <w:numId w:val="34"/>
        </w:numPr>
        <w:tabs>
          <w:tab w:val="left" w:pos="993"/>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в 2019 году экономически обоснованные тарифы на услуги по перевозке пассажиров и багажа железнодорожным транспортом общего пользования в пригородном сообщении на территории Томской области по маршруту «Тайга </w:t>
      </w:r>
      <w:r>
        <w:rPr>
          <w:sz w:val="24"/>
          <w:szCs w:val="24"/>
        </w:rPr>
        <w:t>–</w:t>
      </w:r>
      <w:r>
        <w:rPr>
          <w:rFonts w:ascii="Times New Roman" w:hAnsi="Times New Roman"/>
          <w:sz w:val="24"/>
          <w:szCs w:val="24"/>
        </w:rPr>
        <w:t xml:space="preserve"> Томск-2» с 01.03.2019 увеличены по сравнению с 2018 годом на 4%, тарифы для населения – на 4% (уровень инфляции Минэкономразвития России на 2019 год). По маршруту «Томск-2 – Асино» экономически обоснованные тарифы и тарифы для населения остались на уровне 2018 года. </w:t>
      </w:r>
    </w:p>
    <w:p w:rsidR="007E27CB" w:rsidRDefault="008F141F">
      <w:pPr>
        <w:tabs>
          <w:tab w:val="left" w:pos="4962"/>
        </w:tabs>
        <w:spacing w:after="0" w:line="240" w:lineRule="auto"/>
        <w:ind w:firstLine="567"/>
        <w:jc w:val="both"/>
        <w:rPr>
          <w:sz w:val="24"/>
          <w:szCs w:val="24"/>
        </w:rPr>
      </w:pPr>
      <w:r>
        <w:rPr>
          <w:sz w:val="24"/>
          <w:szCs w:val="24"/>
        </w:rPr>
        <w:t>На компенсацию разницы между утвержденными экономически обоснованными тарифами и тарифами для населения АО «Кузбасс-Пригород» в 2019 году из областного бюджета выплачена субсидия в размере 10,2 млн. рублей;</w:t>
      </w:r>
    </w:p>
    <w:p w:rsidR="007E27CB" w:rsidRDefault="008F141F">
      <w:pPr>
        <w:tabs>
          <w:tab w:val="left" w:pos="4962"/>
        </w:tabs>
        <w:spacing w:after="0" w:line="240" w:lineRule="auto"/>
        <w:ind w:firstLine="567"/>
        <w:jc w:val="both"/>
        <w:rPr>
          <w:sz w:val="24"/>
          <w:szCs w:val="24"/>
        </w:rPr>
      </w:pPr>
      <w:r>
        <w:rPr>
          <w:sz w:val="24"/>
          <w:szCs w:val="24"/>
        </w:rPr>
        <w:t>6) в 2019 году утверждены инвестиционные программы пяти территориальных сетевых организаций - ООО «Сибирская электросеть», ОАО «РЖД», ООО «ИнвестГрадСтрой», Филиал «Забайкальский» АО «Оборонэнерго», ООО «Горсети».</w:t>
      </w:r>
    </w:p>
    <w:p w:rsidR="007E27CB" w:rsidRDefault="008F141F">
      <w:pPr>
        <w:tabs>
          <w:tab w:val="left" w:pos="4962"/>
        </w:tabs>
        <w:spacing w:after="0" w:line="240" w:lineRule="auto"/>
        <w:ind w:firstLine="567"/>
        <w:jc w:val="both"/>
        <w:rPr>
          <w:sz w:val="24"/>
          <w:szCs w:val="24"/>
        </w:rPr>
      </w:pPr>
      <w:r>
        <w:rPr>
          <w:sz w:val="24"/>
          <w:szCs w:val="24"/>
        </w:rPr>
        <w:t xml:space="preserve">Скорректированы инвестиционные программы трех территориальных сетевых организаций: ООО «Горсети», Филиал «Забайкальский» АО «Оборонэнерго», ООО «ИнвестГрадСтрой»,  трех организаций, оказывающих услуги в сфере теплоснабжения: АО «Томская генерация», АО «ТомскРТС», ООО «Стрежевой теплоэнергоснабжение», двух организаций, оказывающих услуги в сфере водоснабжения и водоотведения: ООО «Томскводоканал», ОАО «Северский водоканал». </w:t>
      </w:r>
    </w:p>
    <w:p w:rsidR="007E27CB" w:rsidRDefault="008F141F">
      <w:pPr>
        <w:tabs>
          <w:tab w:val="left" w:pos="4962"/>
        </w:tabs>
        <w:spacing w:after="0" w:line="240" w:lineRule="auto"/>
        <w:ind w:firstLine="567"/>
        <w:jc w:val="both"/>
        <w:rPr>
          <w:sz w:val="24"/>
          <w:szCs w:val="24"/>
        </w:rPr>
      </w:pPr>
      <w:r>
        <w:rPr>
          <w:sz w:val="24"/>
          <w:szCs w:val="24"/>
        </w:rPr>
        <w:t>Утверждены на 2019 год единые ставки платы за технологическое присоединение к электрическим сетям для всех территориальных сетевых организаций: ООО «Горсети», ПАО «ТРК», ООО «Энергонефть Томск», ООО «ИнвестГрадСтрой», ООО «Электросети» ЗАТО Северск, ООО «Сетевая компания Северска», Филиал «Забайкальский» АО «Оборонэнерго», ОАО «РЖД», ООО «Томскнефтехим», ООО «Томские электрические сети», ООО «Сибирская электросеть», АО «Томскгазпром»;</w:t>
      </w:r>
    </w:p>
    <w:p w:rsidR="007E27CB" w:rsidRDefault="008F141F">
      <w:pPr>
        <w:tabs>
          <w:tab w:val="left" w:pos="4962"/>
        </w:tabs>
        <w:spacing w:after="0" w:line="240" w:lineRule="auto"/>
        <w:ind w:firstLine="567"/>
        <w:jc w:val="both"/>
        <w:rPr>
          <w:sz w:val="24"/>
          <w:szCs w:val="24"/>
        </w:rPr>
      </w:pPr>
      <w:r>
        <w:rPr>
          <w:sz w:val="24"/>
          <w:szCs w:val="24"/>
        </w:rPr>
        <w:t xml:space="preserve">7) в целях компенсации расходов, возникающих в результате государственного регулирования цен (тарифов) на тепловую энергию для населения Томской области, Департаментом тарифного регулирования Томской области реализован механизм, позволяющий обеспечить доступную стоимость коммунальной услуги, сохраняя баланс интересов потребителя и теплоснабжающей организации. На компенсацию разницы между утвержденными экономически обоснованными тарифами и льготными тарифами теплоснабжающей организации АО «ТомскРТС» в 2019 году из областного бюджета выплачена субсидия в размере 172,6 млн. рублей. </w:t>
      </w:r>
    </w:p>
    <w:p w:rsidR="007E27CB" w:rsidRDefault="008F141F">
      <w:pPr>
        <w:tabs>
          <w:tab w:val="left" w:pos="4962"/>
        </w:tabs>
        <w:spacing w:after="0" w:line="240" w:lineRule="auto"/>
        <w:ind w:firstLine="567"/>
        <w:jc w:val="both"/>
        <w:rPr>
          <w:sz w:val="24"/>
          <w:szCs w:val="24"/>
        </w:rPr>
      </w:pPr>
      <w:r>
        <w:rPr>
          <w:sz w:val="24"/>
          <w:szCs w:val="24"/>
        </w:rPr>
        <w:t xml:space="preserve">В целях развития механизмов общественного контроля за деятельностью субъектов естественных монополий в 2019 году с участием потребителей проведено 4 заседания Межотраслевого совета потребителей по вопросам деятельности субъектов естественных монополий при Губернаторе Томской области, на которых рассмотрены проекты инвестиционных программ шести территориальных сетевых организаций, гарантирующего поставщика электрической энергии и проекты корректировок инвестиционных программ трех территориальных сетевых организаций. </w:t>
      </w:r>
    </w:p>
    <w:p w:rsidR="007E27CB" w:rsidRDefault="008F141F">
      <w:pPr>
        <w:tabs>
          <w:tab w:val="left" w:pos="4962"/>
        </w:tabs>
        <w:spacing w:after="0" w:line="240" w:lineRule="auto"/>
        <w:ind w:firstLine="567"/>
        <w:jc w:val="both"/>
        <w:rPr>
          <w:sz w:val="24"/>
          <w:szCs w:val="24"/>
        </w:rPr>
      </w:pPr>
      <w:r>
        <w:rPr>
          <w:sz w:val="24"/>
          <w:szCs w:val="24"/>
        </w:rPr>
        <w:t xml:space="preserve">С учетом рекомендаций Межотраслевого совета в 2019 году утвержден льготный размер платы за подключение для потребителей, подключаемая тепловая нагрузка объекта </w:t>
      </w:r>
      <w:r>
        <w:rPr>
          <w:sz w:val="24"/>
          <w:szCs w:val="24"/>
        </w:rPr>
        <w:lastRenderedPageBreak/>
        <w:t>капитального строительства которых не превышает 0,1 Гкал/ч, с учетом ранее присоединенной тепловой нагрузки в данной точке подключения, на 2020 – 2021 годы;</w:t>
      </w:r>
    </w:p>
    <w:p w:rsidR="007E27CB" w:rsidRDefault="008F141F">
      <w:pPr>
        <w:tabs>
          <w:tab w:val="left" w:pos="4962"/>
        </w:tabs>
        <w:spacing w:after="0" w:line="240" w:lineRule="auto"/>
        <w:ind w:firstLine="567"/>
        <w:jc w:val="both"/>
        <w:rPr>
          <w:sz w:val="24"/>
          <w:szCs w:val="24"/>
        </w:rPr>
      </w:pPr>
      <w:r>
        <w:rPr>
          <w:sz w:val="24"/>
          <w:szCs w:val="24"/>
        </w:rPr>
        <w:t>8) в 2019 году в рамках перехода на новую систему обращения с твердыми бытовыми коммунальными отходами (далее по разделу - ТКО) на территории Томской области осуществлялся переход к установлению предельных тарифов в сфере обращения с ТКО.</w:t>
      </w:r>
    </w:p>
    <w:p w:rsidR="007E27CB" w:rsidRDefault="008F141F">
      <w:pPr>
        <w:tabs>
          <w:tab w:val="left" w:pos="4962"/>
        </w:tabs>
        <w:spacing w:after="0" w:line="240" w:lineRule="auto"/>
        <w:ind w:firstLine="567"/>
        <w:jc w:val="both"/>
        <w:rPr>
          <w:sz w:val="24"/>
          <w:szCs w:val="24"/>
        </w:rPr>
      </w:pPr>
      <w:r>
        <w:rPr>
          <w:sz w:val="24"/>
          <w:szCs w:val="24"/>
        </w:rPr>
        <w:t>В соответствии с нормами Федерального закона «Об отходах производства и потребления» установлены предельные единые тарифы на услугу регионального оператора по обращению с ТКО для регионального оператора седьмой зоны деятельности на территории Томской области (город Томск и Томский район), определенного по результатам конкурсного отбора;</w:t>
      </w:r>
    </w:p>
    <w:p w:rsidR="007E27CB" w:rsidRDefault="008F141F">
      <w:pPr>
        <w:tabs>
          <w:tab w:val="left" w:pos="4962"/>
        </w:tabs>
        <w:spacing w:after="0" w:line="240" w:lineRule="auto"/>
        <w:ind w:firstLine="567"/>
        <w:jc w:val="both"/>
        <w:rPr>
          <w:sz w:val="24"/>
          <w:szCs w:val="24"/>
        </w:rPr>
      </w:pPr>
      <w:r>
        <w:rPr>
          <w:sz w:val="24"/>
          <w:szCs w:val="24"/>
        </w:rPr>
        <w:t xml:space="preserve">9) на территории муниципальных районов в течение 2019 года проводилась разъяснительная работа с населением и другими потребителями коммунальных услуг по вопросам тарифного регулирования, ценообразования в жилищно-коммунальной сфере. </w:t>
      </w:r>
    </w:p>
    <w:p w:rsidR="007E27CB" w:rsidRDefault="008F141F">
      <w:pPr>
        <w:tabs>
          <w:tab w:val="left" w:pos="4962"/>
        </w:tabs>
        <w:spacing w:after="0" w:line="240" w:lineRule="auto"/>
        <w:ind w:firstLine="567"/>
        <w:jc w:val="both"/>
        <w:rPr>
          <w:sz w:val="24"/>
          <w:szCs w:val="24"/>
        </w:rPr>
      </w:pPr>
      <w:r>
        <w:rPr>
          <w:sz w:val="24"/>
          <w:szCs w:val="24"/>
        </w:rPr>
        <w:t xml:space="preserve">В 2019 году проведена одна плановая проверка соблюдения порядка ценообразования в отношении ООО «ОТЭК». По итогам проверки выдано предписание об устранении нарушений обязательных требований. </w:t>
      </w:r>
    </w:p>
    <w:p w:rsidR="007E27CB" w:rsidRDefault="008F141F">
      <w:pPr>
        <w:tabs>
          <w:tab w:val="left" w:pos="4962"/>
        </w:tabs>
        <w:spacing w:after="0" w:line="240" w:lineRule="auto"/>
        <w:ind w:firstLine="567"/>
        <w:jc w:val="both"/>
        <w:rPr>
          <w:sz w:val="24"/>
          <w:szCs w:val="24"/>
        </w:rPr>
      </w:pPr>
      <w:r>
        <w:rPr>
          <w:sz w:val="24"/>
          <w:szCs w:val="24"/>
        </w:rPr>
        <w:t>По результатам контрольных мероприятий в 2019 году выявлено 56 правонарушений, предусмотренных частью 1 статьи 19.7.1, частью 2 статьи 14.6, частью 1 статьи 19.8.1 КоАП РФ. По результатам рассмотрения дел об административных правонарушениях 19 юридических лиц и 22 должностных лица привлечены к административной ответственности. Общая сумма наложенных административных штрафов за 2018 – 2019 годы составила 897 тыс. рублей, в доход областного бюджета в 2019 году взысканы административные штрафы на сумму 236,5 тыс. рублей.</w:t>
      </w:r>
    </w:p>
    <w:p w:rsidR="007E27CB" w:rsidRDefault="007E27CB">
      <w:pPr>
        <w:tabs>
          <w:tab w:val="left" w:pos="4962"/>
        </w:tabs>
        <w:spacing w:after="0" w:line="240" w:lineRule="auto"/>
        <w:ind w:firstLine="709"/>
        <w:jc w:val="both"/>
        <w:rPr>
          <w:sz w:val="24"/>
          <w:szCs w:val="24"/>
        </w:rPr>
      </w:pPr>
    </w:p>
    <w:p w:rsidR="007E27CB" w:rsidRDefault="008F141F">
      <w:pPr>
        <w:shd w:val="clear" w:color="auto" w:fill="F2F2F2" w:themeFill="background1" w:themeFillShade="F2"/>
        <w:tabs>
          <w:tab w:val="left" w:pos="4962"/>
        </w:tabs>
        <w:spacing w:after="0" w:line="240" w:lineRule="auto"/>
        <w:jc w:val="both"/>
        <w:rPr>
          <w:b/>
          <w:sz w:val="24"/>
          <w:szCs w:val="24"/>
        </w:rPr>
      </w:pPr>
      <w:r>
        <w:rPr>
          <w:b/>
          <w:sz w:val="24"/>
          <w:szCs w:val="24"/>
        </w:rPr>
        <w:t xml:space="preserve">Перспективные задачи </w:t>
      </w:r>
    </w:p>
    <w:p w:rsidR="007E27CB" w:rsidRDefault="007E27CB">
      <w:pPr>
        <w:tabs>
          <w:tab w:val="left" w:pos="284"/>
          <w:tab w:val="left" w:pos="4962"/>
        </w:tabs>
        <w:spacing w:after="0" w:line="240" w:lineRule="auto"/>
        <w:jc w:val="both"/>
        <w:rPr>
          <w:sz w:val="24"/>
          <w:szCs w:val="24"/>
        </w:rPr>
      </w:pPr>
    </w:p>
    <w:p w:rsidR="007E27CB" w:rsidRDefault="008F141F">
      <w:pPr>
        <w:tabs>
          <w:tab w:val="left" w:pos="284"/>
          <w:tab w:val="left" w:pos="4962"/>
        </w:tabs>
        <w:spacing w:after="0" w:line="240" w:lineRule="auto"/>
        <w:jc w:val="both"/>
        <w:rPr>
          <w:sz w:val="24"/>
          <w:szCs w:val="24"/>
        </w:rPr>
      </w:pPr>
      <w:r>
        <w:rPr>
          <w:sz w:val="24"/>
          <w:szCs w:val="24"/>
        </w:rPr>
        <w:t xml:space="preserve">1. Определение предельных индексов изменения размера платы граждан за коммунальные услуги по муниципальным образованиям Томской области, соблюдение предельных значений данных индексов в течение года. </w:t>
      </w:r>
    </w:p>
    <w:p w:rsidR="007E27CB" w:rsidRDefault="008F141F">
      <w:pPr>
        <w:tabs>
          <w:tab w:val="left" w:pos="284"/>
          <w:tab w:val="left" w:pos="4962"/>
        </w:tabs>
        <w:spacing w:after="0" w:line="240" w:lineRule="auto"/>
        <w:jc w:val="both"/>
        <w:rPr>
          <w:sz w:val="24"/>
          <w:szCs w:val="24"/>
        </w:rPr>
      </w:pPr>
      <w:r>
        <w:rPr>
          <w:sz w:val="24"/>
          <w:szCs w:val="24"/>
        </w:rPr>
        <w:t>2. Осуществление перехода на долгосрочные (на 5-летний период) параметры регулирования ресурсоснабжающих организаций в сфере теплоснабжения, водоснабжения и водоотведения.</w:t>
      </w:r>
    </w:p>
    <w:p w:rsidR="007E27CB" w:rsidRDefault="008F141F">
      <w:pPr>
        <w:tabs>
          <w:tab w:val="left" w:pos="284"/>
          <w:tab w:val="left" w:pos="4962"/>
        </w:tabs>
        <w:spacing w:after="0" w:line="240" w:lineRule="auto"/>
        <w:jc w:val="both"/>
        <w:rPr>
          <w:sz w:val="24"/>
          <w:szCs w:val="24"/>
        </w:rPr>
      </w:pPr>
      <w:r>
        <w:rPr>
          <w:sz w:val="24"/>
          <w:szCs w:val="24"/>
        </w:rPr>
        <w:t>3. Осуществление перехода на долгосрочные (на 3-летний период) параметры регулирования региональных операторов, осуществляющих деятельность на территории Томской области в области обращения с ТКО.</w:t>
      </w:r>
    </w:p>
    <w:p w:rsidR="007E27CB" w:rsidRDefault="008F141F">
      <w:pPr>
        <w:tabs>
          <w:tab w:val="left" w:pos="284"/>
          <w:tab w:val="left" w:pos="4962"/>
        </w:tabs>
        <w:spacing w:after="0" w:line="240" w:lineRule="auto"/>
        <w:jc w:val="both"/>
        <w:rPr>
          <w:sz w:val="24"/>
          <w:szCs w:val="24"/>
        </w:rPr>
      </w:pPr>
      <w:r>
        <w:rPr>
          <w:sz w:val="24"/>
          <w:szCs w:val="24"/>
        </w:rPr>
        <w:t>4. Возмещение недополученных доходов организациям железнодорожного транспорта общего пользования пригородного сообщения, возникающих вследствие установления предельных уровней тарифов на услуги по перевозке пассажиров железнодорожным транспортом общего пользования в пригородном сообщении.</w:t>
      </w:r>
    </w:p>
    <w:p w:rsidR="007E27CB" w:rsidRDefault="008F141F">
      <w:pPr>
        <w:tabs>
          <w:tab w:val="left" w:pos="284"/>
          <w:tab w:val="left" w:pos="4962"/>
        </w:tabs>
        <w:spacing w:after="0" w:line="240" w:lineRule="auto"/>
        <w:jc w:val="both"/>
        <w:rPr>
          <w:sz w:val="24"/>
          <w:szCs w:val="24"/>
        </w:rPr>
      </w:pPr>
      <w:r>
        <w:rPr>
          <w:sz w:val="24"/>
          <w:szCs w:val="24"/>
        </w:rPr>
        <w:t>5. Возмещение недополученных доходов ресурсоснабжающим организациям, возникающих вследствие установления льготных тарифов на тепловую энергию (мощность) и (или) горячую воду.</w:t>
      </w:r>
    </w:p>
    <w:p w:rsidR="007E27CB" w:rsidRDefault="008F141F">
      <w:pPr>
        <w:tabs>
          <w:tab w:val="left" w:pos="284"/>
          <w:tab w:val="left" w:pos="4962"/>
        </w:tabs>
        <w:spacing w:after="0" w:line="240" w:lineRule="auto"/>
        <w:jc w:val="both"/>
        <w:rPr>
          <w:sz w:val="24"/>
          <w:szCs w:val="24"/>
        </w:rPr>
      </w:pPr>
      <w:r>
        <w:rPr>
          <w:sz w:val="24"/>
          <w:szCs w:val="24"/>
        </w:rPr>
        <w:t>6. Осуществление государственного контроля (надзора) за соблюдением тарифов регулируемыми организациями.</w:t>
      </w:r>
    </w:p>
    <w:p w:rsidR="007E27CB" w:rsidRDefault="007E27CB">
      <w:pPr>
        <w:tabs>
          <w:tab w:val="left" w:pos="4962"/>
        </w:tabs>
        <w:spacing w:after="0" w:line="240" w:lineRule="auto"/>
        <w:rPr>
          <w:rFonts w:eastAsia="Times New Roman"/>
          <w:b/>
          <w:sz w:val="24"/>
          <w:szCs w:val="24"/>
        </w:rPr>
      </w:pPr>
    </w:p>
    <w:p w:rsidR="007E27CB" w:rsidRDefault="007E27CB">
      <w:pPr>
        <w:tabs>
          <w:tab w:val="left" w:pos="567"/>
        </w:tabs>
        <w:spacing w:after="0" w:line="240" w:lineRule="auto"/>
        <w:ind w:firstLine="567"/>
        <w:rPr>
          <w:rFonts w:eastAsia="Times New Roman"/>
          <w:b/>
          <w:sz w:val="24"/>
          <w:szCs w:val="24"/>
        </w:rPr>
      </w:pPr>
    </w:p>
    <w:p w:rsidR="007E27CB" w:rsidRDefault="007E27CB">
      <w:pPr>
        <w:tabs>
          <w:tab w:val="left" w:pos="567"/>
        </w:tabs>
        <w:spacing w:after="0" w:line="240" w:lineRule="auto"/>
        <w:ind w:firstLine="567"/>
        <w:rPr>
          <w:rFonts w:eastAsia="Times New Roman"/>
          <w:b/>
          <w:sz w:val="24"/>
          <w:szCs w:val="24"/>
        </w:rPr>
      </w:pPr>
    </w:p>
    <w:p w:rsidR="007E27CB" w:rsidRDefault="007E27CB">
      <w:pPr>
        <w:tabs>
          <w:tab w:val="left" w:pos="567"/>
        </w:tabs>
        <w:spacing w:after="0" w:line="240" w:lineRule="auto"/>
        <w:ind w:firstLine="567"/>
        <w:rPr>
          <w:rFonts w:eastAsia="Times New Roman"/>
          <w:b/>
          <w:sz w:val="24"/>
          <w:szCs w:val="24"/>
        </w:rPr>
      </w:pPr>
    </w:p>
    <w:p w:rsidR="007E27CB" w:rsidRDefault="008F141F">
      <w:pPr>
        <w:tabs>
          <w:tab w:val="left" w:pos="567"/>
        </w:tabs>
        <w:spacing w:after="0" w:line="240" w:lineRule="auto"/>
        <w:ind w:firstLine="567"/>
        <w:rPr>
          <w:rFonts w:eastAsia="Times New Roman"/>
          <w:b/>
          <w:sz w:val="24"/>
          <w:szCs w:val="24"/>
        </w:rPr>
      </w:pPr>
      <w:r>
        <w:rPr>
          <w:rFonts w:eastAsia="Times New Roman"/>
          <w:b/>
          <w:sz w:val="24"/>
          <w:szCs w:val="24"/>
        </w:rPr>
        <w:lastRenderedPageBreak/>
        <w:t>МЕЖДУНАРОДНАЯ И МЕЖРЕГИОНАЛЬНАЯ ДЕЯТЕЛЬНОСТЬ</w:t>
      </w:r>
      <w:r>
        <w:rPr>
          <w:rStyle w:val="af3"/>
          <w:rFonts w:eastAsia="Times New Roman"/>
          <w:b/>
          <w:sz w:val="24"/>
          <w:szCs w:val="24"/>
        </w:rPr>
        <w:footnoteReference w:id="8"/>
      </w:r>
    </w:p>
    <w:p w:rsidR="007E27CB" w:rsidRDefault="007E27CB">
      <w:pPr>
        <w:tabs>
          <w:tab w:val="left" w:pos="4962"/>
        </w:tabs>
        <w:spacing w:after="0" w:line="240" w:lineRule="auto"/>
        <w:ind w:firstLine="567"/>
        <w:rPr>
          <w:rFonts w:eastAsia="Times New Roman"/>
          <w:sz w:val="24"/>
          <w:szCs w:val="24"/>
        </w:rPr>
      </w:pPr>
    </w:p>
    <w:p w:rsidR="007E27CB" w:rsidRDefault="008F141F">
      <w:pPr>
        <w:tabs>
          <w:tab w:val="left" w:pos="567"/>
        </w:tabs>
        <w:spacing w:after="0" w:line="240" w:lineRule="auto"/>
        <w:ind w:firstLine="567"/>
        <w:jc w:val="both"/>
        <w:rPr>
          <w:sz w:val="24"/>
          <w:szCs w:val="24"/>
        </w:rPr>
      </w:pPr>
      <w:r>
        <w:rPr>
          <w:noProof/>
          <w:sz w:val="24"/>
          <w:szCs w:val="24"/>
          <w:lang w:eastAsia="ru-RU"/>
        </w:rPr>
        <w:drawing>
          <wp:anchor distT="0" distB="0" distL="114300" distR="114300" simplePos="0" relativeHeight="251692032" behindDoc="0" locked="0" layoutInCell="1" allowOverlap="1">
            <wp:simplePos x="0" y="0"/>
            <wp:positionH relativeFrom="column">
              <wp:posOffset>3155950</wp:posOffset>
            </wp:positionH>
            <wp:positionV relativeFrom="paragraph">
              <wp:posOffset>84455</wp:posOffset>
            </wp:positionV>
            <wp:extent cx="3023870" cy="2340610"/>
            <wp:effectExtent l="0" t="0" r="24130" b="21590"/>
            <wp:wrapSquare wrapText="bothSides"/>
            <wp:docPr id="5" name="Диаграмма 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r>
        <w:rPr>
          <w:sz w:val="24"/>
          <w:szCs w:val="24"/>
        </w:rPr>
        <w:t>В Томской области большое внимание уделяется развитию международных и межрегиональных связей. Государственной программой Томской области «Улучшение инвестиционного климата и развитие экспорта Томской области» закреплен показатель «темп роста внешнеторгового оборота Томской области», фактическое значение которого в 2019 году составило 108,4%.</w:t>
      </w:r>
    </w:p>
    <w:p w:rsidR="007E27CB" w:rsidRDefault="008F141F">
      <w:pPr>
        <w:tabs>
          <w:tab w:val="left" w:pos="4962"/>
        </w:tabs>
        <w:spacing w:after="0" w:line="240" w:lineRule="auto"/>
        <w:ind w:firstLine="567"/>
        <w:jc w:val="both"/>
        <w:rPr>
          <w:rFonts w:eastAsia="Times New Roman"/>
          <w:spacing w:val="-4"/>
          <w:sz w:val="24"/>
          <w:szCs w:val="24"/>
          <w:lang w:eastAsia="x-none"/>
        </w:rPr>
      </w:pPr>
      <w:r>
        <w:rPr>
          <w:rFonts w:eastAsia="Times New Roman"/>
          <w:b/>
          <w:spacing w:val="-4"/>
          <w:sz w:val="24"/>
          <w:szCs w:val="24"/>
          <w:lang w:eastAsia="x-none"/>
        </w:rPr>
        <w:t>Объем</w:t>
      </w:r>
      <w:r>
        <w:rPr>
          <w:rFonts w:eastAsia="Times New Roman"/>
          <w:b/>
          <w:spacing w:val="-4"/>
          <w:sz w:val="24"/>
          <w:szCs w:val="24"/>
          <w:lang w:val="x-none" w:eastAsia="x-none"/>
        </w:rPr>
        <w:t xml:space="preserve"> экспорта</w:t>
      </w:r>
      <w:r>
        <w:rPr>
          <w:rFonts w:eastAsia="Times New Roman"/>
          <w:spacing w:val="-4"/>
          <w:sz w:val="24"/>
          <w:szCs w:val="24"/>
          <w:lang w:val="x-none" w:eastAsia="x-none"/>
        </w:rPr>
        <w:t xml:space="preserve"> составил </w:t>
      </w:r>
      <w:r>
        <w:rPr>
          <w:rFonts w:eastAsia="Times New Roman"/>
          <w:spacing w:val="-4"/>
          <w:sz w:val="24"/>
          <w:szCs w:val="24"/>
          <w:lang w:eastAsia="x-none"/>
        </w:rPr>
        <w:t>314</w:t>
      </w:r>
      <w:r>
        <w:rPr>
          <w:rFonts w:eastAsia="Times New Roman"/>
          <w:spacing w:val="-4"/>
          <w:sz w:val="24"/>
          <w:szCs w:val="24"/>
          <w:lang w:val="x-none" w:eastAsia="x-none"/>
        </w:rPr>
        <w:t xml:space="preserve"> млн. долл. США и </w:t>
      </w:r>
      <w:r>
        <w:rPr>
          <w:rFonts w:eastAsia="Times New Roman"/>
          <w:spacing w:val="-4"/>
          <w:sz w:val="24"/>
          <w:szCs w:val="24"/>
          <w:lang w:eastAsia="x-none"/>
        </w:rPr>
        <w:t>снизился</w:t>
      </w:r>
      <w:r>
        <w:rPr>
          <w:rFonts w:eastAsia="Times New Roman"/>
          <w:spacing w:val="-4"/>
          <w:sz w:val="24"/>
          <w:szCs w:val="24"/>
          <w:lang w:val="x-none" w:eastAsia="x-none"/>
        </w:rPr>
        <w:t xml:space="preserve"> по сравнению с аналогичным периодом прошлого года на </w:t>
      </w:r>
      <w:r>
        <w:rPr>
          <w:rFonts w:eastAsia="Times New Roman"/>
          <w:spacing w:val="-4"/>
          <w:sz w:val="24"/>
          <w:szCs w:val="24"/>
          <w:lang w:eastAsia="x-none"/>
        </w:rPr>
        <w:t>2,2</w:t>
      </w:r>
      <w:r>
        <w:rPr>
          <w:rFonts w:eastAsia="Times New Roman"/>
          <w:spacing w:val="-4"/>
          <w:sz w:val="24"/>
          <w:szCs w:val="24"/>
          <w:lang w:val="x-none" w:eastAsia="x-none"/>
        </w:rPr>
        <w:t>%</w:t>
      </w:r>
      <w:r>
        <w:rPr>
          <w:rFonts w:eastAsia="Times New Roman"/>
          <w:spacing w:val="-4"/>
          <w:sz w:val="24"/>
          <w:szCs w:val="24"/>
          <w:lang w:eastAsia="x-none"/>
        </w:rPr>
        <w:t>, снижение произошло за счет группы энергетических товаров. Объем несырьевого неэнергетического экспорта, наоборот, вырос, в большей мере из-за роста стоимости поставок продовольственных товаров и химической продукции.</w:t>
      </w:r>
    </w:p>
    <w:p w:rsidR="007E27CB" w:rsidRDefault="008F141F">
      <w:pPr>
        <w:tabs>
          <w:tab w:val="left" w:pos="4962"/>
        </w:tabs>
        <w:spacing w:after="0" w:line="240" w:lineRule="auto"/>
        <w:ind w:firstLine="567"/>
        <w:jc w:val="both"/>
        <w:rPr>
          <w:rFonts w:eastAsia="Times New Roman"/>
          <w:spacing w:val="-4"/>
          <w:sz w:val="24"/>
          <w:szCs w:val="24"/>
          <w:lang w:val="x-none" w:eastAsia="x-none"/>
        </w:rPr>
      </w:pPr>
      <w:r>
        <w:rPr>
          <w:rFonts w:eastAsia="Times New Roman"/>
          <w:spacing w:val="-4"/>
          <w:sz w:val="24"/>
          <w:szCs w:val="24"/>
          <w:lang w:val="x-none" w:eastAsia="x-none"/>
        </w:rPr>
        <w:t xml:space="preserve">Доля экспорта во внешнеторговом обороте </w:t>
      </w:r>
      <w:r>
        <w:rPr>
          <w:rFonts w:eastAsia="Times New Roman"/>
          <w:spacing w:val="-4"/>
          <w:sz w:val="24"/>
          <w:szCs w:val="24"/>
          <w:lang w:eastAsia="x-none"/>
        </w:rPr>
        <w:t>снизилась</w:t>
      </w:r>
      <w:r>
        <w:rPr>
          <w:rFonts w:eastAsia="Times New Roman"/>
          <w:spacing w:val="-4"/>
          <w:sz w:val="24"/>
          <w:szCs w:val="24"/>
          <w:lang w:val="x-none" w:eastAsia="x-none"/>
        </w:rPr>
        <w:t xml:space="preserve"> до </w:t>
      </w:r>
      <w:r>
        <w:rPr>
          <w:rFonts w:eastAsia="Times New Roman"/>
          <w:spacing w:val="-4"/>
          <w:sz w:val="24"/>
          <w:szCs w:val="24"/>
          <w:lang w:eastAsia="x-none"/>
        </w:rPr>
        <w:t>44,8</w:t>
      </w:r>
      <w:r>
        <w:rPr>
          <w:rFonts w:eastAsia="Times New Roman"/>
          <w:spacing w:val="-4"/>
          <w:sz w:val="24"/>
          <w:szCs w:val="24"/>
          <w:lang w:val="x-none" w:eastAsia="x-none"/>
        </w:rPr>
        <w:t xml:space="preserve">% (за аналогичный период 2018 года – </w:t>
      </w:r>
      <w:r>
        <w:rPr>
          <w:rFonts w:eastAsia="Times New Roman"/>
          <w:spacing w:val="-4"/>
          <w:sz w:val="24"/>
          <w:szCs w:val="24"/>
          <w:lang w:eastAsia="x-none"/>
        </w:rPr>
        <w:t>49,6</w:t>
      </w:r>
      <w:r>
        <w:rPr>
          <w:rFonts w:eastAsia="Times New Roman"/>
          <w:spacing w:val="-4"/>
          <w:sz w:val="24"/>
          <w:szCs w:val="24"/>
          <w:lang w:val="x-none" w:eastAsia="x-none"/>
        </w:rPr>
        <w:t>%).</w:t>
      </w:r>
    </w:p>
    <w:p w:rsidR="007E27CB" w:rsidRDefault="008F141F">
      <w:pPr>
        <w:tabs>
          <w:tab w:val="left" w:pos="4962"/>
        </w:tabs>
        <w:spacing w:after="0" w:line="240" w:lineRule="auto"/>
        <w:ind w:firstLine="567"/>
        <w:jc w:val="both"/>
        <w:rPr>
          <w:rFonts w:eastAsia="Times New Roman"/>
          <w:spacing w:val="-4"/>
          <w:sz w:val="24"/>
          <w:szCs w:val="24"/>
          <w:lang w:val="x-none" w:eastAsia="x-none"/>
        </w:rPr>
      </w:pPr>
      <w:r>
        <w:rPr>
          <w:rFonts w:eastAsia="Times New Roman"/>
          <w:spacing w:val="-4"/>
          <w:sz w:val="24"/>
          <w:szCs w:val="24"/>
          <w:lang w:val="x-none" w:eastAsia="x-none"/>
        </w:rPr>
        <w:t xml:space="preserve">В товарной структуре экспорта преобладали следующие группы товаров: </w:t>
      </w:r>
    </w:p>
    <w:p w:rsidR="007E27CB" w:rsidRDefault="008F141F">
      <w:pPr>
        <w:pStyle w:val="a6"/>
        <w:numPr>
          <w:ilvl w:val="0"/>
          <w:numId w:val="122"/>
        </w:numPr>
        <w:tabs>
          <w:tab w:val="left" w:pos="851"/>
        </w:tabs>
        <w:spacing w:after="0" w:line="240" w:lineRule="auto"/>
        <w:ind w:left="0" w:firstLine="567"/>
        <w:jc w:val="both"/>
        <w:rPr>
          <w:rFonts w:ascii="Times New Roman" w:eastAsia="Times New Roman" w:hAnsi="Times New Roman"/>
          <w:spacing w:val="-4"/>
          <w:sz w:val="24"/>
          <w:szCs w:val="24"/>
          <w:lang w:val="x-none" w:eastAsia="x-none"/>
        </w:rPr>
      </w:pPr>
      <w:r>
        <w:rPr>
          <w:rFonts w:ascii="Times New Roman" w:eastAsia="Times New Roman" w:hAnsi="Times New Roman"/>
          <w:spacing w:val="-4"/>
          <w:sz w:val="24"/>
          <w:szCs w:val="24"/>
          <w:lang w:val="x-none" w:eastAsia="x-none"/>
        </w:rPr>
        <w:t xml:space="preserve">древесина и изделия из нее – </w:t>
      </w:r>
      <w:r>
        <w:rPr>
          <w:rFonts w:ascii="Times New Roman" w:eastAsia="Times New Roman" w:hAnsi="Times New Roman"/>
          <w:spacing w:val="-4"/>
          <w:sz w:val="24"/>
          <w:szCs w:val="24"/>
          <w:lang w:eastAsia="x-none"/>
        </w:rPr>
        <w:t>55,8</w:t>
      </w:r>
      <w:r>
        <w:rPr>
          <w:rFonts w:ascii="Times New Roman" w:eastAsia="Times New Roman" w:hAnsi="Times New Roman"/>
          <w:spacing w:val="-4"/>
          <w:sz w:val="24"/>
          <w:szCs w:val="24"/>
          <w:lang w:val="x-none" w:eastAsia="x-none"/>
        </w:rPr>
        <w:t>%,</w:t>
      </w:r>
      <w:r>
        <w:rPr>
          <w:rFonts w:ascii="Times New Roman" w:eastAsia="Times New Roman" w:hAnsi="Times New Roman"/>
          <w:spacing w:val="-4"/>
          <w:sz w:val="24"/>
          <w:szCs w:val="24"/>
          <w:lang w:eastAsia="x-none"/>
        </w:rPr>
        <w:t xml:space="preserve"> з</w:t>
      </w:r>
      <w:r>
        <w:rPr>
          <w:rFonts w:ascii="Times New Roman" w:eastAsia="Times New Roman" w:hAnsi="Times New Roman"/>
          <w:spacing w:val="-4"/>
          <w:sz w:val="24"/>
          <w:szCs w:val="24"/>
          <w:lang w:val="x-none" w:eastAsia="x-none"/>
        </w:rPr>
        <w:t xml:space="preserve">а </w:t>
      </w:r>
      <w:r>
        <w:rPr>
          <w:rFonts w:ascii="Times New Roman" w:eastAsia="Times New Roman" w:hAnsi="Times New Roman"/>
          <w:spacing w:val="-4"/>
          <w:sz w:val="24"/>
          <w:szCs w:val="24"/>
          <w:lang w:eastAsia="x-none"/>
        </w:rPr>
        <w:t xml:space="preserve">отчетный </w:t>
      </w:r>
      <w:r>
        <w:rPr>
          <w:rFonts w:ascii="Times New Roman" w:eastAsia="Times New Roman" w:hAnsi="Times New Roman"/>
          <w:spacing w:val="-4"/>
          <w:sz w:val="24"/>
          <w:szCs w:val="24"/>
          <w:lang w:val="x-none" w:eastAsia="x-none"/>
        </w:rPr>
        <w:t xml:space="preserve">период вывоз данной продукции составил </w:t>
      </w:r>
      <w:r>
        <w:rPr>
          <w:rFonts w:ascii="Times New Roman" w:eastAsia="Times New Roman" w:hAnsi="Times New Roman"/>
          <w:spacing w:val="-4"/>
          <w:sz w:val="24"/>
          <w:szCs w:val="24"/>
          <w:lang w:eastAsia="x-none"/>
        </w:rPr>
        <w:t>175,2</w:t>
      </w:r>
      <w:r>
        <w:rPr>
          <w:rFonts w:ascii="Times New Roman" w:eastAsia="Times New Roman" w:hAnsi="Times New Roman"/>
          <w:spacing w:val="-4"/>
          <w:sz w:val="24"/>
          <w:szCs w:val="24"/>
          <w:lang w:val="x-none" w:eastAsia="x-none"/>
        </w:rPr>
        <w:t xml:space="preserve"> млн. долл. США, что </w:t>
      </w:r>
      <w:r>
        <w:rPr>
          <w:rFonts w:ascii="Times New Roman" w:eastAsia="Times New Roman" w:hAnsi="Times New Roman"/>
          <w:spacing w:val="-4"/>
          <w:sz w:val="24"/>
          <w:szCs w:val="24"/>
          <w:lang w:eastAsia="x-none"/>
        </w:rPr>
        <w:t>практически на уровне</w:t>
      </w:r>
      <w:r>
        <w:rPr>
          <w:rFonts w:ascii="Times New Roman" w:eastAsia="Times New Roman" w:hAnsi="Times New Roman"/>
          <w:spacing w:val="-4"/>
          <w:sz w:val="24"/>
          <w:szCs w:val="24"/>
          <w:lang w:val="x-none" w:eastAsia="x-none"/>
        </w:rPr>
        <w:t xml:space="preserve"> 2018 года (</w:t>
      </w:r>
      <w:r>
        <w:rPr>
          <w:rFonts w:ascii="Times New Roman" w:eastAsia="Times New Roman" w:hAnsi="Times New Roman"/>
          <w:spacing w:val="-4"/>
          <w:sz w:val="24"/>
          <w:szCs w:val="24"/>
          <w:lang w:eastAsia="x-none"/>
        </w:rPr>
        <w:t>176,8</w:t>
      </w:r>
      <w:r>
        <w:rPr>
          <w:rFonts w:ascii="Times New Roman" w:eastAsia="Times New Roman" w:hAnsi="Times New Roman"/>
          <w:spacing w:val="-4"/>
          <w:sz w:val="24"/>
          <w:szCs w:val="24"/>
          <w:lang w:val="x-none" w:eastAsia="x-none"/>
        </w:rPr>
        <w:t xml:space="preserve"> млн. долл. США);</w:t>
      </w:r>
    </w:p>
    <w:p w:rsidR="007E27CB" w:rsidRDefault="008F141F">
      <w:pPr>
        <w:pStyle w:val="a6"/>
        <w:numPr>
          <w:ilvl w:val="0"/>
          <w:numId w:val="122"/>
        </w:numPr>
        <w:tabs>
          <w:tab w:val="left" w:pos="851"/>
        </w:tabs>
        <w:spacing w:after="0" w:line="240" w:lineRule="auto"/>
        <w:ind w:left="0" w:firstLine="567"/>
        <w:jc w:val="both"/>
        <w:rPr>
          <w:rFonts w:ascii="Times New Roman" w:eastAsia="Times New Roman" w:hAnsi="Times New Roman"/>
          <w:spacing w:val="-4"/>
          <w:sz w:val="24"/>
          <w:szCs w:val="24"/>
          <w:lang w:val="x-none" w:eastAsia="x-none"/>
        </w:rPr>
      </w:pPr>
      <w:r>
        <w:rPr>
          <w:rFonts w:ascii="Times New Roman" w:eastAsia="Times New Roman" w:hAnsi="Times New Roman"/>
          <w:spacing w:val="-4"/>
          <w:sz w:val="24"/>
          <w:szCs w:val="24"/>
          <w:lang w:val="x-none" w:eastAsia="x-none"/>
        </w:rPr>
        <w:t xml:space="preserve">минеральные продукты – </w:t>
      </w:r>
      <w:r>
        <w:rPr>
          <w:rFonts w:ascii="Times New Roman" w:eastAsia="Times New Roman" w:hAnsi="Times New Roman"/>
          <w:spacing w:val="-4"/>
          <w:sz w:val="24"/>
          <w:szCs w:val="24"/>
          <w:lang w:eastAsia="x-none"/>
        </w:rPr>
        <w:t>17,2</w:t>
      </w:r>
      <w:r>
        <w:rPr>
          <w:rFonts w:ascii="Times New Roman" w:eastAsia="Times New Roman" w:hAnsi="Times New Roman"/>
          <w:spacing w:val="-4"/>
          <w:sz w:val="24"/>
          <w:szCs w:val="24"/>
          <w:lang w:val="x-none" w:eastAsia="x-none"/>
        </w:rPr>
        <w:t xml:space="preserve">%, вывоз составил </w:t>
      </w:r>
      <w:r>
        <w:rPr>
          <w:rFonts w:ascii="Times New Roman" w:eastAsia="Times New Roman" w:hAnsi="Times New Roman"/>
          <w:spacing w:val="-4"/>
          <w:sz w:val="24"/>
          <w:szCs w:val="24"/>
          <w:lang w:eastAsia="x-none"/>
        </w:rPr>
        <w:t>54,1</w:t>
      </w:r>
      <w:r>
        <w:rPr>
          <w:rFonts w:ascii="Times New Roman" w:eastAsia="Times New Roman" w:hAnsi="Times New Roman"/>
          <w:spacing w:val="-4"/>
          <w:sz w:val="24"/>
          <w:szCs w:val="24"/>
          <w:lang w:val="x-none" w:eastAsia="x-none"/>
        </w:rPr>
        <w:t xml:space="preserve"> млн. долл. США, что на </w:t>
      </w:r>
      <w:r>
        <w:rPr>
          <w:rFonts w:ascii="Times New Roman" w:eastAsia="Times New Roman" w:hAnsi="Times New Roman"/>
          <w:spacing w:val="-4"/>
          <w:sz w:val="24"/>
          <w:szCs w:val="24"/>
          <w:lang w:eastAsia="x-none"/>
        </w:rPr>
        <w:t>16,8</w:t>
      </w:r>
      <w:r>
        <w:rPr>
          <w:rFonts w:ascii="Times New Roman" w:eastAsia="Times New Roman" w:hAnsi="Times New Roman"/>
          <w:spacing w:val="-4"/>
          <w:sz w:val="24"/>
          <w:szCs w:val="24"/>
          <w:lang w:val="x-none" w:eastAsia="x-none"/>
        </w:rPr>
        <w:t>% меньше объемов экспорта 2018 года</w:t>
      </w:r>
      <w:r>
        <w:rPr>
          <w:rStyle w:val="aff"/>
          <w:rFonts w:ascii="Times New Roman" w:eastAsiaTheme="minorHAnsi" w:hAnsi="Times New Roman"/>
          <w:sz w:val="24"/>
          <w:szCs w:val="24"/>
        </w:rPr>
        <w:t xml:space="preserve"> (</w:t>
      </w:r>
      <w:r>
        <w:rPr>
          <w:rFonts w:ascii="Times New Roman" w:eastAsia="Times New Roman" w:hAnsi="Times New Roman"/>
          <w:spacing w:val="-4"/>
          <w:sz w:val="24"/>
          <w:szCs w:val="24"/>
          <w:lang w:eastAsia="x-none"/>
        </w:rPr>
        <w:t xml:space="preserve">65 </w:t>
      </w:r>
      <w:r>
        <w:rPr>
          <w:rFonts w:ascii="Times New Roman" w:eastAsia="Times New Roman" w:hAnsi="Times New Roman"/>
          <w:spacing w:val="-4"/>
          <w:sz w:val="24"/>
          <w:szCs w:val="24"/>
          <w:lang w:val="x-none" w:eastAsia="x-none"/>
        </w:rPr>
        <w:t>млн. долл. США)</w:t>
      </w:r>
      <w:r>
        <w:rPr>
          <w:rFonts w:ascii="Times New Roman" w:eastAsia="Times New Roman" w:hAnsi="Times New Roman"/>
          <w:spacing w:val="-4"/>
          <w:sz w:val="24"/>
          <w:szCs w:val="24"/>
          <w:lang w:eastAsia="x-none"/>
        </w:rPr>
        <w:t>. Снижение произошло в связи с уменьшением среднегодовой цены на нефть на мировом рынке</w:t>
      </w:r>
      <w:r>
        <w:rPr>
          <w:rFonts w:ascii="Times New Roman" w:eastAsia="Times New Roman" w:hAnsi="Times New Roman"/>
          <w:spacing w:val="-4"/>
          <w:sz w:val="24"/>
          <w:szCs w:val="24"/>
          <w:lang w:val="x-none" w:eastAsia="x-none"/>
        </w:rPr>
        <w:t>;</w:t>
      </w:r>
    </w:p>
    <w:p w:rsidR="007E27CB" w:rsidRDefault="008F141F">
      <w:pPr>
        <w:pStyle w:val="a6"/>
        <w:numPr>
          <w:ilvl w:val="0"/>
          <w:numId w:val="122"/>
        </w:numPr>
        <w:tabs>
          <w:tab w:val="left" w:pos="851"/>
        </w:tabs>
        <w:spacing w:after="0" w:line="240" w:lineRule="auto"/>
        <w:ind w:left="0" w:firstLine="567"/>
        <w:jc w:val="both"/>
        <w:rPr>
          <w:rFonts w:ascii="Times New Roman" w:eastAsia="Times New Roman" w:hAnsi="Times New Roman"/>
          <w:spacing w:val="-4"/>
          <w:sz w:val="24"/>
          <w:szCs w:val="24"/>
          <w:lang w:val="x-none" w:eastAsia="x-none"/>
        </w:rPr>
      </w:pPr>
      <w:r>
        <w:rPr>
          <w:rFonts w:ascii="Times New Roman" w:eastAsia="Times New Roman" w:hAnsi="Times New Roman"/>
          <w:spacing w:val="-4"/>
          <w:sz w:val="24"/>
          <w:szCs w:val="24"/>
          <w:lang w:val="x-none" w:eastAsia="x-none"/>
        </w:rPr>
        <w:t xml:space="preserve">продукция машиностроения – </w:t>
      </w:r>
      <w:r>
        <w:rPr>
          <w:rFonts w:ascii="Times New Roman" w:eastAsia="Times New Roman" w:hAnsi="Times New Roman"/>
          <w:spacing w:val="-4"/>
          <w:sz w:val="24"/>
          <w:szCs w:val="24"/>
          <w:lang w:eastAsia="x-none"/>
        </w:rPr>
        <w:t>11</w:t>
      </w:r>
      <w:r>
        <w:rPr>
          <w:rFonts w:ascii="Times New Roman" w:eastAsia="Times New Roman" w:hAnsi="Times New Roman"/>
          <w:spacing w:val="-4"/>
          <w:sz w:val="24"/>
          <w:szCs w:val="24"/>
          <w:lang w:val="x-none" w:eastAsia="x-none"/>
        </w:rPr>
        <w:t>%, вывоз продукции снизился на</w:t>
      </w:r>
      <w:r>
        <w:rPr>
          <w:rFonts w:ascii="Times New Roman" w:eastAsia="Times New Roman" w:hAnsi="Times New Roman"/>
          <w:spacing w:val="-4"/>
          <w:sz w:val="24"/>
          <w:szCs w:val="24"/>
          <w:lang w:eastAsia="x-none"/>
        </w:rPr>
        <w:t xml:space="preserve"> 13</w:t>
      </w:r>
      <w:r>
        <w:rPr>
          <w:rFonts w:ascii="Times New Roman" w:eastAsia="Times New Roman" w:hAnsi="Times New Roman"/>
          <w:spacing w:val="-4"/>
          <w:sz w:val="24"/>
          <w:szCs w:val="24"/>
          <w:lang w:val="x-none" w:eastAsia="x-none"/>
        </w:rPr>
        <w:t xml:space="preserve">% относительно 2018 года и составил </w:t>
      </w:r>
      <w:r>
        <w:rPr>
          <w:rFonts w:ascii="Times New Roman" w:eastAsia="Times New Roman" w:hAnsi="Times New Roman"/>
          <w:spacing w:val="-4"/>
          <w:sz w:val="24"/>
          <w:szCs w:val="24"/>
          <w:lang w:eastAsia="x-none"/>
        </w:rPr>
        <w:t>34,7</w:t>
      </w:r>
      <w:r>
        <w:rPr>
          <w:rFonts w:ascii="Times New Roman" w:eastAsia="Times New Roman" w:hAnsi="Times New Roman"/>
          <w:spacing w:val="-4"/>
          <w:sz w:val="24"/>
          <w:szCs w:val="24"/>
          <w:lang w:val="x-none" w:eastAsia="x-none"/>
        </w:rPr>
        <w:t xml:space="preserve"> млн. долл. США (за 2018 год – </w:t>
      </w:r>
      <w:r>
        <w:rPr>
          <w:rFonts w:ascii="Times New Roman" w:eastAsia="Times New Roman" w:hAnsi="Times New Roman"/>
          <w:spacing w:val="-4"/>
          <w:sz w:val="24"/>
          <w:szCs w:val="24"/>
          <w:lang w:eastAsia="x-none"/>
        </w:rPr>
        <w:t>39,2</w:t>
      </w:r>
      <w:r>
        <w:rPr>
          <w:rFonts w:ascii="Times New Roman" w:eastAsia="Times New Roman" w:hAnsi="Times New Roman"/>
          <w:spacing w:val="-4"/>
          <w:sz w:val="24"/>
          <w:szCs w:val="24"/>
          <w:lang w:val="x-none" w:eastAsia="x-none"/>
        </w:rPr>
        <w:t xml:space="preserve"> млн. долл. США);</w:t>
      </w:r>
    </w:p>
    <w:p w:rsidR="007E27CB" w:rsidRDefault="008F141F">
      <w:pPr>
        <w:pStyle w:val="a6"/>
        <w:numPr>
          <w:ilvl w:val="0"/>
          <w:numId w:val="122"/>
        </w:numPr>
        <w:tabs>
          <w:tab w:val="left" w:pos="851"/>
        </w:tabs>
        <w:spacing w:after="0" w:line="240" w:lineRule="auto"/>
        <w:ind w:left="0" w:firstLine="567"/>
        <w:jc w:val="both"/>
        <w:rPr>
          <w:rFonts w:ascii="Times New Roman" w:eastAsia="Times New Roman" w:hAnsi="Times New Roman"/>
          <w:spacing w:val="-4"/>
          <w:sz w:val="24"/>
          <w:szCs w:val="24"/>
          <w:lang w:val="x-none" w:eastAsia="x-none"/>
        </w:rPr>
      </w:pPr>
      <w:r>
        <w:rPr>
          <w:rFonts w:ascii="Times New Roman" w:eastAsia="Times New Roman" w:hAnsi="Times New Roman"/>
          <w:spacing w:val="-4"/>
          <w:sz w:val="24"/>
          <w:szCs w:val="24"/>
          <w:lang w:val="x-none" w:eastAsia="x-none"/>
        </w:rPr>
        <w:t xml:space="preserve">продовольственные товары и сырье – </w:t>
      </w:r>
      <w:r>
        <w:rPr>
          <w:rFonts w:ascii="Times New Roman" w:eastAsia="Times New Roman" w:hAnsi="Times New Roman"/>
          <w:spacing w:val="-4"/>
          <w:sz w:val="24"/>
          <w:szCs w:val="24"/>
          <w:lang w:eastAsia="x-none"/>
        </w:rPr>
        <w:t>7,5</w:t>
      </w:r>
      <w:r>
        <w:rPr>
          <w:rFonts w:ascii="Times New Roman" w:eastAsia="Times New Roman" w:hAnsi="Times New Roman"/>
          <w:spacing w:val="-4"/>
          <w:sz w:val="24"/>
          <w:szCs w:val="24"/>
          <w:lang w:val="x-none" w:eastAsia="x-none"/>
        </w:rPr>
        <w:t xml:space="preserve">%, вывоз составил </w:t>
      </w:r>
      <w:r>
        <w:rPr>
          <w:rFonts w:ascii="Times New Roman" w:eastAsia="Times New Roman" w:hAnsi="Times New Roman"/>
          <w:spacing w:val="-4"/>
          <w:sz w:val="24"/>
          <w:szCs w:val="24"/>
          <w:lang w:eastAsia="x-none"/>
        </w:rPr>
        <w:t>23,7</w:t>
      </w:r>
      <w:r>
        <w:rPr>
          <w:rFonts w:ascii="Times New Roman" w:eastAsia="Times New Roman" w:hAnsi="Times New Roman"/>
          <w:spacing w:val="-4"/>
          <w:sz w:val="24"/>
          <w:szCs w:val="24"/>
          <w:lang w:val="x-none" w:eastAsia="x-none"/>
        </w:rPr>
        <w:t xml:space="preserve"> млн. долл. США (</w:t>
      </w:r>
      <w:r>
        <w:rPr>
          <w:rFonts w:ascii="Times New Roman" w:eastAsia="Times New Roman" w:hAnsi="Times New Roman"/>
          <w:spacing w:val="-4"/>
          <w:sz w:val="24"/>
          <w:szCs w:val="24"/>
          <w:lang w:eastAsia="x-none"/>
        </w:rPr>
        <w:t>198</w:t>
      </w:r>
      <w:r>
        <w:rPr>
          <w:rFonts w:ascii="Times New Roman" w:eastAsia="Times New Roman" w:hAnsi="Times New Roman"/>
          <w:spacing w:val="-4"/>
          <w:sz w:val="24"/>
          <w:szCs w:val="24"/>
          <w:lang w:val="x-none" w:eastAsia="x-none"/>
        </w:rPr>
        <w:t xml:space="preserve">% от уровня 2018 года – </w:t>
      </w:r>
      <w:r>
        <w:rPr>
          <w:rFonts w:ascii="Times New Roman" w:eastAsia="Times New Roman" w:hAnsi="Times New Roman"/>
          <w:spacing w:val="-4"/>
          <w:sz w:val="24"/>
          <w:szCs w:val="24"/>
          <w:lang w:eastAsia="x-none"/>
        </w:rPr>
        <w:t xml:space="preserve">12 </w:t>
      </w:r>
      <w:r>
        <w:rPr>
          <w:rFonts w:ascii="Times New Roman" w:eastAsia="Times New Roman" w:hAnsi="Times New Roman"/>
          <w:spacing w:val="-4"/>
          <w:sz w:val="24"/>
          <w:szCs w:val="24"/>
          <w:lang w:val="x-none" w:eastAsia="x-none"/>
        </w:rPr>
        <w:t>млн. долл. США)</w:t>
      </w:r>
      <w:r>
        <w:rPr>
          <w:rFonts w:ascii="Times New Roman" w:eastAsia="Times New Roman" w:hAnsi="Times New Roman"/>
          <w:spacing w:val="-4"/>
          <w:sz w:val="24"/>
          <w:szCs w:val="24"/>
          <w:lang w:eastAsia="x-none"/>
        </w:rPr>
        <w:t>;</w:t>
      </w:r>
    </w:p>
    <w:p w:rsidR="007E27CB" w:rsidRDefault="008F141F">
      <w:pPr>
        <w:pStyle w:val="a6"/>
        <w:numPr>
          <w:ilvl w:val="0"/>
          <w:numId w:val="122"/>
        </w:numPr>
        <w:tabs>
          <w:tab w:val="left" w:pos="851"/>
        </w:tabs>
        <w:spacing w:after="0" w:line="240" w:lineRule="auto"/>
        <w:ind w:left="0" w:firstLine="567"/>
        <w:jc w:val="both"/>
        <w:rPr>
          <w:rFonts w:ascii="Times New Roman" w:eastAsia="Times New Roman" w:hAnsi="Times New Roman"/>
          <w:spacing w:val="-4"/>
          <w:sz w:val="24"/>
          <w:szCs w:val="24"/>
          <w:lang w:eastAsia="x-none"/>
        </w:rPr>
      </w:pPr>
      <w:r>
        <w:rPr>
          <w:rFonts w:ascii="Times New Roman" w:eastAsia="Times New Roman" w:hAnsi="Times New Roman"/>
          <w:spacing w:val="-4"/>
          <w:sz w:val="24"/>
          <w:szCs w:val="24"/>
          <w:lang w:val="x-none" w:eastAsia="x-none"/>
        </w:rPr>
        <w:t xml:space="preserve">продукция химического производства – </w:t>
      </w:r>
      <w:r>
        <w:rPr>
          <w:rFonts w:ascii="Times New Roman" w:eastAsia="Times New Roman" w:hAnsi="Times New Roman"/>
          <w:spacing w:val="-4"/>
          <w:sz w:val="24"/>
          <w:szCs w:val="24"/>
          <w:lang w:eastAsia="x-none"/>
        </w:rPr>
        <w:t>5,3</w:t>
      </w:r>
      <w:r>
        <w:rPr>
          <w:rFonts w:ascii="Times New Roman" w:eastAsia="Times New Roman" w:hAnsi="Times New Roman"/>
          <w:spacing w:val="-4"/>
          <w:sz w:val="24"/>
          <w:szCs w:val="24"/>
          <w:lang w:val="x-none" w:eastAsia="x-none"/>
        </w:rPr>
        <w:t xml:space="preserve">%, вывоз составил </w:t>
      </w:r>
      <w:r>
        <w:rPr>
          <w:rFonts w:ascii="Times New Roman" w:eastAsia="Times New Roman" w:hAnsi="Times New Roman"/>
          <w:spacing w:val="-4"/>
          <w:sz w:val="24"/>
          <w:szCs w:val="24"/>
          <w:lang w:eastAsia="x-none"/>
        </w:rPr>
        <w:t>16,7</w:t>
      </w:r>
      <w:r>
        <w:rPr>
          <w:rFonts w:ascii="Times New Roman" w:eastAsia="Times New Roman" w:hAnsi="Times New Roman"/>
          <w:spacing w:val="-4"/>
          <w:sz w:val="24"/>
          <w:szCs w:val="24"/>
          <w:lang w:val="x-none" w:eastAsia="x-none"/>
        </w:rPr>
        <w:t xml:space="preserve"> млн. долл. США (</w:t>
      </w:r>
      <w:r>
        <w:rPr>
          <w:rFonts w:ascii="Times New Roman" w:eastAsia="Times New Roman" w:hAnsi="Times New Roman"/>
          <w:spacing w:val="-4"/>
          <w:sz w:val="24"/>
          <w:szCs w:val="24"/>
          <w:lang w:eastAsia="x-none"/>
        </w:rPr>
        <w:t>125,6</w:t>
      </w:r>
      <w:r>
        <w:rPr>
          <w:rFonts w:ascii="Times New Roman" w:eastAsia="Times New Roman" w:hAnsi="Times New Roman"/>
          <w:spacing w:val="-4"/>
          <w:sz w:val="24"/>
          <w:szCs w:val="24"/>
          <w:lang w:val="x-none" w:eastAsia="x-none"/>
        </w:rPr>
        <w:t xml:space="preserve">% от уровня 2018 года – </w:t>
      </w:r>
      <w:r>
        <w:rPr>
          <w:rFonts w:ascii="Times New Roman" w:eastAsia="Times New Roman" w:hAnsi="Times New Roman"/>
          <w:spacing w:val="-4"/>
          <w:sz w:val="24"/>
          <w:szCs w:val="24"/>
          <w:lang w:eastAsia="x-none"/>
        </w:rPr>
        <w:t xml:space="preserve">13,3 </w:t>
      </w:r>
      <w:r>
        <w:rPr>
          <w:rFonts w:ascii="Times New Roman" w:eastAsia="Times New Roman" w:hAnsi="Times New Roman"/>
          <w:spacing w:val="-4"/>
          <w:sz w:val="24"/>
          <w:szCs w:val="24"/>
          <w:lang w:val="x-none" w:eastAsia="x-none"/>
        </w:rPr>
        <w:t>млн. долл. США)</w:t>
      </w:r>
      <w:r>
        <w:rPr>
          <w:rFonts w:ascii="Times New Roman" w:eastAsia="Times New Roman" w:hAnsi="Times New Roman"/>
          <w:spacing w:val="-4"/>
          <w:sz w:val="24"/>
          <w:szCs w:val="24"/>
          <w:lang w:eastAsia="x-none"/>
        </w:rPr>
        <w:t>.</w:t>
      </w:r>
    </w:p>
    <w:p w:rsidR="007E27CB" w:rsidRDefault="008F141F">
      <w:pPr>
        <w:tabs>
          <w:tab w:val="left" w:pos="4962"/>
        </w:tabs>
        <w:spacing w:after="0" w:line="240" w:lineRule="auto"/>
        <w:ind w:firstLine="567"/>
        <w:contextualSpacing/>
        <w:jc w:val="both"/>
        <w:rPr>
          <w:sz w:val="24"/>
          <w:szCs w:val="24"/>
        </w:rPr>
      </w:pPr>
      <w:r>
        <w:rPr>
          <w:sz w:val="24"/>
          <w:szCs w:val="24"/>
        </w:rPr>
        <w:t>Основными контрагентами Томской области по экспортным операциям стали: Казахстан, Узбекистан, Китай, Кыргызстан, Беларусь, Монголия, Нидерланды. Удельный вес этих стран в структуре экспорта составил 89% или 279,5 млн. долл. США. Основными потребителями томской продукции АПК в 2019 году стали: Казахстан, Монголия, Китай и Нидерланды; древесины и целлюлозно-бумажных изделий – Китай и Узбекистан.</w:t>
      </w:r>
    </w:p>
    <w:p w:rsidR="007E27CB" w:rsidRDefault="008F141F">
      <w:pPr>
        <w:tabs>
          <w:tab w:val="left" w:pos="4962"/>
        </w:tabs>
        <w:spacing w:after="0" w:line="240" w:lineRule="auto"/>
        <w:ind w:firstLine="567"/>
        <w:jc w:val="both"/>
        <w:rPr>
          <w:rFonts w:eastAsia="Times New Roman"/>
          <w:spacing w:val="-4"/>
          <w:sz w:val="24"/>
          <w:szCs w:val="24"/>
        </w:rPr>
      </w:pPr>
      <w:r>
        <w:rPr>
          <w:rFonts w:eastAsia="Times New Roman"/>
          <w:b/>
          <w:spacing w:val="-4"/>
          <w:sz w:val="24"/>
          <w:szCs w:val="24"/>
        </w:rPr>
        <w:t>Объем импорта</w:t>
      </w:r>
      <w:r>
        <w:rPr>
          <w:rFonts w:eastAsia="Times New Roman"/>
          <w:spacing w:val="-4"/>
          <w:sz w:val="24"/>
          <w:szCs w:val="24"/>
        </w:rPr>
        <w:t xml:space="preserve"> составил 386,9 млн. долл. США и вырос на 19,4% относительно 2018 года. Доля импорта за 2019 год увеличилась до 55,2%</w:t>
      </w:r>
      <w:r>
        <w:rPr>
          <w:rStyle w:val="aff"/>
          <w:sz w:val="24"/>
          <w:szCs w:val="24"/>
        </w:rPr>
        <w:t xml:space="preserve"> (</w:t>
      </w:r>
      <w:r>
        <w:rPr>
          <w:rFonts w:eastAsia="Times New Roman"/>
          <w:spacing w:val="-4"/>
          <w:sz w:val="24"/>
          <w:szCs w:val="24"/>
        </w:rPr>
        <w:t>в 2018 году – 50,2%). При этом физический объем поставок товаров в импорте снизился на 14,0%. Рост импорта связан с ростом цен на импортные товары.</w:t>
      </w:r>
    </w:p>
    <w:p w:rsidR="007E27CB" w:rsidRDefault="008F141F">
      <w:pPr>
        <w:tabs>
          <w:tab w:val="left" w:pos="4962"/>
        </w:tabs>
        <w:spacing w:after="0" w:line="240" w:lineRule="auto"/>
        <w:ind w:firstLine="567"/>
        <w:jc w:val="both"/>
        <w:rPr>
          <w:rFonts w:eastAsia="Times New Roman"/>
          <w:spacing w:val="-4"/>
          <w:sz w:val="24"/>
          <w:szCs w:val="24"/>
        </w:rPr>
      </w:pPr>
      <w:r>
        <w:rPr>
          <w:rFonts w:eastAsia="Times New Roman"/>
          <w:spacing w:val="-4"/>
          <w:sz w:val="24"/>
          <w:szCs w:val="24"/>
        </w:rPr>
        <w:t>Товарная структура импорта Томской области выглядит следующим образом:</w:t>
      </w:r>
    </w:p>
    <w:p w:rsidR="007E27CB" w:rsidRDefault="008F141F">
      <w:pPr>
        <w:pStyle w:val="a6"/>
        <w:numPr>
          <w:ilvl w:val="0"/>
          <w:numId w:val="123"/>
        </w:numPr>
        <w:tabs>
          <w:tab w:val="left" w:pos="851"/>
        </w:tabs>
        <w:spacing w:after="0" w:line="240" w:lineRule="auto"/>
        <w:ind w:left="0" w:firstLine="567"/>
        <w:jc w:val="both"/>
        <w:rPr>
          <w:rFonts w:ascii="Times New Roman" w:eastAsia="Times New Roman" w:hAnsi="Times New Roman"/>
          <w:spacing w:val="-4"/>
          <w:sz w:val="24"/>
          <w:szCs w:val="24"/>
        </w:rPr>
      </w:pPr>
      <w:r>
        <w:rPr>
          <w:rFonts w:ascii="Times New Roman" w:eastAsia="Times New Roman" w:hAnsi="Times New Roman"/>
          <w:spacing w:val="-4"/>
          <w:sz w:val="24"/>
          <w:szCs w:val="24"/>
        </w:rPr>
        <w:t>продукция химической промышленности – 51,4%, ввоз продукции составил 198,7 млн. долл. США, что на 55,2% больше объема ввозимой продукции за 2018 год (128 млн. долл. США);</w:t>
      </w:r>
    </w:p>
    <w:p w:rsidR="007E27CB" w:rsidRDefault="008F141F">
      <w:pPr>
        <w:pStyle w:val="a6"/>
        <w:numPr>
          <w:ilvl w:val="0"/>
          <w:numId w:val="123"/>
        </w:numPr>
        <w:tabs>
          <w:tab w:val="left" w:pos="851"/>
        </w:tabs>
        <w:spacing w:after="0" w:line="240" w:lineRule="auto"/>
        <w:ind w:left="0" w:firstLine="567"/>
        <w:jc w:val="both"/>
        <w:rPr>
          <w:rFonts w:ascii="Times New Roman" w:eastAsia="Times New Roman" w:hAnsi="Times New Roman"/>
          <w:spacing w:val="-4"/>
          <w:sz w:val="24"/>
          <w:szCs w:val="24"/>
        </w:rPr>
      </w:pPr>
      <w:r>
        <w:rPr>
          <w:rFonts w:ascii="Times New Roman" w:eastAsia="Times New Roman" w:hAnsi="Times New Roman"/>
          <w:spacing w:val="-4"/>
          <w:sz w:val="24"/>
          <w:szCs w:val="24"/>
        </w:rPr>
        <w:t>продовольственные товары и сырье – 30,5%, ввоз составил 118,1 млн. долл. США и снизился на 1% относительно 2018 года (119,3 млн. долл. США);</w:t>
      </w:r>
    </w:p>
    <w:p w:rsidR="007E27CB" w:rsidRDefault="008F141F">
      <w:pPr>
        <w:pStyle w:val="a6"/>
        <w:numPr>
          <w:ilvl w:val="0"/>
          <w:numId w:val="123"/>
        </w:numPr>
        <w:tabs>
          <w:tab w:val="left" w:pos="851"/>
        </w:tabs>
        <w:spacing w:after="0" w:line="240" w:lineRule="auto"/>
        <w:ind w:left="0" w:firstLine="567"/>
        <w:jc w:val="both"/>
        <w:rPr>
          <w:rFonts w:ascii="Times New Roman" w:eastAsia="Times New Roman" w:hAnsi="Times New Roman"/>
          <w:spacing w:val="-4"/>
          <w:sz w:val="24"/>
          <w:szCs w:val="24"/>
        </w:rPr>
      </w:pPr>
      <w:r>
        <w:rPr>
          <w:rFonts w:ascii="Times New Roman" w:eastAsia="Times New Roman" w:hAnsi="Times New Roman"/>
          <w:spacing w:val="-4"/>
          <w:sz w:val="24"/>
          <w:szCs w:val="24"/>
        </w:rPr>
        <w:lastRenderedPageBreak/>
        <w:t>продукция машиностроения – 14,3%, объем ввоза составил 55,4 млн. долл. США и вырос на 13,1% относительно 2018 года (49 млн. долл. США).</w:t>
      </w:r>
    </w:p>
    <w:p w:rsidR="007E27CB" w:rsidRDefault="008F141F">
      <w:pPr>
        <w:spacing w:after="0" w:line="240" w:lineRule="auto"/>
        <w:ind w:firstLine="567"/>
        <w:jc w:val="both"/>
        <w:rPr>
          <w:sz w:val="24"/>
          <w:szCs w:val="24"/>
        </w:rPr>
      </w:pPr>
      <w:r>
        <w:rPr>
          <w:sz w:val="24"/>
          <w:szCs w:val="24"/>
        </w:rPr>
        <w:tab/>
        <w:t xml:space="preserve">Основными контрагентами Томской области по импортным операциям стали: Украина, Казахстан, Китай, Канада, Германия, Чехия, Соединенное Королевство, Гана, Кот Д`Ивуар. </w:t>
      </w:r>
    </w:p>
    <w:p w:rsidR="007E27CB" w:rsidRDefault="008F141F">
      <w:pPr>
        <w:tabs>
          <w:tab w:val="left" w:pos="4962"/>
        </w:tabs>
        <w:spacing w:after="0" w:line="240" w:lineRule="auto"/>
        <w:ind w:firstLine="567"/>
        <w:contextualSpacing/>
        <w:jc w:val="both"/>
        <w:rPr>
          <w:sz w:val="24"/>
          <w:szCs w:val="24"/>
        </w:rPr>
      </w:pPr>
      <w:r>
        <w:rPr>
          <w:sz w:val="24"/>
          <w:szCs w:val="24"/>
        </w:rPr>
        <w:t xml:space="preserve">Традиционно приоритетным направлением работы Администрации Томской области является </w:t>
      </w:r>
      <w:r>
        <w:rPr>
          <w:b/>
          <w:sz w:val="24"/>
          <w:szCs w:val="24"/>
        </w:rPr>
        <w:t>выстраивание сотрудничества со</w:t>
      </w:r>
      <w:r>
        <w:rPr>
          <w:sz w:val="24"/>
          <w:szCs w:val="24"/>
        </w:rPr>
        <w:t xml:space="preserve"> </w:t>
      </w:r>
      <w:r>
        <w:rPr>
          <w:b/>
          <w:sz w:val="24"/>
          <w:szCs w:val="24"/>
        </w:rPr>
        <w:t>странами СНГ</w:t>
      </w:r>
      <w:r>
        <w:rPr>
          <w:sz w:val="24"/>
          <w:szCs w:val="24"/>
        </w:rPr>
        <w:t xml:space="preserve">. </w:t>
      </w:r>
    </w:p>
    <w:p w:rsidR="007E27CB" w:rsidRDefault="008F141F">
      <w:pPr>
        <w:tabs>
          <w:tab w:val="left" w:pos="4962"/>
        </w:tabs>
        <w:spacing w:after="0" w:line="240" w:lineRule="auto"/>
        <w:ind w:firstLine="567"/>
        <w:contextualSpacing/>
        <w:jc w:val="both"/>
        <w:rPr>
          <w:sz w:val="24"/>
          <w:szCs w:val="24"/>
        </w:rPr>
      </w:pPr>
      <w:r>
        <w:rPr>
          <w:sz w:val="24"/>
          <w:szCs w:val="24"/>
        </w:rPr>
        <w:t>Взаимодействие с Республикой Беларусь осуществляется в рамках подписанного 8 июня 2016 года Соглашения с Правительством Республики Беларусь. Приоритетные направления сотрудничества – сельское и лесное хозяйство, культура. Белорусские специалисты регулярно участвуют в томских мероприятиях: «Сельский сход», Агрономическое собрание, «День поля», «Праздник топора». Следует отметить, что в товарообороте Томской области и Республики Беларусь наблюдается высокое положительное сальдо: по данным за 2019 год экспорт в Беларусь составил 8,2 млн. долл. США, а импорт 3,9 млн. долл. США. Экспорт в Беларусь представлен такими категориями как топливно-энергетические товары, машиностроительная продукция, прочие товары, ввозим продовольственные товары и сырье.</w:t>
      </w:r>
    </w:p>
    <w:p w:rsidR="007E27CB" w:rsidRDefault="008F141F">
      <w:pPr>
        <w:tabs>
          <w:tab w:val="left" w:pos="4962"/>
        </w:tabs>
        <w:spacing w:after="0" w:line="240" w:lineRule="auto"/>
        <w:ind w:firstLine="567"/>
        <w:contextualSpacing/>
        <w:jc w:val="both"/>
        <w:rPr>
          <w:sz w:val="24"/>
          <w:szCs w:val="24"/>
        </w:rPr>
      </w:pPr>
      <w:r>
        <w:rPr>
          <w:sz w:val="24"/>
          <w:szCs w:val="24"/>
        </w:rPr>
        <w:t xml:space="preserve">Администрация Томской области активно сотрудничает со странами Центральной Азии. Томск остается центром образования для студентов из данных стран. С учетом приемной кампании 2019 года в томских университетах на сегодняшний день обучается    9 348 человек из стран Центральной Азии. </w:t>
      </w:r>
    </w:p>
    <w:p w:rsidR="007E27CB" w:rsidRDefault="008F141F">
      <w:pPr>
        <w:tabs>
          <w:tab w:val="left" w:pos="4962"/>
        </w:tabs>
        <w:spacing w:after="0" w:line="240" w:lineRule="auto"/>
        <w:ind w:firstLine="567"/>
        <w:contextualSpacing/>
        <w:jc w:val="both"/>
        <w:rPr>
          <w:sz w:val="24"/>
          <w:szCs w:val="24"/>
        </w:rPr>
      </w:pPr>
      <w:r>
        <w:rPr>
          <w:sz w:val="24"/>
          <w:szCs w:val="24"/>
        </w:rPr>
        <w:t xml:space="preserve">Во внешней торговле Томской области со странами Центральной Азии наблюдается постоянный рост. Экспорт Томской области в страны Центральной Азии по сравнению с аналогичным периодом предыдущего года вырос на 8,4% и составил 162,3 млн. долл. США. Данной динамике во многом способствуют деловые миссии Томской торгово-промышленной палаты в этот регион и регулярные визиты делегаций в Томскую область. В 2019 году было организовано 9 бизнес-миссий и принято 8 делегаций. </w:t>
      </w:r>
    </w:p>
    <w:p w:rsidR="007E27CB" w:rsidRDefault="008F141F">
      <w:pPr>
        <w:tabs>
          <w:tab w:val="left" w:pos="4962"/>
        </w:tabs>
        <w:spacing w:after="0" w:line="240" w:lineRule="auto"/>
        <w:ind w:firstLine="567"/>
        <w:contextualSpacing/>
        <w:jc w:val="both"/>
        <w:rPr>
          <w:sz w:val="24"/>
          <w:szCs w:val="24"/>
        </w:rPr>
      </w:pPr>
      <w:r>
        <w:rPr>
          <w:sz w:val="24"/>
          <w:szCs w:val="24"/>
        </w:rPr>
        <w:t>Одним из основных партнеров Томской области как по внешнеэкономическим, так и по гуманитарным связям является Республика Казахстан. Удельный вес товарооборота с Республикой Казахстан составил в 2019 году 9% от общей величины экспортно-импортных операций. Экспорт вырос на 25% по сравнению с аналогичным периодом прошлого года и составил 58,9 млн. долл. США во многом за счет роста поставок продукции АПК. Республика Казахстан является одним из лидеров по закупке томской пищевой продукции: кедрового ореха, мяса, муки, продукции на основе дикорастущего сырья. Импорт из Казахстана в отчетном периоде сократился в два раза и составил 10,3 млн. долл. США за счет сокращения закупки металлов и изделий из них.</w:t>
      </w:r>
    </w:p>
    <w:p w:rsidR="007E27CB" w:rsidRDefault="008F141F">
      <w:pPr>
        <w:tabs>
          <w:tab w:val="left" w:pos="4962"/>
        </w:tabs>
        <w:spacing w:after="0" w:line="240" w:lineRule="auto"/>
        <w:ind w:firstLine="567"/>
        <w:contextualSpacing/>
        <w:jc w:val="both"/>
        <w:rPr>
          <w:sz w:val="24"/>
          <w:szCs w:val="24"/>
        </w:rPr>
      </w:pPr>
      <w:r>
        <w:rPr>
          <w:sz w:val="24"/>
          <w:szCs w:val="24"/>
        </w:rPr>
        <w:t xml:space="preserve">В 2019 году Администрация Томской области продолжила работу с Республикой Казахстан по реализации п. 23 Программы межрегионального и приграничного сотрудничества между Российской Федерацией и Республикой Казахстан на 2018 – 2023 годы по сотрудничеству в робототехнической отрасли. </w:t>
      </w:r>
    </w:p>
    <w:p w:rsidR="007E27CB" w:rsidRDefault="008F141F">
      <w:pPr>
        <w:tabs>
          <w:tab w:val="left" w:pos="4962"/>
        </w:tabs>
        <w:spacing w:after="0" w:line="240" w:lineRule="auto"/>
        <w:ind w:firstLine="567"/>
        <w:contextualSpacing/>
        <w:jc w:val="both"/>
        <w:rPr>
          <w:sz w:val="24"/>
          <w:szCs w:val="24"/>
        </w:rPr>
      </w:pPr>
      <w:r>
        <w:rPr>
          <w:sz w:val="24"/>
          <w:szCs w:val="24"/>
        </w:rPr>
        <w:t>Среди стран Центральной Азии крупнейшим партнером Томской области по внешнеторговым операциям является Республика Узбекистан</w:t>
      </w:r>
      <w:r>
        <w:rPr>
          <w:i/>
          <w:sz w:val="24"/>
          <w:szCs w:val="24"/>
        </w:rPr>
        <w:t>.</w:t>
      </w:r>
      <w:r>
        <w:rPr>
          <w:sz w:val="24"/>
          <w:szCs w:val="24"/>
        </w:rPr>
        <w:t xml:space="preserve"> За 2019 год сумма экспортно-импортных операций с Узбекистаном составила 93,3 млн. долл. США, что выше значения аналогичного периода прошлого года на 7,8%. Основную долю внешнеэкономических операций занимает экспорт древесины и целлюлозно-бумажных изделий. Только за последние два года объем поставок деревообрабатывающей продукции в Узбекистан вырос в 1,5 раза. Импорт из Республики Узбекистан преимущественно представлен продовольственными товарами и составил в 2019 году 5,2 млн. долл. США, что выше значения аналогичного периода прошлого года в 1,8 раза. Положительной тенденции взаимодействия с Республикой Узбекистан способствуют регулярные визиты партнеров в Томскую область, их высокая заинтересованность в установлении </w:t>
      </w:r>
      <w:r>
        <w:rPr>
          <w:sz w:val="24"/>
          <w:szCs w:val="24"/>
        </w:rPr>
        <w:lastRenderedPageBreak/>
        <w:t xml:space="preserve">долгосрочных отношений как по линии торгового сотрудничества, так и по линии образования.   </w:t>
      </w:r>
    </w:p>
    <w:p w:rsidR="007E27CB" w:rsidRDefault="008F141F">
      <w:pPr>
        <w:tabs>
          <w:tab w:val="left" w:pos="4962"/>
        </w:tabs>
        <w:spacing w:after="0" w:line="240" w:lineRule="auto"/>
        <w:ind w:firstLine="567"/>
        <w:contextualSpacing/>
        <w:jc w:val="both"/>
        <w:rPr>
          <w:sz w:val="24"/>
          <w:szCs w:val="24"/>
        </w:rPr>
      </w:pPr>
      <w:r>
        <w:rPr>
          <w:sz w:val="24"/>
          <w:szCs w:val="24"/>
        </w:rPr>
        <w:t>В 2019 году Томская область продолжила углублять сотрудничество с Китайской Народной Республикой</w:t>
      </w:r>
      <w:r>
        <w:rPr>
          <w:i/>
          <w:sz w:val="24"/>
          <w:szCs w:val="24"/>
        </w:rPr>
        <w:t xml:space="preserve"> </w:t>
      </w:r>
      <w:r>
        <w:rPr>
          <w:sz w:val="24"/>
          <w:szCs w:val="24"/>
        </w:rPr>
        <w:t xml:space="preserve">– основным партнером из </w:t>
      </w:r>
      <w:r>
        <w:rPr>
          <w:b/>
          <w:sz w:val="24"/>
          <w:szCs w:val="24"/>
        </w:rPr>
        <w:t>Азиатско-Тихоокеанского региона</w:t>
      </w:r>
      <w:r>
        <w:rPr>
          <w:sz w:val="24"/>
          <w:szCs w:val="24"/>
        </w:rPr>
        <w:t xml:space="preserve">. Продолжилась работа по реализации инвестиционного проекта «Создание лесопромышленного индустриального парка в г. Асино». В течение года в Томскую область для проведения рабочих совещаний осуществлялись визиты руководством Объединенной инвестиционной группы развития провинции Хубэй и ООО «АВИК Форестри», в ноябре же 2019 года делегация Томской области участвовала в заседании Постоянной российско-китайской рабочей группы по освоению и использованию лесных ресурсов, которая проходила в г. Ухань, КНР. Также для поддержания реализации проекта «Создание лесопромышленного индустриального парка в г. Асино» углубляется сотрудничество с провинцией Хубэй. </w:t>
      </w:r>
    </w:p>
    <w:p w:rsidR="007E27CB" w:rsidRDefault="008F141F">
      <w:pPr>
        <w:tabs>
          <w:tab w:val="left" w:pos="4962"/>
        </w:tabs>
        <w:spacing w:after="0" w:line="240" w:lineRule="auto"/>
        <w:ind w:firstLine="567"/>
        <w:contextualSpacing/>
        <w:jc w:val="both"/>
        <w:rPr>
          <w:sz w:val="24"/>
          <w:szCs w:val="24"/>
        </w:rPr>
      </w:pPr>
      <w:r>
        <w:rPr>
          <w:sz w:val="24"/>
          <w:szCs w:val="24"/>
        </w:rPr>
        <w:t xml:space="preserve">В рамках «Меморандума о научно-техническом сотрудничестве между Администрацией Томской области Российской Федерации и Народным Правительством провинции Цзянсу Китайской Народной Республики» продолжилось сотрудничество с Центром развития производительности провинции Цзянсу (Центром внешнего научно-технического обмена). </w:t>
      </w:r>
    </w:p>
    <w:p w:rsidR="007E27CB" w:rsidRDefault="008F141F">
      <w:pPr>
        <w:tabs>
          <w:tab w:val="left" w:pos="4962"/>
        </w:tabs>
        <w:spacing w:after="0" w:line="240" w:lineRule="auto"/>
        <w:ind w:firstLine="567"/>
        <w:contextualSpacing/>
        <w:jc w:val="both"/>
        <w:rPr>
          <w:sz w:val="24"/>
          <w:szCs w:val="24"/>
        </w:rPr>
      </w:pPr>
      <w:r>
        <w:rPr>
          <w:sz w:val="24"/>
          <w:szCs w:val="24"/>
        </w:rPr>
        <w:t xml:space="preserve">В 2019 году Томская область продолжила развивать сотрудничество с Японией. Традиционно велась работа с Токио на основе Меморандума о сотрудничестве и взаимопонимании между Администрацией Томской области и Столичным правительством Токио. В текущем году регион также работал над диверсификацией контактов с японскими партнерами. В мае 2019 года Губернатор Томской области принял участие в заседании Совета Губернаторов России и Японии, где представил потенциал региона, а также провел переговоры с Губернаторами двух японских префектур – Ибараки и Окаяма. По итогам переговоров в ноябре состоялся визит делегации Томской области в префектуру Ибараки по теме сотрудничества в области сельского хозяйства. </w:t>
      </w:r>
    </w:p>
    <w:p w:rsidR="007E27CB" w:rsidRDefault="008F141F">
      <w:pPr>
        <w:tabs>
          <w:tab w:val="left" w:pos="4962"/>
        </w:tabs>
        <w:spacing w:after="0" w:line="240" w:lineRule="auto"/>
        <w:ind w:firstLine="567"/>
        <w:contextualSpacing/>
        <w:jc w:val="both"/>
        <w:rPr>
          <w:sz w:val="24"/>
          <w:szCs w:val="24"/>
        </w:rPr>
      </w:pPr>
      <w:r>
        <w:rPr>
          <w:sz w:val="24"/>
          <w:szCs w:val="24"/>
        </w:rPr>
        <w:t xml:space="preserve">В 2019 году Томская область традиционно развивала сотрудничество со </w:t>
      </w:r>
      <w:r>
        <w:rPr>
          <w:b/>
          <w:sz w:val="24"/>
          <w:szCs w:val="24"/>
        </w:rPr>
        <w:t>странами Европы</w:t>
      </w:r>
      <w:r>
        <w:rPr>
          <w:sz w:val="24"/>
          <w:szCs w:val="24"/>
        </w:rPr>
        <w:t>. Основными сферами взаимодействия с европейскими партнерами по-прежнему остаются торгово-экономическая, научно-образовательная и гуманитарная. Для Томской области это позволяет поддерживать благоприятный имидж региона в европейских странах и расширить связи между нашими деловыми кругами, университетами, научно-исследовательскими центрами и учреждениями культуры.</w:t>
      </w:r>
    </w:p>
    <w:p w:rsidR="007E27CB" w:rsidRDefault="008F141F">
      <w:pPr>
        <w:tabs>
          <w:tab w:val="left" w:pos="4962"/>
        </w:tabs>
        <w:spacing w:after="0" w:line="240" w:lineRule="auto"/>
        <w:ind w:firstLine="567"/>
        <w:contextualSpacing/>
        <w:jc w:val="both"/>
        <w:rPr>
          <w:sz w:val="24"/>
          <w:szCs w:val="24"/>
        </w:rPr>
      </w:pPr>
      <w:r>
        <w:rPr>
          <w:sz w:val="24"/>
          <w:szCs w:val="24"/>
        </w:rPr>
        <w:t xml:space="preserve">Увеличилось число взаимных деловых миссий, которые, в свою очередь, привели к росту торгово-экономического сотрудничества между Томской областью и европейскими странами, а также расширилась география сотрудничества. Впервые за последние годы состоялись визиты представителей бизнеса из таких стран как Венгрия и Чехия. </w:t>
      </w:r>
    </w:p>
    <w:p w:rsidR="007E27CB" w:rsidRDefault="008F141F">
      <w:pPr>
        <w:tabs>
          <w:tab w:val="left" w:pos="4962"/>
        </w:tabs>
        <w:spacing w:after="0" w:line="240" w:lineRule="auto"/>
        <w:ind w:firstLine="567"/>
        <w:contextualSpacing/>
        <w:jc w:val="both"/>
        <w:rPr>
          <w:sz w:val="24"/>
          <w:szCs w:val="24"/>
        </w:rPr>
      </w:pPr>
      <w:r>
        <w:rPr>
          <w:sz w:val="24"/>
          <w:szCs w:val="24"/>
        </w:rPr>
        <w:t xml:space="preserve">Наиболее перспективными направлениями сотрудничества остаются сельское и лесное хозяйство, промышленность, здравоохранение и новые технологии. В сфере сельского и лесного хозяйства продолжается сотрудничество с Нидерландами и Австрией. В продолжение визитов 2017 и 2018 гг. для томских производителей и фермеров были организованы круглые столы, а также обучение от экспертов из Нидерландов в области молочного и мясного животноводства нидерландской компании «CowSignals». </w:t>
      </w:r>
    </w:p>
    <w:p w:rsidR="007E27CB" w:rsidRDefault="008F141F">
      <w:pPr>
        <w:tabs>
          <w:tab w:val="left" w:pos="4962"/>
        </w:tabs>
        <w:spacing w:after="0" w:line="240" w:lineRule="auto"/>
        <w:ind w:firstLine="567"/>
        <w:contextualSpacing/>
        <w:jc w:val="both"/>
        <w:rPr>
          <w:sz w:val="24"/>
          <w:szCs w:val="24"/>
        </w:rPr>
      </w:pPr>
      <w:r>
        <w:rPr>
          <w:sz w:val="24"/>
          <w:szCs w:val="24"/>
        </w:rPr>
        <w:t xml:space="preserve">В области образования и науки по-прежнему превалирует сотрудничество с Германией, Нидерландами и Францией. Еще одной европейской страной, проявившей интерес к взаимодействию с томской наукой, стала Норвегия. Имеется большой потенциал для сотрудничества между томскими и норвежскими инновационными компаниями и исследовательскими организациями. </w:t>
      </w:r>
    </w:p>
    <w:p w:rsidR="007E27CB" w:rsidRDefault="008F141F">
      <w:pPr>
        <w:tabs>
          <w:tab w:val="left" w:pos="4962"/>
        </w:tabs>
        <w:spacing w:after="0" w:line="240" w:lineRule="auto"/>
        <w:ind w:firstLine="567"/>
        <w:contextualSpacing/>
        <w:jc w:val="both"/>
        <w:rPr>
          <w:sz w:val="24"/>
          <w:szCs w:val="24"/>
        </w:rPr>
      </w:pPr>
      <w:r>
        <w:rPr>
          <w:sz w:val="24"/>
          <w:szCs w:val="24"/>
        </w:rPr>
        <w:t xml:space="preserve">Важным направлением сотрудничества со странами Европы является культурно-гуманитарное сотрудничество. В ноябре – декабре прошел уже  III Фестиваль кино стран ЕС в Томске, программа которого была представлена фильмами 15 стран и гостями фестиваля. Стоит также отметить участие плотников из Германии, Финляндии, Дании, </w:t>
      </w:r>
      <w:r>
        <w:rPr>
          <w:sz w:val="24"/>
          <w:szCs w:val="24"/>
        </w:rPr>
        <w:lastRenderedPageBreak/>
        <w:t xml:space="preserve">Чехии, Польши, Сербии, Швейцарии в ежегодном Международном фестивале-конкурсе плотницкого мастерства «Праздник топора». </w:t>
      </w:r>
    </w:p>
    <w:p w:rsidR="007E27CB" w:rsidRDefault="008F141F">
      <w:pPr>
        <w:tabs>
          <w:tab w:val="left" w:pos="4962"/>
        </w:tabs>
        <w:spacing w:after="0" w:line="240" w:lineRule="auto"/>
        <w:ind w:firstLine="567"/>
        <w:contextualSpacing/>
        <w:jc w:val="both"/>
        <w:rPr>
          <w:sz w:val="24"/>
          <w:szCs w:val="24"/>
        </w:rPr>
      </w:pPr>
      <w:r>
        <w:rPr>
          <w:sz w:val="24"/>
          <w:szCs w:val="24"/>
        </w:rPr>
        <w:t xml:space="preserve">Во исполнение Указов Президента Российской Федерации ведется работа по поддержке изучения русского языка за рубежом. В рамках данного направления в 2019 году уже во второй раз были организованы курсы русского языка для учащихся и преподавателей общеобразовательных учреждений г. Улангом (Монголия). </w:t>
      </w:r>
    </w:p>
    <w:p w:rsidR="007E27CB" w:rsidRDefault="008F141F">
      <w:pPr>
        <w:tabs>
          <w:tab w:val="left" w:pos="4962"/>
        </w:tabs>
        <w:spacing w:after="0" w:line="240" w:lineRule="auto"/>
        <w:ind w:firstLine="567"/>
        <w:contextualSpacing/>
        <w:jc w:val="both"/>
        <w:rPr>
          <w:b/>
          <w:i/>
          <w:sz w:val="24"/>
          <w:szCs w:val="24"/>
        </w:rPr>
      </w:pPr>
      <w:r>
        <w:rPr>
          <w:sz w:val="24"/>
          <w:szCs w:val="24"/>
        </w:rPr>
        <w:t xml:space="preserve">В рамках реализации регионального проекта «Системные меры развития международной кооперации и экспорта» национального проекта «Международная кооперация и экспорт» в 2019 году организовано более 40 выездных мероприятий, направленных на продвижение экспортного потенциала Томской области на внешних рынках, в том числе при участии Центра поддержки экспорта. Создан наиболее полный реестр экспортеров товаров Томской области. </w:t>
      </w:r>
    </w:p>
    <w:p w:rsidR="007E27CB" w:rsidRDefault="008F141F">
      <w:pPr>
        <w:tabs>
          <w:tab w:val="left" w:pos="4962"/>
        </w:tabs>
        <w:spacing w:after="0" w:line="240" w:lineRule="auto"/>
        <w:ind w:firstLine="567"/>
        <w:contextualSpacing/>
        <w:jc w:val="both"/>
        <w:rPr>
          <w:sz w:val="24"/>
          <w:szCs w:val="24"/>
        </w:rPr>
      </w:pPr>
      <w:r>
        <w:rPr>
          <w:sz w:val="24"/>
          <w:szCs w:val="24"/>
        </w:rPr>
        <w:t>В рамках развития экспорта услуг категории «Поездки» в 2019 году обеспечено участие Томской области в проводимом Ростуризмом роуд-шоу «Россия 2020. ЕВРО в подарок» в странах Азиатско-Тихоокеанского региона. В целях привлечения иностранных туристов в регионе реализуются международные мероприятия: «Праздник Топора», Томский международный марафон «Ярче», «Хрустальный Томск».</w:t>
      </w:r>
    </w:p>
    <w:p w:rsidR="007E27CB" w:rsidRDefault="007E27CB">
      <w:pPr>
        <w:tabs>
          <w:tab w:val="left" w:pos="4962"/>
        </w:tabs>
        <w:spacing w:after="0" w:line="240" w:lineRule="auto"/>
        <w:contextualSpacing/>
        <w:jc w:val="both"/>
        <w:rPr>
          <w:sz w:val="24"/>
          <w:szCs w:val="24"/>
        </w:rPr>
      </w:pPr>
    </w:p>
    <w:p w:rsidR="007E27CB" w:rsidRDefault="008F141F">
      <w:pPr>
        <w:shd w:val="clear" w:color="auto" w:fill="F2F2F2" w:themeFill="background1" w:themeFillShade="F2"/>
        <w:tabs>
          <w:tab w:val="left" w:pos="4962"/>
        </w:tabs>
        <w:spacing w:after="0" w:line="240" w:lineRule="auto"/>
        <w:jc w:val="both"/>
        <w:rPr>
          <w:b/>
          <w:sz w:val="24"/>
          <w:szCs w:val="24"/>
        </w:rPr>
      </w:pPr>
      <w:r>
        <w:rPr>
          <w:b/>
          <w:sz w:val="24"/>
          <w:szCs w:val="24"/>
        </w:rPr>
        <w:t>Перспективные задачи</w:t>
      </w:r>
    </w:p>
    <w:p w:rsidR="007E27CB" w:rsidRDefault="007E27CB">
      <w:pPr>
        <w:tabs>
          <w:tab w:val="left" w:pos="4962"/>
        </w:tabs>
        <w:spacing w:after="0" w:line="240" w:lineRule="auto"/>
        <w:contextualSpacing/>
        <w:jc w:val="both"/>
        <w:rPr>
          <w:sz w:val="24"/>
          <w:szCs w:val="24"/>
        </w:rPr>
      </w:pPr>
    </w:p>
    <w:p w:rsidR="007E27CB" w:rsidRDefault="008F141F">
      <w:pPr>
        <w:pStyle w:val="a6"/>
        <w:numPr>
          <w:ilvl w:val="1"/>
          <w:numId w:val="209"/>
        </w:numPr>
        <w:tabs>
          <w:tab w:val="left" w:pos="284"/>
        </w:tabs>
        <w:spacing w:after="0" w:line="240" w:lineRule="auto"/>
        <w:ind w:left="0" w:firstLine="0"/>
        <w:jc w:val="both"/>
        <w:rPr>
          <w:rFonts w:ascii="Times New Roman" w:hAnsi="Times New Roman"/>
          <w:sz w:val="24"/>
          <w:szCs w:val="24"/>
        </w:rPr>
      </w:pPr>
      <w:r>
        <w:rPr>
          <w:rFonts w:ascii="Times New Roman" w:hAnsi="Times New Roman"/>
          <w:sz w:val="24"/>
          <w:szCs w:val="24"/>
        </w:rPr>
        <w:t>1.Установление и поддержание торгово-экономических, научно-технических и культурных связей с зарубежными странами и регионами Российской Федерации.</w:t>
      </w:r>
    </w:p>
    <w:p w:rsidR="007E27CB" w:rsidRDefault="008F141F">
      <w:pPr>
        <w:pStyle w:val="a6"/>
        <w:numPr>
          <w:ilvl w:val="1"/>
          <w:numId w:val="209"/>
        </w:numPr>
        <w:tabs>
          <w:tab w:val="left" w:pos="284"/>
        </w:tabs>
        <w:spacing w:after="0" w:line="240" w:lineRule="auto"/>
        <w:ind w:left="0" w:firstLine="0"/>
        <w:jc w:val="both"/>
        <w:rPr>
          <w:rFonts w:ascii="Times New Roman" w:hAnsi="Times New Roman"/>
          <w:sz w:val="24"/>
          <w:szCs w:val="24"/>
        </w:rPr>
      </w:pPr>
      <w:r>
        <w:rPr>
          <w:rFonts w:ascii="Times New Roman" w:hAnsi="Times New Roman"/>
          <w:sz w:val="24"/>
          <w:szCs w:val="24"/>
        </w:rPr>
        <w:t>2.Проведение мероприятий, направленных на формирование благоприятного имиджа и повышение конкурентных преимуществ Томской области.</w:t>
      </w:r>
    </w:p>
    <w:p w:rsidR="007E27CB" w:rsidRDefault="008F141F">
      <w:pPr>
        <w:tabs>
          <w:tab w:val="left" w:pos="4962"/>
        </w:tabs>
        <w:spacing w:after="0" w:line="240" w:lineRule="auto"/>
        <w:rPr>
          <w:rFonts w:eastAsia="Times New Roman"/>
          <w:color w:val="FF0000"/>
          <w:sz w:val="24"/>
          <w:szCs w:val="24"/>
        </w:rPr>
      </w:pPr>
      <w:r>
        <w:rPr>
          <w:rFonts w:eastAsia="Times New Roman"/>
          <w:color w:val="FF0000"/>
          <w:sz w:val="24"/>
          <w:szCs w:val="24"/>
        </w:rPr>
        <w:br w:type="page"/>
      </w:r>
    </w:p>
    <w:p w:rsidR="007E27CB" w:rsidRDefault="00987900">
      <w:pPr>
        <w:pStyle w:val="a4"/>
        <w:tabs>
          <w:tab w:val="clear" w:pos="4153"/>
          <w:tab w:val="clear" w:pos="8306"/>
          <w:tab w:val="left" w:pos="4962"/>
        </w:tabs>
        <w:rPr>
          <w:b/>
        </w:rPr>
      </w:pPr>
      <w:hyperlink r:id="rId18" w:history="1">
        <w:r w:rsidR="008F141F">
          <w:rPr>
            <w:b/>
          </w:rPr>
          <w:t>РАЗДЕЛ II</w:t>
        </w:r>
      </w:hyperlink>
    </w:p>
    <w:p w:rsidR="007E27CB" w:rsidRDefault="008F141F">
      <w:pPr>
        <w:pStyle w:val="a4"/>
        <w:tabs>
          <w:tab w:val="clear" w:pos="4153"/>
          <w:tab w:val="clear" w:pos="8306"/>
          <w:tab w:val="left" w:pos="4962"/>
        </w:tabs>
        <w:rPr>
          <w:b/>
          <w:caps/>
        </w:rPr>
      </w:pPr>
      <w:r>
        <w:rPr>
          <w:b/>
          <w:caps/>
        </w:rPr>
        <w:t>Рациональное использование природного капитала, устойчивое развитие агропромышленного комплекса</w:t>
      </w:r>
    </w:p>
    <w:p w:rsidR="007E27CB" w:rsidRDefault="007E27CB">
      <w:pPr>
        <w:pStyle w:val="a4"/>
        <w:tabs>
          <w:tab w:val="clear" w:pos="4153"/>
          <w:tab w:val="clear" w:pos="8306"/>
          <w:tab w:val="left" w:pos="4962"/>
        </w:tabs>
      </w:pPr>
    </w:p>
    <w:p w:rsidR="007E27CB" w:rsidRDefault="008F141F">
      <w:pPr>
        <w:tabs>
          <w:tab w:val="left" w:pos="4962"/>
        </w:tabs>
        <w:spacing w:after="0" w:line="240" w:lineRule="auto"/>
        <w:jc w:val="both"/>
        <w:rPr>
          <w:rFonts w:eastAsia="Times New Roman"/>
          <w:b/>
          <w:sz w:val="24"/>
          <w:szCs w:val="24"/>
        </w:rPr>
      </w:pPr>
      <w:r>
        <w:rPr>
          <w:rFonts w:eastAsia="Times New Roman"/>
          <w:b/>
          <w:sz w:val="24"/>
          <w:szCs w:val="24"/>
        </w:rPr>
        <w:t>2.1. Обеспечение рационального использования природных ресурсов, в том числе возобновляемых ресурсов, и повышение качества окружающей среды Томской области</w:t>
      </w:r>
    </w:p>
    <w:p w:rsidR="007E27CB" w:rsidRDefault="007E27CB">
      <w:pPr>
        <w:pStyle w:val="a4"/>
        <w:tabs>
          <w:tab w:val="clear" w:pos="4153"/>
          <w:tab w:val="clear" w:pos="8306"/>
          <w:tab w:val="left" w:pos="4962"/>
        </w:tabs>
      </w:pPr>
    </w:p>
    <w:p w:rsidR="007E27CB" w:rsidRDefault="008F141F">
      <w:pPr>
        <w:pStyle w:val="af"/>
        <w:tabs>
          <w:tab w:val="left" w:pos="4962"/>
        </w:tabs>
        <w:ind w:firstLine="567"/>
        <w:rPr>
          <w:b/>
        </w:rPr>
      </w:pPr>
      <w:r>
        <w:rPr>
          <w:b/>
        </w:rPr>
        <w:t>ЛЕСНОЙ ПОТЕНЦИАЛ</w:t>
      </w:r>
      <w:r>
        <w:rPr>
          <w:rStyle w:val="af3"/>
          <w:b/>
        </w:rPr>
        <w:footnoteReference w:id="9"/>
      </w:r>
    </w:p>
    <w:p w:rsidR="007E27CB" w:rsidRDefault="007E27CB">
      <w:pPr>
        <w:pStyle w:val="af"/>
        <w:tabs>
          <w:tab w:val="left" w:pos="4962"/>
        </w:tabs>
        <w:ind w:firstLine="567"/>
      </w:pPr>
    </w:p>
    <w:p w:rsidR="007E27CB" w:rsidRDefault="008F141F">
      <w:pPr>
        <w:pStyle w:val="af"/>
        <w:ind w:firstLine="567"/>
        <w:jc w:val="both"/>
      </w:pPr>
      <w:r>
        <w:t>Общая площадь земель лесного фонда Томской области составляет 28,8 млн. га или 91,5% территории области. Лесистость – 61,3%. Запас древесины оценивается в 2,8 млрд. куб. м, в том числе по хвойной – 1,6 млрд. куб. м. Распределение площади лесов по преобладающим породам: береза – 35,8%, сосна – 28,8%, кедр – 19%, осина – 9,9%, ель, пихта, лиственница – 5,7%, другие мягколиственные – 0,8%.</w:t>
      </w:r>
    </w:p>
    <w:p w:rsidR="007E27CB" w:rsidRDefault="008F141F">
      <w:pPr>
        <w:pStyle w:val="af"/>
        <w:ind w:firstLine="567"/>
        <w:jc w:val="both"/>
      </w:pPr>
      <w:r>
        <w:t>Допустимый объем изъятия древесины (расчетная лесосека) составляет 40,5 млн. куб. м, в том числе по хвойному хозяйству – 13,0 млн. куб. м, по мягколиственному – 27,5 млн. куб. м. В 2019 году в регионе заготовлено 6,49 млн. куб. м, общее освоение расчетной лесосеки составило 16%.</w:t>
      </w:r>
    </w:p>
    <w:p w:rsidR="007E27CB" w:rsidRDefault="008F141F">
      <w:pPr>
        <w:pStyle w:val="af"/>
        <w:ind w:firstLine="567"/>
        <w:jc w:val="both"/>
      </w:pPr>
      <w:r>
        <w:t xml:space="preserve">Томская область относится к многолесным регионам и по общим запасам леса занимает 8-е место среди регионов Российской Федерации, 3-е место – в СФО. </w:t>
      </w:r>
    </w:p>
    <w:p w:rsidR="007E27CB" w:rsidRDefault="007E27CB">
      <w:pPr>
        <w:pStyle w:val="af"/>
        <w:ind w:firstLine="567"/>
        <w:jc w:val="both"/>
      </w:pPr>
    </w:p>
    <w:p w:rsidR="007E27CB" w:rsidRDefault="008F141F">
      <w:pPr>
        <w:pStyle w:val="af"/>
        <w:ind w:firstLine="567"/>
        <w:jc w:val="both"/>
        <w:rPr>
          <w:rFonts w:eastAsia="Calibri"/>
          <w:b/>
        </w:rPr>
      </w:pPr>
      <w:r>
        <w:rPr>
          <w:rFonts w:eastAsia="Calibri"/>
          <w:b/>
        </w:rPr>
        <w:t>Лесовосстановительные мероприятия</w:t>
      </w:r>
    </w:p>
    <w:p w:rsidR="007E27CB" w:rsidRDefault="008F141F">
      <w:pPr>
        <w:pStyle w:val="af"/>
        <w:ind w:firstLine="567"/>
        <w:jc w:val="both"/>
        <w:rPr>
          <w:rFonts w:eastAsia="Calibri"/>
        </w:rPr>
      </w:pPr>
      <w:r>
        <w:t>Основным и приоритетным направлением ведения лесного хозяйства в регионе является воспроизводство лесов, которое включает в себя комплекс направлений по лесному семеноводству, выращиванию посадочного материала, мероприятий по лесовосстановлению и проведению уходов за лесами.</w:t>
      </w:r>
    </w:p>
    <w:p w:rsidR="007E27CB" w:rsidRDefault="008F141F">
      <w:pPr>
        <w:pStyle w:val="af"/>
        <w:ind w:firstLine="567"/>
        <w:jc w:val="both"/>
      </w:pPr>
      <w:r>
        <w:t>Лесовосстановительные мероприятия в 2019 году на территории Томской области выполнены на площади 32 656,5 га. Искусственное лесовосстановление выполнено на площади 1 684,4 га. В 2019 году был использован посадочный материал с закрытой корневой системой в объеме 2 млн. шт.</w:t>
      </w:r>
    </w:p>
    <w:p w:rsidR="007E27CB" w:rsidRDefault="008F141F">
      <w:pPr>
        <w:pStyle w:val="af"/>
        <w:ind w:firstLine="567"/>
        <w:jc w:val="both"/>
      </w:pPr>
      <w:r>
        <w:t>На сегодняшний день на территории функционируют 5 постоянных питомников на площади 87,35 га. Ежегодный объем выращивания сеянцев с открытой корневой системой составляет 8,0 млн. шт.</w:t>
      </w:r>
    </w:p>
    <w:p w:rsidR="007E27CB" w:rsidRDefault="008F141F">
      <w:pPr>
        <w:spacing w:after="0" w:line="240" w:lineRule="auto"/>
        <w:ind w:firstLine="567"/>
        <w:contextualSpacing/>
        <w:jc w:val="both"/>
        <w:rPr>
          <w:rFonts w:eastAsia="Calibri"/>
          <w:sz w:val="24"/>
          <w:szCs w:val="24"/>
          <w:lang w:eastAsia="ru-RU"/>
        </w:rPr>
      </w:pPr>
      <w:r>
        <w:rPr>
          <w:rFonts w:eastAsia="Calibri"/>
          <w:sz w:val="24"/>
          <w:szCs w:val="24"/>
          <w:lang w:eastAsia="ru-RU"/>
        </w:rPr>
        <w:t xml:space="preserve">В рамках реализации регионального проекта «Сохранение лесов» национального проекта «Экология» в 2019 году приобретены техника и оборудование для проведения мероприятий по </w:t>
      </w:r>
      <w:r>
        <w:rPr>
          <w:sz w:val="24"/>
          <w:szCs w:val="24"/>
          <w:lang w:eastAsia="ru-RU"/>
        </w:rPr>
        <w:t xml:space="preserve">воспроизводству и охране лесов от пожаров (45 единиц техники и 154 </w:t>
      </w:r>
      <w:r>
        <w:rPr>
          <w:sz w:val="24"/>
          <w:szCs w:val="24"/>
        </w:rPr>
        <w:t>–</w:t>
      </w:r>
      <w:r>
        <w:rPr>
          <w:sz w:val="24"/>
          <w:szCs w:val="24"/>
          <w:lang w:eastAsia="ru-RU"/>
        </w:rPr>
        <w:t xml:space="preserve"> </w:t>
      </w:r>
      <w:r>
        <w:rPr>
          <w:rFonts w:eastAsia="Times New Roman"/>
          <w:sz w:val="24"/>
          <w:szCs w:val="24"/>
          <w:lang w:eastAsia="ru-RU"/>
        </w:rPr>
        <w:t>оборудования), закуплено и заготовлено 3,4 тонны лесных семян для проведения лесовосстановительных мероприятий.</w:t>
      </w:r>
    </w:p>
    <w:p w:rsidR="007E27CB" w:rsidRDefault="007E27CB">
      <w:pPr>
        <w:pStyle w:val="af"/>
        <w:ind w:firstLine="567"/>
        <w:jc w:val="both"/>
        <w:rPr>
          <w:i/>
        </w:rPr>
      </w:pPr>
    </w:p>
    <w:p w:rsidR="007E27CB" w:rsidRDefault="008F141F">
      <w:pPr>
        <w:pStyle w:val="af"/>
        <w:ind w:firstLine="567"/>
        <w:jc w:val="both"/>
        <w:rPr>
          <w:b/>
        </w:rPr>
      </w:pPr>
      <w:r>
        <w:rPr>
          <w:b/>
        </w:rPr>
        <w:t>Охрана лесов от пожаров</w:t>
      </w:r>
    </w:p>
    <w:p w:rsidR="007E27CB" w:rsidRDefault="008F141F">
      <w:pPr>
        <w:pStyle w:val="af"/>
        <w:ind w:firstLine="567"/>
        <w:jc w:val="both"/>
      </w:pPr>
      <w:r>
        <w:t>Выстроенная система пожарного мониторинга, а также система размещения и привлечения сил и средств тушения лесных пожаров на территории Томской области позволила увеличить оперативность обнаружения и тушения лесных пожаров в 2019 году до 89,3% в течение первых суток с момента обнаружения, минимизировать случаи возникновения крупных пожаров. В результате – снизить на территории региона среднюю площадь ликвидации лесного пожара до 8 – 10 га (средняя площадь на протяжении 2017 – 2019 гг.)</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lastRenderedPageBreak/>
        <w:t xml:space="preserve">Пожароопасный сезон 2019 года действовал на территории Томской области 191 день с 17 апреля по 24 октября 2019 года. </w:t>
      </w:r>
      <w:r>
        <w:rPr>
          <w:sz w:val="24"/>
          <w:szCs w:val="24"/>
        </w:rPr>
        <w:t>Всего в 2019 году на территории Томской области обнаружено и ликвидировано 224 лесных пожара на общей площади 2 255,5 га. На тушение лесных пожаров в 2019 году привлекались силы и средства 18 лесопожарных формирований Томской области в количестве 206 человек и 119 единиц техники. Дважды за сезон вводился особый противопожарный режим: в мае и августе.</w:t>
      </w:r>
    </w:p>
    <w:p w:rsidR="007E27CB" w:rsidRDefault="007E27CB">
      <w:pPr>
        <w:pStyle w:val="af"/>
        <w:ind w:firstLine="567"/>
        <w:jc w:val="both"/>
        <w:rPr>
          <w:b/>
        </w:rPr>
      </w:pPr>
    </w:p>
    <w:p w:rsidR="007E27CB" w:rsidRDefault="008F141F">
      <w:pPr>
        <w:pStyle w:val="af"/>
        <w:ind w:firstLine="567"/>
        <w:jc w:val="both"/>
        <w:rPr>
          <w:b/>
        </w:rPr>
      </w:pPr>
      <w:r>
        <w:rPr>
          <w:b/>
        </w:rPr>
        <w:t>Государственный лесной надзор</w:t>
      </w:r>
    </w:p>
    <w:p w:rsidR="007E27CB" w:rsidRDefault="008F141F">
      <w:pPr>
        <w:pStyle w:val="af"/>
        <w:ind w:firstLine="567"/>
        <w:jc w:val="both"/>
      </w:pPr>
      <w:r>
        <w:t>В 2019 году в рамках осуществления надзорных полномочий на территории Томской области проведено 11 484 контрольно-надзорных мероприятия, в том числе 602 – совместно с правоохранительными органами. Выявлено 1 158 нарушений требований лесного законодательства, в том числе 238 фактов незаконной рубки древесины, из них  86 – с выявленными нарушителями. По фактам незаконных рубок лесных насаждений к уголовной ответственности привлечено 60 лиц.</w:t>
      </w:r>
    </w:p>
    <w:p w:rsidR="007E27CB" w:rsidRDefault="008F141F">
      <w:pPr>
        <w:pStyle w:val="af"/>
        <w:ind w:firstLine="567"/>
        <w:jc w:val="both"/>
      </w:pPr>
      <w:r>
        <w:t>Продолжается эффективно зарекомендовавший в 2017 году прием сообщений о лесонарушениях через Региональную диспетчерскую службу лесного хозяйства Томской области с помощью мобильного приложения. К системе обмена данными подключены участники межведомственного взаимодействия (силовые структуры). В 2019 году проведена проверка 163 сообщений, из них 61 нашло свое подтверждение.</w:t>
      </w:r>
    </w:p>
    <w:p w:rsidR="007E27CB" w:rsidRDefault="008F141F">
      <w:pPr>
        <w:pStyle w:val="af"/>
        <w:ind w:firstLine="567"/>
        <w:jc w:val="both"/>
      </w:pPr>
      <w:r>
        <w:t xml:space="preserve">В рамках межведомственного взаимодействия организован контроль за пунктами приема и отгрузки древесины, позволяющий выявлять нарушения не только лесного законодательства, но и миграционного, экологического законодательств. В 2019 году проверены 122 пункта приема и отгрузки древесины, выявлены 89 нарушений требований лесного законодательства, 91 – экологического и 11 </w:t>
      </w:r>
      <w:r>
        <w:sym w:font="Symbol" w:char="F02D"/>
      </w:r>
      <w:r>
        <w:t xml:space="preserve"> миграционного законодательства.</w:t>
      </w:r>
    </w:p>
    <w:p w:rsidR="007E27CB" w:rsidRDefault="008F141F">
      <w:pPr>
        <w:pStyle w:val="af"/>
        <w:ind w:firstLine="567"/>
        <w:jc w:val="both"/>
      </w:pPr>
      <w:r>
        <w:t xml:space="preserve">Проведенная на территории Томской области работа позволила в 2019 году по сравнению с показателями 2018 года достичь снижения количества незаконных рубок на 4,8% (2018 год </w:t>
      </w:r>
      <w:r>
        <w:sym w:font="Symbol" w:char="F02D"/>
      </w:r>
      <w:r>
        <w:t xml:space="preserve"> 250; 2019 год </w:t>
      </w:r>
      <w:r>
        <w:sym w:font="Symbol" w:char="F02D"/>
      </w:r>
      <w:r>
        <w:t xml:space="preserve"> 238). Положительная динамика сохранилась и в уменьшении на 18,5% суммы ущерба от незаконных рубок (2018 год </w:t>
      </w:r>
      <w:r>
        <w:sym w:font="Symbol" w:char="F02D"/>
      </w:r>
      <w:r>
        <w:t xml:space="preserve"> 82,7 млн. рублей; 2019 год </w:t>
      </w:r>
      <w:r>
        <w:sym w:font="Symbol" w:char="F02D"/>
      </w:r>
      <w:r>
        <w:t xml:space="preserve"> 67,5 млн. рублей). Увеличено на 36% количество лиц, привлеченных к уголовной ответственности (2018 год </w:t>
      </w:r>
      <w:r>
        <w:sym w:font="Symbol" w:char="F02D"/>
      </w:r>
      <w:r>
        <w:t xml:space="preserve"> 44; 2019 год </w:t>
      </w:r>
      <w:r>
        <w:sym w:font="Symbol" w:char="F02D"/>
      </w:r>
      <w:r>
        <w:t xml:space="preserve"> 60). Кроме того, в 2019 году увеличилось на 7,2% количество лиц, привлеченных к административной ответственности за нарушения требований лесного законодательства (2018 год – 728 лиц; 2019 год – 784 лица). Сумма наложенных административных штрафов выросла на 1,5% с 19,8 млн. рублей в 2018 году до 20,1 млн. рублей в 2019 году. Увеличен на 38% показатель суммы взысканных денежных средств за причиненный ущерб (2018 год </w:t>
      </w:r>
      <w:r>
        <w:sym w:font="Symbol" w:char="F02D"/>
      </w:r>
      <w:r>
        <w:t xml:space="preserve"> 10,2 млн. рублей, 2019 год </w:t>
      </w:r>
      <w:r>
        <w:sym w:font="Symbol" w:char="F02D"/>
      </w:r>
      <w:r>
        <w:t xml:space="preserve"> 14,1 млн. рублей). </w:t>
      </w:r>
    </w:p>
    <w:p w:rsidR="007E27CB" w:rsidRDefault="007E27CB">
      <w:pPr>
        <w:pStyle w:val="af"/>
        <w:ind w:firstLine="567"/>
        <w:jc w:val="both"/>
      </w:pPr>
    </w:p>
    <w:p w:rsidR="007E27CB" w:rsidRDefault="008F141F">
      <w:pPr>
        <w:pStyle w:val="af"/>
        <w:ind w:firstLine="567"/>
        <w:jc w:val="both"/>
        <w:rPr>
          <w:b/>
        </w:rPr>
      </w:pPr>
      <w:r>
        <w:rPr>
          <w:b/>
        </w:rPr>
        <w:t>Использование лесов</w:t>
      </w:r>
    </w:p>
    <w:p w:rsidR="007E27CB" w:rsidRDefault="008F141F">
      <w:pPr>
        <w:pStyle w:val="af"/>
        <w:ind w:firstLine="567"/>
        <w:jc w:val="both"/>
        <w:rPr>
          <w:rFonts w:eastAsia="Calibri"/>
        </w:rPr>
      </w:pPr>
      <w:r>
        <w:rPr>
          <w:rFonts w:eastAsia="Calibri"/>
        </w:rPr>
        <w:t xml:space="preserve">В 2019 году проведено 4 аукциона на право заключения договора аренды лесных участков, находящихся в государственной собственности. По результатам этих аукционов заключено 43 договора аренды лесных участков на сумму 182 258,1 тыс. руб., в том числе в бюджет Томской области – 119 876,3 тыс. руб. по видам пользования: заготовка древесины, осуществление рекреационной деятельности, переработка древесины и иных лесных ресурсов, заготовка пищевых лесных ресурсов и сбор лекарственных растений на площади лесных участков 1,6 млн. га. </w:t>
      </w:r>
    </w:p>
    <w:p w:rsidR="007E27CB" w:rsidRDefault="008F141F">
      <w:pPr>
        <w:pStyle w:val="af"/>
        <w:ind w:firstLine="567"/>
        <w:jc w:val="both"/>
      </w:pPr>
      <w:r>
        <w:rPr>
          <w:rFonts w:eastAsia="Calibri"/>
        </w:rPr>
        <w:t>Наряду с аукционами по продаже права на заключение договоров аренды лесных участков, находящихся в государственной собственности, в 2019 году проведено 2 аукциона по продаже права на заключение договоров купли-продажи лесных насаждений с субъектами малого и среднего предпринимательства. Заключено 34 договора купли-продажи лесных насаждений на площади 782,29 га в объеме 81,918 тыс. куб. м. В 2019 году сумма поступлений в бюджет области составила 7,4 млн. рублей.</w:t>
      </w:r>
      <w:r>
        <w:t xml:space="preserve"> </w:t>
      </w:r>
    </w:p>
    <w:p w:rsidR="007E27CB" w:rsidRDefault="008F141F">
      <w:pPr>
        <w:pStyle w:val="af"/>
        <w:ind w:firstLine="567"/>
        <w:jc w:val="both"/>
      </w:pPr>
      <w:r>
        <w:lastRenderedPageBreak/>
        <w:t>Всего в региональный бюджет поступило 334,9 млн. рублей, в том числе:</w:t>
      </w:r>
    </w:p>
    <w:p w:rsidR="007E27CB" w:rsidRDefault="008F141F">
      <w:pPr>
        <w:pStyle w:val="af"/>
        <w:numPr>
          <w:ilvl w:val="0"/>
          <w:numId w:val="206"/>
        </w:numPr>
        <w:tabs>
          <w:tab w:val="left" w:pos="851"/>
        </w:tabs>
        <w:ind w:left="-142" w:firstLine="709"/>
        <w:jc w:val="both"/>
      </w:pPr>
      <w:r>
        <w:t>326,3 млн. рублей – плата за использование лесов;</w:t>
      </w:r>
    </w:p>
    <w:p w:rsidR="007E27CB" w:rsidRDefault="008F141F">
      <w:pPr>
        <w:pStyle w:val="af"/>
        <w:numPr>
          <w:ilvl w:val="0"/>
          <w:numId w:val="206"/>
        </w:numPr>
        <w:tabs>
          <w:tab w:val="left" w:pos="851"/>
        </w:tabs>
        <w:ind w:left="-142" w:firstLine="709"/>
        <w:jc w:val="both"/>
      </w:pPr>
      <w:r>
        <w:t>7,3 млн. рублей – уплата неустойки и пени за нарушение условий договоров аренды, денежные взыскания (штрафы) за нарушение федерального законодательства о пожарной безопасности в лесах;</w:t>
      </w:r>
    </w:p>
    <w:p w:rsidR="007E27CB" w:rsidRDefault="008F141F">
      <w:pPr>
        <w:pStyle w:val="af"/>
        <w:numPr>
          <w:ilvl w:val="0"/>
          <w:numId w:val="206"/>
        </w:numPr>
        <w:tabs>
          <w:tab w:val="left" w:pos="851"/>
        </w:tabs>
        <w:ind w:left="-142" w:firstLine="709"/>
        <w:jc w:val="both"/>
      </w:pPr>
      <w:r>
        <w:t>1,1 млн. рублей – плата за предоставление государственных услуг;</w:t>
      </w:r>
    </w:p>
    <w:p w:rsidR="007E27CB" w:rsidRDefault="008F141F">
      <w:pPr>
        <w:pStyle w:val="af"/>
        <w:numPr>
          <w:ilvl w:val="0"/>
          <w:numId w:val="206"/>
        </w:numPr>
        <w:tabs>
          <w:tab w:val="left" w:pos="851"/>
        </w:tabs>
        <w:ind w:left="-142" w:firstLine="709"/>
        <w:jc w:val="both"/>
      </w:pPr>
      <w:r>
        <w:t xml:space="preserve">0,2 млн. рублей – </w:t>
      </w:r>
      <w:r>
        <w:rPr>
          <w:lang w:eastAsia="en-US"/>
        </w:rPr>
        <w:t>денежные взыскания (штрафы) за нарушение законодательства Российской Федерации о контрактной системе в сфере закупок.</w:t>
      </w:r>
    </w:p>
    <w:p w:rsidR="007E27CB" w:rsidRDefault="008F141F">
      <w:pPr>
        <w:pStyle w:val="af"/>
        <w:ind w:firstLine="567"/>
        <w:jc w:val="both"/>
        <w:rPr>
          <w:rFonts w:eastAsia="Calibri"/>
        </w:rPr>
      </w:pPr>
      <w:r>
        <w:rPr>
          <w:rFonts w:eastAsia="Calibri"/>
        </w:rPr>
        <w:t xml:space="preserve"> По состоянию на 31.12.2019 заключено 19 138 договоров купли-продажи (общий объем – 524,8 тыс. куб. м) в соответствии с Законом Томской области от 09.08.2007 № 165-ОЗ «Об установлении порядка и нормативов заготовки гражданами древесины для собственных нужд».</w:t>
      </w:r>
    </w:p>
    <w:p w:rsidR="007E27CB" w:rsidRDefault="008F141F">
      <w:pPr>
        <w:pStyle w:val="af"/>
        <w:ind w:firstLine="567"/>
        <w:jc w:val="both"/>
        <w:rPr>
          <w:rFonts w:eastAsia="Calibri"/>
        </w:rPr>
      </w:pPr>
      <w:r>
        <w:rPr>
          <w:rFonts w:eastAsia="Calibri"/>
        </w:rPr>
        <w:t>В целях успешного развития биржевых торгов лесоматериалами и электронных процедур реализации древесины в качестве участников на аукционной площадке АО «СПбМТСБ» зарегистрированы все специализированные лесохозяйственные учреждения Томской области: ОГАУ «Томсклесхоз», ОГСБУ «Томская авиабаза». В качестве лотов выставляются лесные участки, на территории которых планируется проведение санитарно-оздоровительных мероприятий.</w:t>
      </w:r>
    </w:p>
    <w:p w:rsidR="007E27CB" w:rsidRDefault="008F141F">
      <w:pPr>
        <w:pStyle w:val="af"/>
        <w:ind w:firstLine="567"/>
        <w:jc w:val="both"/>
        <w:rPr>
          <w:rFonts w:eastAsia="Calibri"/>
        </w:rPr>
      </w:pPr>
      <w:r>
        <w:rPr>
          <w:rFonts w:eastAsia="Calibri"/>
        </w:rPr>
        <w:t xml:space="preserve">В течение 2018 </w:t>
      </w:r>
      <w:r>
        <w:t>–</w:t>
      </w:r>
      <w:r>
        <w:rPr>
          <w:rFonts w:eastAsia="Calibri"/>
        </w:rPr>
        <w:t xml:space="preserve"> 2019 годов специализированными лесохозяйственными учреждениями Томской области на торговой площадке «Torg-I» АО «СПбМТСБ» был выставлен 51 лот общим объемом 264 тыс. куб. м. ОГАУ «Томское лесохозяйственное производственное объединение» было выставлено 42 лота, из них реализовано 12 лотов общим объемом 31,8 тыс. куб. м. на сумму 7,1 млн. руб., средняя цена за 1 куб. м составила 224 рубля. ОГСБУ «Томская база авиационной охраны лесов» было выставлено 9 лотов общим объемом 18,8 тыс. куб. м. на сумму 7,9 млн. руб., средняя цена за 1 куб. м составила 420 рублей. Снято с биржевых торгов по причине отсутствия покупательского спроса 29 лотов, 1 лот снят по решению учреждения.</w:t>
      </w:r>
    </w:p>
    <w:p w:rsidR="007E27CB" w:rsidRDefault="007E27CB">
      <w:pPr>
        <w:pStyle w:val="af"/>
        <w:ind w:firstLine="567"/>
        <w:jc w:val="both"/>
        <w:rPr>
          <w:rFonts w:eastAsia="Calibri"/>
        </w:rPr>
      </w:pPr>
    </w:p>
    <w:p w:rsidR="007E27CB" w:rsidRDefault="008F141F">
      <w:pPr>
        <w:shd w:val="clear" w:color="auto" w:fill="F2F2F2" w:themeFill="background1" w:themeFillShade="F2"/>
        <w:tabs>
          <w:tab w:val="left" w:pos="4962"/>
        </w:tabs>
        <w:spacing w:after="0" w:line="240" w:lineRule="auto"/>
        <w:jc w:val="both"/>
        <w:rPr>
          <w:b/>
          <w:sz w:val="24"/>
          <w:szCs w:val="24"/>
        </w:rPr>
      </w:pPr>
      <w:r>
        <w:rPr>
          <w:b/>
          <w:sz w:val="24"/>
          <w:szCs w:val="24"/>
        </w:rPr>
        <w:t xml:space="preserve">Перспективные задачи </w:t>
      </w:r>
    </w:p>
    <w:p w:rsidR="007E27CB" w:rsidRDefault="007E27CB">
      <w:pPr>
        <w:pStyle w:val="af"/>
        <w:jc w:val="both"/>
        <w:rPr>
          <w:rFonts w:eastAsia="Calibri"/>
          <w:b/>
        </w:rPr>
      </w:pPr>
    </w:p>
    <w:p w:rsidR="007E27CB" w:rsidRDefault="008F141F">
      <w:pPr>
        <w:pStyle w:val="af"/>
        <w:tabs>
          <w:tab w:val="left" w:pos="284"/>
        </w:tabs>
        <w:jc w:val="both"/>
      </w:pPr>
      <w:r>
        <w:t>1. Проведение лесовосстановительных мероприятий на площади 28 516 га, в том числе искусственное – 3 620 га.</w:t>
      </w:r>
    </w:p>
    <w:p w:rsidR="007E27CB" w:rsidRDefault="008F141F">
      <w:pPr>
        <w:pStyle w:val="af"/>
        <w:tabs>
          <w:tab w:val="left" w:pos="284"/>
        </w:tabs>
        <w:jc w:val="both"/>
      </w:pPr>
      <w:r>
        <w:rPr>
          <w:rFonts w:eastAsia="Calibri"/>
        </w:rPr>
        <w:t xml:space="preserve">2. Снижение количества незаконных рубок, увеличение выявляемости лиц, </w:t>
      </w:r>
      <w:r>
        <w:t>осуществляющих незаконную заготовку древесины, а также повышение процента возмещения ущерба, нанесенного в результате нарушений требований лесного законодательства.</w:t>
      </w:r>
    </w:p>
    <w:p w:rsidR="007E27CB" w:rsidRDefault="008F141F">
      <w:pPr>
        <w:pStyle w:val="af"/>
        <w:tabs>
          <w:tab w:val="left" w:pos="284"/>
        </w:tabs>
        <w:jc w:val="both"/>
        <w:rPr>
          <w:rFonts w:eastAsia="Arial Unicode MS"/>
        </w:rPr>
      </w:pPr>
      <w:r>
        <w:t xml:space="preserve">3. Оснащение </w:t>
      </w:r>
      <w:r>
        <w:rPr>
          <w:rFonts w:eastAsia="Arial Unicode MS"/>
        </w:rPr>
        <w:t>учреждений, выполняющих мероприятия по воспроизводству лесов, специализированной лесохозяйственной техникой и оборудованием для проведения комплекса мероприятий по лесовосстановлению и лесоразведению, а также оснащение специализированных учреждений лесопожарной техникой и оборудованием для проведения комплекса мероприятий по охране лесов от пожаров.</w:t>
      </w:r>
    </w:p>
    <w:p w:rsidR="007E27CB" w:rsidRDefault="007E27CB">
      <w:pPr>
        <w:pStyle w:val="af"/>
        <w:ind w:firstLine="567"/>
        <w:jc w:val="both"/>
        <w:rPr>
          <w:rFonts w:eastAsia="Arial Unicode MS"/>
        </w:rPr>
      </w:pPr>
    </w:p>
    <w:p w:rsidR="007E27CB" w:rsidRDefault="008F141F">
      <w:pPr>
        <w:pStyle w:val="af"/>
        <w:ind w:firstLine="567"/>
        <w:jc w:val="both"/>
        <w:rPr>
          <w:b/>
        </w:rPr>
      </w:pPr>
      <w:r>
        <w:rPr>
          <w:b/>
        </w:rPr>
        <w:t xml:space="preserve">РЫБОХОЗЯЙСТВЕННЫЙ КОМПЛЕКС </w:t>
      </w:r>
    </w:p>
    <w:p w:rsidR="007E27CB" w:rsidRDefault="007E27CB">
      <w:pPr>
        <w:pStyle w:val="af"/>
        <w:ind w:firstLine="567"/>
        <w:jc w:val="both"/>
        <w:rPr>
          <w:b/>
        </w:rPr>
      </w:pPr>
    </w:p>
    <w:p w:rsidR="007E27CB" w:rsidRDefault="008F141F">
      <w:pPr>
        <w:pStyle w:val="af"/>
        <w:ind w:firstLine="567"/>
        <w:jc w:val="both"/>
      </w:pPr>
      <w:r>
        <w:t>В результате реализации мероприятий государственной программы «Развитие промышленного использования возобновляемых природных ресурсов Томской области» рыбохозяйственная отрасль региона на протяжении последних лет показывает положительную динамику развития:</w:t>
      </w:r>
    </w:p>
    <w:p w:rsidR="007E27CB" w:rsidRDefault="008F141F">
      <w:pPr>
        <w:pStyle w:val="af"/>
        <w:numPr>
          <w:ilvl w:val="0"/>
          <w:numId w:val="109"/>
        </w:numPr>
        <w:tabs>
          <w:tab w:val="left" w:pos="851"/>
        </w:tabs>
        <w:ind w:left="0" w:firstLine="567"/>
        <w:jc w:val="both"/>
      </w:pPr>
      <w:r>
        <w:t xml:space="preserve">объем переработки рыбной продукции в 2019 году вырос по сравнению с 2018 годом на 26,0% и составил более 4,2 тыс. тонн (рост по сравнению с 2015 г. в 1,5 раза); </w:t>
      </w:r>
    </w:p>
    <w:p w:rsidR="007E27CB" w:rsidRDefault="008F141F">
      <w:pPr>
        <w:pStyle w:val="af"/>
        <w:numPr>
          <w:ilvl w:val="0"/>
          <w:numId w:val="109"/>
        </w:numPr>
        <w:tabs>
          <w:tab w:val="left" w:pos="851"/>
        </w:tabs>
        <w:ind w:left="0" w:firstLine="567"/>
        <w:jc w:val="both"/>
      </w:pPr>
      <w:r>
        <w:t xml:space="preserve">объем вылова водных биоресурсов в 2019 году остался на уровне 2018 года - 3,2 тыс. тонн (рост по сравнению с 2015 г. в 1,4 раза), при этом прошедший год был </w:t>
      </w:r>
      <w:r>
        <w:lastRenderedPageBreak/>
        <w:t>неблагоприятным для промышленного рыболовства в связи с природно-климатическими условиями (низкий уровень воды, отсутствие поймы, необходимой для нереста и нагула рыбы);</w:t>
      </w:r>
    </w:p>
    <w:p w:rsidR="007E27CB" w:rsidRDefault="008F141F">
      <w:pPr>
        <w:pStyle w:val="af"/>
        <w:numPr>
          <w:ilvl w:val="0"/>
          <w:numId w:val="109"/>
        </w:numPr>
        <w:tabs>
          <w:tab w:val="left" w:pos="851"/>
        </w:tabs>
        <w:ind w:left="0" w:firstLine="567"/>
        <w:jc w:val="both"/>
        <w:rPr>
          <w:color w:val="000000"/>
        </w:rPr>
      </w:pPr>
      <w:r>
        <w:rPr>
          <w:color w:val="000000"/>
        </w:rPr>
        <w:t xml:space="preserve">объем выращенной товарной рыбы в 2019 году вырос незначительно и составил 80,4 тонн (рост по сравнению с 2015 г. в 1,3 раза). </w:t>
      </w:r>
    </w:p>
    <w:p w:rsidR="007E27CB" w:rsidRDefault="008F141F">
      <w:pPr>
        <w:pStyle w:val="af"/>
        <w:ind w:firstLine="567"/>
        <w:jc w:val="both"/>
      </w:pPr>
      <w:r>
        <w:t xml:space="preserve">Начиная с 2017 года основной приоритет в государственной поддержке рыбной отрасли был сделан на приобретение оборудования для глубокой переработки рыбного сырья. Современное высокопроизводительное оборудование для рыбных полуфабрикатов, снековой продукции, шкуросъемные и фаршевые машины позволили значительно расширить ассортимент продукции за счет более глубокой степени переработки рыбы, в том числе речной. </w:t>
      </w:r>
    </w:p>
    <w:p w:rsidR="007E27CB" w:rsidRDefault="008F141F">
      <w:pPr>
        <w:pStyle w:val="af"/>
        <w:ind w:firstLine="567"/>
        <w:jc w:val="both"/>
      </w:pPr>
      <w:r>
        <w:t>В 2018-2019 годах на рынок было представлено более 50 видов новой продукции, в том числе линейка рыбных продуктов для диетического питания, объектов социального общепита и детского питания, снековая рыбная продукция. Общий ассортимент в настоящее время составляет более 400 наименований рыбной продукции.</w:t>
      </w:r>
    </w:p>
    <w:p w:rsidR="007E27CB" w:rsidRDefault="008F141F">
      <w:pPr>
        <w:pStyle w:val="af"/>
        <w:ind w:firstLine="567"/>
        <w:jc w:val="both"/>
      </w:pPr>
      <w:r>
        <w:t>За последние 5 лет томскими предприятиями создана розничная сеть из 17 специализированных рыбных магазинов, основные рыбопереработчики также успешно сотрудничают с региональными и федеральными торговыми сетями.</w:t>
      </w:r>
    </w:p>
    <w:p w:rsidR="007E27CB" w:rsidRDefault="008F141F">
      <w:pPr>
        <w:spacing w:after="0" w:line="240" w:lineRule="auto"/>
        <w:ind w:firstLine="567"/>
        <w:jc w:val="both"/>
        <w:rPr>
          <w:rFonts w:eastAsia="Calibri"/>
          <w:sz w:val="24"/>
          <w:szCs w:val="24"/>
        </w:rPr>
      </w:pPr>
      <w:r>
        <w:rPr>
          <w:rFonts w:eastAsia="Calibri"/>
          <w:sz w:val="24"/>
          <w:szCs w:val="24"/>
        </w:rPr>
        <w:t>Предприятия рыбной отрасли ежегодно увеличивают налоговые и неналоговые платежи в консолидированный бюджет Томской области – по итогам 2019 года сумма налогов составила 22,8 млн. рублей, что на 11,2% выше уровня 2018 года.</w:t>
      </w:r>
    </w:p>
    <w:p w:rsidR="007E27CB" w:rsidRDefault="008F141F">
      <w:pPr>
        <w:pStyle w:val="af"/>
        <w:ind w:firstLine="567"/>
        <w:jc w:val="both"/>
      </w:pPr>
      <w:r>
        <w:t xml:space="preserve"> Благодаря государственной поддержке в сфере рыбопереработки в 2019 году предприятиями реализованы следующие инвестиционные проекты:</w:t>
      </w:r>
    </w:p>
    <w:p w:rsidR="007E27CB" w:rsidRDefault="008F141F">
      <w:pPr>
        <w:pStyle w:val="af"/>
        <w:numPr>
          <w:ilvl w:val="0"/>
          <w:numId w:val="110"/>
        </w:numPr>
        <w:tabs>
          <w:tab w:val="left" w:pos="851"/>
        </w:tabs>
        <w:ind w:left="0" w:firstLine="567"/>
        <w:jc w:val="both"/>
      </w:pPr>
      <w:r>
        <w:t xml:space="preserve">обновлен парк оборудования для глубокой переработки основными предприятиями г. Томска, г. Северска, Томского, Кривошеинского, Колпашевского и Александровского районов; </w:t>
      </w:r>
    </w:p>
    <w:p w:rsidR="007E27CB" w:rsidRDefault="008F141F">
      <w:pPr>
        <w:pStyle w:val="af"/>
        <w:numPr>
          <w:ilvl w:val="0"/>
          <w:numId w:val="110"/>
        </w:numPr>
        <w:tabs>
          <w:tab w:val="left" w:pos="851"/>
        </w:tabs>
        <w:ind w:left="0" w:firstLine="567"/>
        <w:jc w:val="both"/>
      </w:pPr>
      <w:r>
        <w:t xml:space="preserve">построен рыбоконсервный завод «Александровские консервы» (площадь 1 000 кв. м) в Александровском районе производительностью 6 тыс. банок в сутки, рассчитанный на хранение свежемороженой рыбы объемом до 1 000 тонн;  </w:t>
      </w:r>
    </w:p>
    <w:p w:rsidR="007E27CB" w:rsidRDefault="008F141F">
      <w:pPr>
        <w:pStyle w:val="af"/>
        <w:numPr>
          <w:ilvl w:val="0"/>
          <w:numId w:val="110"/>
        </w:numPr>
        <w:tabs>
          <w:tab w:val="left" w:pos="851"/>
        </w:tabs>
        <w:ind w:left="0" w:firstLine="567"/>
        <w:jc w:val="both"/>
      </w:pPr>
      <w:r>
        <w:t xml:space="preserve">построен рыбоперерабатывающий завод «Рыбная тема» в п. Предтеченск (площадь около 3 000 кв. м) производственной мощностью по переработке рыбного сырья до 3 000 тонн. </w:t>
      </w:r>
    </w:p>
    <w:p w:rsidR="007E27CB" w:rsidRDefault="008F141F">
      <w:pPr>
        <w:spacing w:after="0" w:line="240" w:lineRule="auto"/>
        <w:ind w:firstLine="567"/>
        <w:jc w:val="both"/>
        <w:rPr>
          <w:rFonts w:eastAsia="Calibri"/>
          <w:sz w:val="24"/>
          <w:szCs w:val="24"/>
        </w:rPr>
      </w:pPr>
      <w:r>
        <w:rPr>
          <w:rFonts w:eastAsia="Calibri"/>
          <w:sz w:val="24"/>
          <w:szCs w:val="24"/>
        </w:rPr>
        <w:t>Общий объем инвестиций в сфере рыбопереработки составил в 2019 году более 120 млн. рублей.</w:t>
      </w:r>
    </w:p>
    <w:p w:rsidR="007E27CB" w:rsidRDefault="008F141F">
      <w:pPr>
        <w:pStyle w:val="af"/>
        <w:ind w:firstLine="567"/>
        <w:jc w:val="both"/>
      </w:pPr>
      <w:r>
        <w:t>Прямая поддержка предприятий рыбной отрасли показала свою высокую эффективность, которая способствовала модернизации и расширению производств, внедрению новых технологий, расширению ассортимента продукции, созданию новых рабочих мест, увеличению налоговых поступлений в бюджет Томской области.</w:t>
      </w:r>
    </w:p>
    <w:p w:rsidR="007E27CB" w:rsidRDefault="008F141F">
      <w:pPr>
        <w:pStyle w:val="af"/>
        <w:ind w:firstLine="567"/>
        <w:jc w:val="both"/>
      </w:pPr>
      <w:r>
        <w:t>В сфере товарного рыбоводства в 2019 году предприятиями реализован инвестиционный проект на Кудровском карьере (п. Копылово). Запущена рыбоводная линия с системой замкнутого водоснабжения (УЗВ установки), рассчитанная на производство до 50 тонн товарной стерляди, а также воспроизводство ценных видов рыб до 2,0 млн. штук молоди сиговых/осетровых.</w:t>
      </w:r>
    </w:p>
    <w:p w:rsidR="007E27CB" w:rsidRDefault="008F141F">
      <w:pPr>
        <w:spacing w:after="0" w:line="240" w:lineRule="auto"/>
        <w:ind w:firstLine="567"/>
        <w:jc w:val="both"/>
        <w:rPr>
          <w:rFonts w:eastAsia="Calibri"/>
          <w:sz w:val="24"/>
          <w:szCs w:val="24"/>
        </w:rPr>
      </w:pPr>
      <w:r>
        <w:rPr>
          <w:rFonts w:eastAsia="Calibri"/>
          <w:sz w:val="24"/>
          <w:szCs w:val="24"/>
        </w:rPr>
        <w:t>Общий объем инвестиций в сфере товарной аквакультуры составил в 2019 году более 15 млн. рублей.</w:t>
      </w:r>
    </w:p>
    <w:p w:rsidR="007E27CB" w:rsidRDefault="008F141F">
      <w:pPr>
        <w:pStyle w:val="af"/>
        <w:ind w:firstLine="567"/>
        <w:jc w:val="both"/>
      </w:pPr>
      <w:r>
        <w:t xml:space="preserve">В товарном рыбоводстве региона происходят не только количественные, но и качественные изменения: </w:t>
      </w:r>
    </w:p>
    <w:p w:rsidR="007E27CB" w:rsidRDefault="008F141F">
      <w:pPr>
        <w:pStyle w:val="af"/>
        <w:numPr>
          <w:ilvl w:val="0"/>
          <w:numId w:val="111"/>
        </w:numPr>
        <w:tabs>
          <w:tab w:val="left" w:pos="851"/>
        </w:tabs>
        <w:ind w:left="0" w:firstLine="567"/>
        <w:jc w:val="both"/>
      </w:pPr>
      <w:r>
        <w:t xml:space="preserve">за последние несколько лет создано собственное ремонтно-маточное стадо: осетра сибирского, стерляди обской, осетра сибирского (енисейский подвид), камской стерляди, радужной форели, сарбоянского карпа; </w:t>
      </w:r>
    </w:p>
    <w:p w:rsidR="007E27CB" w:rsidRDefault="008F141F">
      <w:pPr>
        <w:pStyle w:val="af"/>
        <w:numPr>
          <w:ilvl w:val="0"/>
          <w:numId w:val="111"/>
        </w:numPr>
        <w:tabs>
          <w:tab w:val="left" w:pos="851"/>
        </w:tabs>
        <w:ind w:left="0" w:firstLine="567"/>
        <w:jc w:val="both"/>
      </w:pPr>
      <w:r>
        <w:lastRenderedPageBreak/>
        <w:t xml:space="preserve">летом 2018 года в целях воспроизводства осетровых видов рыб впервые в Томской области проведен отбор икры и инкубация от искусственно выращенного осетра сибирского. </w:t>
      </w:r>
    </w:p>
    <w:p w:rsidR="007E27CB" w:rsidRDefault="008F141F">
      <w:pPr>
        <w:pStyle w:val="af"/>
        <w:ind w:firstLine="567"/>
        <w:jc w:val="both"/>
      </w:pPr>
      <w:r>
        <w:t xml:space="preserve">В настоящее время Томский государственный университет выполняет научную работу по выявлению действующих нерестилищ и зимовальных ям осетровых видов рыб на участке 400 км р. Чулым, включая территорию заказника «Осетрово-нельмовый» (работа завершится в апреле 2020 г.). </w:t>
      </w:r>
    </w:p>
    <w:p w:rsidR="007E27CB" w:rsidRDefault="008F141F">
      <w:pPr>
        <w:pStyle w:val="af"/>
        <w:ind w:firstLine="567"/>
        <w:jc w:val="both"/>
      </w:pPr>
      <w:r>
        <w:t>В марте 2019 года в седьмой раз проведен ставший традиционным фестиваль «Народная рыбалка», в котором приняли участие более 3 000 гостей и участников, из которых около 1 200 рыбаков-любителей, в том числе 160 семейных команд.</w:t>
      </w:r>
    </w:p>
    <w:p w:rsidR="007E27CB" w:rsidRDefault="008F141F">
      <w:pPr>
        <w:pStyle w:val="af"/>
        <w:ind w:firstLine="567"/>
        <w:jc w:val="both"/>
      </w:pPr>
      <w:r>
        <w:t>В июне 2019 года на Белом озере в г. Томске состоялся ежегодный Детский фестиваль по ловле рыбы на поплавочную удочку к Дню защиты детей. В мероприятии приняли участие 160 детей в 4 группах.</w:t>
      </w:r>
    </w:p>
    <w:p w:rsidR="007E27CB" w:rsidRDefault="008F141F">
      <w:pPr>
        <w:pStyle w:val="af"/>
        <w:ind w:firstLine="567"/>
        <w:jc w:val="both"/>
        <w:rPr>
          <w:color w:val="000000" w:themeColor="text1"/>
          <w:shd w:val="clear" w:color="auto" w:fill="FFFFFF"/>
        </w:rPr>
      </w:pPr>
      <w:r>
        <w:t xml:space="preserve">Продукция томских рыбопереработчиков была достойно представлена в октябре 2019 года на агропромышленной выставке-ярмарке «Золотая осень». </w:t>
      </w:r>
      <w:r>
        <w:rPr>
          <w:color w:val="000000" w:themeColor="text1"/>
          <w:shd w:val="clear" w:color="auto" w:fill="FFFFFF"/>
        </w:rPr>
        <w:t>По результатам выставки предприятиям рыбной отрасли вручены:</w:t>
      </w:r>
    </w:p>
    <w:p w:rsidR="007E27CB" w:rsidRDefault="008F141F">
      <w:pPr>
        <w:shd w:val="clear" w:color="auto" w:fill="FFFFFF"/>
        <w:spacing w:after="0" w:line="240" w:lineRule="auto"/>
        <w:ind w:firstLine="567"/>
        <w:jc w:val="both"/>
        <w:textAlignment w:val="top"/>
        <w:rPr>
          <w:color w:val="000000" w:themeColor="text1"/>
          <w:sz w:val="24"/>
          <w:szCs w:val="24"/>
          <w:shd w:val="clear" w:color="auto" w:fill="FFFFFF"/>
        </w:rPr>
      </w:pPr>
      <w:r>
        <w:rPr>
          <w:color w:val="000000" w:themeColor="text1"/>
          <w:sz w:val="24"/>
          <w:szCs w:val="24"/>
          <w:shd w:val="clear" w:color="auto" w:fill="FFFFFF"/>
        </w:rPr>
        <w:t>- ООО «Колпашевский рыбозавод» медаль в номинации «</w:t>
      </w:r>
      <w:r>
        <w:rPr>
          <w:rFonts w:eastAsia="Times New Roman"/>
          <w:iCs/>
          <w:sz w:val="24"/>
          <w:szCs w:val="24"/>
          <w:lang w:eastAsia="ru-RU"/>
        </w:rPr>
        <w:t>За производство высококачественной пищевой продукции. Рыбная продукция» (</w:t>
      </w:r>
      <w:r>
        <w:rPr>
          <w:color w:val="000000" w:themeColor="text1"/>
          <w:sz w:val="24"/>
          <w:szCs w:val="24"/>
          <w:shd w:val="clear" w:color="auto" w:fill="FFFFFF"/>
        </w:rPr>
        <w:t>за салат «Кета бутербродная»);</w:t>
      </w:r>
    </w:p>
    <w:p w:rsidR="007E27CB" w:rsidRDefault="008F141F">
      <w:pPr>
        <w:shd w:val="clear" w:color="auto" w:fill="FFFFFF"/>
        <w:spacing w:after="0" w:line="240" w:lineRule="auto"/>
        <w:ind w:firstLine="567"/>
        <w:jc w:val="both"/>
        <w:textAlignment w:val="top"/>
        <w:rPr>
          <w:rFonts w:eastAsia="Times New Roman"/>
          <w:iCs/>
          <w:sz w:val="24"/>
          <w:szCs w:val="24"/>
          <w:lang w:eastAsia="ru-RU"/>
        </w:rPr>
      </w:pPr>
      <w:r>
        <w:rPr>
          <w:color w:val="000000" w:themeColor="text1"/>
          <w:sz w:val="24"/>
          <w:szCs w:val="24"/>
          <w:shd w:val="clear" w:color="auto" w:fill="FFFFFF"/>
        </w:rPr>
        <w:t>- ИП Шаханову И.М. медаль в номинации «</w:t>
      </w:r>
      <w:r>
        <w:rPr>
          <w:rFonts w:eastAsia="Times New Roman"/>
          <w:iCs/>
          <w:sz w:val="24"/>
          <w:szCs w:val="24"/>
          <w:lang w:eastAsia="ru-RU"/>
        </w:rPr>
        <w:t>За производство высококачественной пищевой продукции. Рыбная продукция» (за кету соленую в масле с укропом «Люкс»);</w:t>
      </w:r>
    </w:p>
    <w:p w:rsidR="007E27CB" w:rsidRDefault="008F141F">
      <w:pPr>
        <w:shd w:val="clear" w:color="auto" w:fill="FFFFFF"/>
        <w:spacing w:after="0" w:line="240" w:lineRule="auto"/>
        <w:ind w:firstLine="567"/>
        <w:jc w:val="both"/>
        <w:textAlignment w:val="top"/>
        <w:rPr>
          <w:color w:val="000000" w:themeColor="text1"/>
          <w:sz w:val="24"/>
          <w:szCs w:val="24"/>
          <w:shd w:val="clear" w:color="auto" w:fill="FFFFFF"/>
        </w:rPr>
      </w:pPr>
      <w:r>
        <w:rPr>
          <w:color w:val="000000" w:themeColor="text1"/>
          <w:sz w:val="24"/>
          <w:szCs w:val="24"/>
        </w:rPr>
        <w:t xml:space="preserve">- ИП Пивикову А.В. диплом в номинации </w:t>
      </w:r>
      <w:r>
        <w:rPr>
          <w:color w:val="000000" w:themeColor="text1"/>
          <w:sz w:val="24"/>
          <w:szCs w:val="24"/>
          <w:shd w:val="clear" w:color="auto" w:fill="FFFFFF"/>
        </w:rPr>
        <w:t>«За внедрение новых технологий и разработку новых видов продукции» (за кету филе кусочками, нерку филе кусочками с пряностями).</w:t>
      </w:r>
    </w:p>
    <w:p w:rsidR="007E27CB" w:rsidRDefault="008F141F">
      <w:pPr>
        <w:pStyle w:val="af"/>
        <w:ind w:firstLine="567"/>
        <w:jc w:val="both"/>
      </w:pPr>
      <w:r>
        <w:t>В 2019 году в выставке-ярмарке приняли участие 8 томских производителей – рыбодобытчиков и переработчиков (в 2018 г. – 4), которые реализовали около 3 тонн рыбной продукции.</w:t>
      </w:r>
    </w:p>
    <w:p w:rsidR="007E27CB" w:rsidRDefault="008F141F">
      <w:pPr>
        <w:pStyle w:val="af"/>
        <w:ind w:firstLine="567"/>
        <w:jc w:val="both"/>
      </w:pPr>
      <w:r>
        <w:t xml:space="preserve">В ходе рыбоохранных мероприятий из водоемов Томской области (р. Обь, р. Томь) было изъято 457 брошенных орудий лова, выпущены в живом виде в естественную среду обитания 4 170 экземпляров рыб, общий размер предотвращенного ущерба составил 2 млн. рублей. </w:t>
      </w:r>
    </w:p>
    <w:p w:rsidR="007E27CB" w:rsidRDefault="008F141F">
      <w:pPr>
        <w:pStyle w:val="af"/>
        <w:ind w:firstLine="567"/>
        <w:jc w:val="both"/>
      </w:pPr>
      <w:r>
        <w:t xml:space="preserve">Летом 2019 года выполнены компенсационные мероприятия по выпуску подрощенной молоди ценных видов рыб: пелядь – 4 000 тыс. штук, муксун – 108 тыс. штук, нельма – 300 тыс. штук, осетр сибирский – 68 тыс. штук (это первый массовый выпуск осетра  в Томской области). </w:t>
      </w:r>
    </w:p>
    <w:p w:rsidR="007E27CB" w:rsidRDefault="007E27CB">
      <w:pPr>
        <w:pStyle w:val="af"/>
        <w:jc w:val="both"/>
        <w:rPr>
          <w:b/>
        </w:rPr>
      </w:pPr>
    </w:p>
    <w:p w:rsidR="007E27CB" w:rsidRDefault="008F141F">
      <w:pPr>
        <w:shd w:val="clear" w:color="auto" w:fill="F2F2F2" w:themeFill="background1" w:themeFillShade="F2"/>
        <w:tabs>
          <w:tab w:val="left" w:pos="4962"/>
        </w:tabs>
        <w:spacing w:after="0" w:line="240" w:lineRule="auto"/>
        <w:jc w:val="both"/>
        <w:rPr>
          <w:b/>
          <w:sz w:val="24"/>
          <w:szCs w:val="24"/>
        </w:rPr>
      </w:pPr>
      <w:r>
        <w:rPr>
          <w:b/>
          <w:sz w:val="24"/>
          <w:szCs w:val="24"/>
        </w:rPr>
        <w:t xml:space="preserve">Перспективные задачи </w:t>
      </w:r>
    </w:p>
    <w:p w:rsidR="007E27CB" w:rsidRDefault="007E27CB">
      <w:pPr>
        <w:pStyle w:val="af"/>
        <w:jc w:val="both"/>
      </w:pPr>
    </w:p>
    <w:p w:rsidR="007E27CB" w:rsidRDefault="008F141F">
      <w:pPr>
        <w:pStyle w:val="af"/>
        <w:jc w:val="both"/>
      </w:pPr>
      <w:r>
        <w:t>1. Выход новых построенных рыбоперерабатывающих заводов в с. Александровское и      п. Предтеченск на проектную мощность.</w:t>
      </w:r>
    </w:p>
    <w:p w:rsidR="007E27CB" w:rsidRDefault="008F141F">
      <w:pPr>
        <w:pStyle w:val="af"/>
        <w:jc w:val="both"/>
      </w:pPr>
      <w:r>
        <w:t>2. Реконструкция и модернизация действующих перерабатывающих производств:</w:t>
      </w:r>
    </w:p>
    <w:p w:rsidR="007E27CB" w:rsidRDefault="008F141F">
      <w:pPr>
        <w:pStyle w:val="af"/>
        <w:numPr>
          <w:ilvl w:val="0"/>
          <w:numId w:val="36"/>
        </w:numPr>
        <w:tabs>
          <w:tab w:val="left" w:pos="284"/>
        </w:tabs>
        <w:ind w:left="0" w:firstLine="0"/>
        <w:jc w:val="both"/>
      </w:pPr>
      <w:r>
        <w:t xml:space="preserve"> 2-й этап реконструкции/модернизации ООО «Колпашевский рыбозавод» (создание новых вялочных цехов, открытие рыбозаготовительных пунктов в п. Каргасок и                п. Парабель, приобретение новых автомобилей-рефрижераторов);</w:t>
      </w:r>
    </w:p>
    <w:p w:rsidR="007E27CB" w:rsidRDefault="008F141F">
      <w:pPr>
        <w:pStyle w:val="af"/>
        <w:numPr>
          <w:ilvl w:val="0"/>
          <w:numId w:val="36"/>
        </w:numPr>
        <w:tabs>
          <w:tab w:val="left" w:pos="284"/>
        </w:tabs>
        <w:ind w:left="0" w:firstLine="0"/>
        <w:jc w:val="both"/>
      </w:pPr>
      <w:r>
        <w:t xml:space="preserve"> реконструкция/модернизация рыбоперерабатывающего завода ООО «Авангард» (создание новых коптильных цехов, организация производства снековой продукции).</w:t>
      </w:r>
    </w:p>
    <w:p w:rsidR="007E27CB" w:rsidRDefault="008F141F">
      <w:pPr>
        <w:pStyle w:val="af"/>
        <w:jc w:val="both"/>
      </w:pPr>
      <w:r>
        <w:t xml:space="preserve">3. Стимулирование инвестиционной активности в рыбной отрасли путем оказания государственной поддержки. </w:t>
      </w:r>
    </w:p>
    <w:p w:rsidR="007E27CB" w:rsidRDefault="008F141F">
      <w:pPr>
        <w:pStyle w:val="af"/>
        <w:jc w:val="both"/>
      </w:pPr>
      <w:r>
        <w:t>4. Проведение работ по очистке водных объектов Томской области от брошенных орудий лова и выполнение компенсационных мероприятий.</w:t>
      </w:r>
    </w:p>
    <w:p w:rsidR="007E27CB" w:rsidRDefault="008F141F">
      <w:pPr>
        <w:pStyle w:val="af"/>
        <w:jc w:val="both"/>
      </w:pPr>
      <w:r>
        <w:t xml:space="preserve">5. Проведение традиционных мероприятий «Народная рыбалка», Детский фестиваль по ловле рыбы на поплавочную удочку ко Дню защиты детей. </w:t>
      </w:r>
    </w:p>
    <w:p w:rsidR="007E27CB" w:rsidRDefault="008F141F">
      <w:pPr>
        <w:pStyle w:val="af"/>
        <w:jc w:val="both"/>
      </w:pPr>
      <w:r>
        <w:lastRenderedPageBreak/>
        <w:t>6. Проведение научно-исследовательской работы по выявлению действующих нерестилищ и зимовальных ям осетровых видов рыб.</w:t>
      </w:r>
    </w:p>
    <w:p w:rsidR="007E27CB" w:rsidRDefault="007E27CB">
      <w:pPr>
        <w:pStyle w:val="af"/>
        <w:ind w:firstLine="567"/>
        <w:jc w:val="both"/>
        <w:rPr>
          <w:b/>
        </w:rPr>
      </w:pPr>
    </w:p>
    <w:p w:rsidR="007E27CB" w:rsidRDefault="008F141F">
      <w:pPr>
        <w:pStyle w:val="af"/>
        <w:ind w:firstLine="567"/>
        <w:jc w:val="both"/>
        <w:rPr>
          <w:b/>
        </w:rPr>
      </w:pPr>
      <w:r>
        <w:rPr>
          <w:b/>
        </w:rPr>
        <w:t>ОХОТНИЧЬИ РЕСУРСЫ</w:t>
      </w:r>
    </w:p>
    <w:p w:rsidR="007E27CB" w:rsidRDefault="007E27CB">
      <w:pPr>
        <w:pStyle w:val="af"/>
        <w:ind w:firstLine="567"/>
        <w:jc w:val="both"/>
      </w:pPr>
    </w:p>
    <w:p w:rsidR="007E27CB" w:rsidRDefault="008F141F">
      <w:pPr>
        <w:pStyle w:val="af"/>
        <w:ind w:firstLine="567"/>
        <w:jc w:val="both"/>
      </w:pPr>
      <w:r>
        <w:t>Деятельность в сфере охотничьих ресурсов в 2019 году была направлена в первую очередь на усиление охраны охотничьих ресурсов и среды их обитания. В 2019 году проведено 2</w:t>
      </w:r>
      <w:r>
        <w:rPr>
          <w:rFonts w:eastAsia="Calibri"/>
        </w:rPr>
        <w:t> </w:t>
      </w:r>
      <w:r>
        <w:t>151 оперативно-рейдовое мероприятие, в ходе которых проверено физических лиц – 8</w:t>
      </w:r>
      <w:r>
        <w:rPr>
          <w:rFonts w:eastAsia="Calibri"/>
        </w:rPr>
        <w:t> </w:t>
      </w:r>
      <w:r>
        <w:t>991 человек, автомототранспортных средств – 5</w:t>
      </w:r>
      <w:r>
        <w:rPr>
          <w:rFonts w:eastAsia="Calibri"/>
        </w:rPr>
        <w:t> </w:t>
      </w:r>
      <w:r>
        <w:t>091 единица, охотизбушек – 2 188 единиц.</w:t>
      </w:r>
    </w:p>
    <w:p w:rsidR="007E27CB" w:rsidRDefault="008F141F">
      <w:pPr>
        <w:pStyle w:val="af"/>
        <w:ind w:firstLine="567"/>
        <w:jc w:val="both"/>
      </w:pPr>
      <w:r>
        <w:t xml:space="preserve">В ходе проведения контрольно-надзорных мероприятий выявлено 271 нарушение. По ним возбуждено 247 административных дел в сфере правил охоты и 24 дела в сфере охраны природы за нарушение режима охраны зоологических заказников. Передано в следственные органы 11 материалов на возбуждение уголовных дел. На нарушителей Правил охоты наложено штрафов в размере 120 тыс. рублей. На нарушителей режима охраны зоологических заказников наложено штрафов на сумму 74 тыс. рублей. Всего взыскано штрафов – 157,5 тыс. рублей. Выявлен ущерб за уничтожение диких животных на сумму 3 824,6 тыс. рублей, взыскано 336,6 тыс. рублей. Изъято: оружия – 52 единицы, орудий охоты (петли, капканы, самоловы) </w:t>
      </w:r>
      <w:r>
        <w:sym w:font="Symbol" w:char="F02D"/>
      </w:r>
      <w:r>
        <w:t xml:space="preserve"> 48 единиц. Выявлена незаконная добыча продукции охоты: пернатой дичи – 7 особей, пушных зверей </w:t>
      </w:r>
      <w:r>
        <w:sym w:font="Symbol" w:char="F02D"/>
      </w:r>
      <w:r>
        <w:t xml:space="preserve"> 2 особи, копытных животных </w:t>
      </w:r>
      <w:r>
        <w:sym w:font="Symbol" w:char="F02D"/>
      </w:r>
      <w:r>
        <w:t xml:space="preserve"> 15 особей. </w:t>
      </w:r>
    </w:p>
    <w:p w:rsidR="007E27CB" w:rsidRDefault="008F141F">
      <w:pPr>
        <w:pStyle w:val="af"/>
        <w:ind w:firstLine="567"/>
        <w:jc w:val="both"/>
      </w:pPr>
      <w:r>
        <w:t xml:space="preserve">На протяжении последних лет высоким спросом пользуются охота на лимитируемые виды охотничьих ресурсов, на нелимитируемые виды пушных животных, а также на пернатую дичь. В период сезонов охоты 2019 года выдано 40 236 разрешений на добычу охотничьих ресурсов (в 2018 году </w:t>
      </w:r>
      <w:r>
        <w:sym w:font="Symbol" w:char="F02D"/>
      </w:r>
      <w:r>
        <w:t xml:space="preserve"> 39 272 разрешений, или 102,5%), в том числе на территорию общедоступных охотничьих угодий </w:t>
      </w:r>
      <w:r>
        <w:sym w:font="Symbol" w:char="F02D"/>
      </w:r>
      <w:r>
        <w:t xml:space="preserve"> 8 908, на территорию закрепленных охотничьих угодий </w:t>
      </w:r>
      <w:r>
        <w:sym w:font="Symbol" w:char="F02D"/>
      </w:r>
      <w:r>
        <w:t xml:space="preserve"> 31 328.</w:t>
      </w:r>
    </w:p>
    <w:p w:rsidR="007E27CB" w:rsidRDefault="008F141F">
      <w:pPr>
        <w:pStyle w:val="af"/>
        <w:ind w:firstLine="567"/>
        <w:jc w:val="both"/>
      </w:pPr>
      <w:r>
        <w:t>В установленном законодательством порядке принято 42 решения о регулировании численности медведей, добыто 11 особей медведя. Принято 380 решений по бобру,            7 решений по волку. Принято 10 решений по лисице, добыто 7 лисиц. Основные причины необходимости регулирования численности медведя – нападение на домашних животных в загонах, появление в населенных пунктах.</w:t>
      </w:r>
    </w:p>
    <w:p w:rsidR="007E27CB" w:rsidRDefault="008F141F">
      <w:pPr>
        <w:pStyle w:val="af"/>
        <w:ind w:firstLine="567"/>
        <w:jc w:val="both"/>
      </w:pPr>
      <w:r>
        <w:t>Выдано 2 разрешения на содержание и разведение охотничьих ресурсов в полувольных условиях и искусственно созданной среде обитания.</w:t>
      </w:r>
    </w:p>
    <w:p w:rsidR="007E27CB" w:rsidRDefault="008F141F">
      <w:pPr>
        <w:pStyle w:val="af"/>
        <w:ind w:firstLine="567"/>
        <w:jc w:val="both"/>
      </w:pPr>
      <w:r>
        <w:t>В 2019 году проведены учетные работы по определению численности охотничьих ресурсов и других млекопитающих (мелкие мышевидные грызуны), а также птиц (воробьиные), пресмыкающихся и земноводных.</w:t>
      </w:r>
    </w:p>
    <w:p w:rsidR="007E27CB" w:rsidRDefault="008F141F">
      <w:pPr>
        <w:pStyle w:val="af"/>
        <w:ind w:firstLine="567"/>
        <w:jc w:val="both"/>
      </w:pPr>
      <w:r>
        <w:t>В 2019 году сумма поступлений в федеральный бюджет от государственной пошлины за предоставление разрешений на добычу охотничьих ресурсов составила 5 804 тыс. рублей, от заключения охотхозяйственных соглашений – 28 206 тыс. рублей.</w:t>
      </w:r>
    </w:p>
    <w:p w:rsidR="007E27CB" w:rsidRDefault="007E27CB">
      <w:pPr>
        <w:pStyle w:val="af"/>
        <w:ind w:firstLine="567"/>
        <w:jc w:val="both"/>
        <w:rPr>
          <w:b/>
          <w:bCs/>
        </w:rPr>
      </w:pPr>
    </w:p>
    <w:p w:rsidR="007E27CB" w:rsidRDefault="008F141F">
      <w:pPr>
        <w:shd w:val="clear" w:color="auto" w:fill="F2F2F2" w:themeFill="background1" w:themeFillShade="F2"/>
        <w:tabs>
          <w:tab w:val="left" w:pos="4962"/>
        </w:tabs>
        <w:spacing w:after="0" w:line="240" w:lineRule="auto"/>
        <w:jc w:val="both"/>
        <w:rPr>
          <w:b/>
          <w:sz w:val="24"/>
          <w:szCs w:val="24"/>
        </w:rPr>
      </w:pPr>
      <w:r>
        <w:rPr>
          <w:b/>
          <w:sz w:val="24"/>
          <w:szCs w:val="24"/>
        </w:rPr>
        <w:t>Перспективные задачи</w:t>
      </w:r>
    </w:p>
    <w:p w:rsidR="007E27CB" w:rsidRDefault="007E27CB">
      <w:pPr>
        <w:pStyle w:val="af"/>
        <w:jc w:val="both"/>
        <w:rPr>
          <w:b/>
          <w:bCs/>
        </w:rPr>
      </w:pPr>
    </w:p>
    <w:p w:rsidR="007E27CB" w:rsidRDefault="008F141F">
      <w:pPr>
        <w:pStyle w:val="af"/>
        <w:jc w:val="both"/>
      </w:pPr>
      <w:r>
        <w:t>1. Качественное проведение зимнего маршрутного учета численности охотничьих ресурсов.</w:t>
      </w:r>
    </w:p>
    <w:p w:rsidR="007E27CB" w:rsidRDefault="008F141F">
      <w:pPr>
        <w:pStyle w:val="af"/>
        <w:jc w:val="both"/>
      </w:pPr>
      <w:r>
        <w:t xml:space="preserve">2. Усиление службы Федерального государственного охотничьего надзора, в том числе </w:t>
      </w:r>
      <w:r>
        <w:rPr>
          <w:color w:val="000000" w:themeColor="text1"/>
        </w:rPr>
        <w:t>укрепление материально-технической базы.</w:t>
      </w:r>
    </w:p>
    <w:p w:rsidR="007E27CB" w:rsidRDefault="008F141F">
      <w:pPr>
        <w:pStyle w:val="af"/>
        <w:jc w:val="both"/>
      </w:pPr>
      <w:r>
        <w:t>3. Достижение установленных целевых показателей по освоению установленного лимита добычи лося – 74,2%, дикого северного оленя – 37,7%, соболя – 60,7%.</w:t>
      </w:r>
    </w:p>
    <w:p w:rsidR="007E27CB" w:rsidRDefault="008F141F">
      <w:pPr>
        <w:pStyle w:val="af"/>
        <w:jc w:val="both"/>
      </w:pPr>
      <w:r>
        <w:t>4. Поддержание достигнутого значения целевого показателя выхода продукции охотничьего промысла с 1 га – 6 рублей.</w:t>
      </w:r>
    </w:p>
    <w:p w:rsidR="007E27CB" w:rsidRDefault="008F141F">
      <w:pPr>
        <w:pStyle w:val="af"/>
        <w:jc w:val="both"/>
      </w:pPr>
      <w:r>
        <w:lastRenderedPageBreak/>
        <w:t>5. Достижение доли привлеченных к ответственности лиц за нарушения законодательства в области охоты и сохранения охотничьих ресурсов к общему количеству возбужденных дел об административных правонарушениях в области охоты и сохранения охотничьих ресурсов – 80%.</w:t>
      </w:r>
    </w:p>
    <w:p w:rsidR="007E27CB" w:rsidRDefault="008F141F">
      <w:pPr>
        <w:pStyle w:val="af"/>
        <w:jc w:val="both"/>
      </w:pPr>
      <w:r>
        <w:t>6. Своевременное и качественное проведение плановых проверок хозяйствующих субъектов.</w:t>
      </w:r>
    </w:p>
    <w:p w:rsidR="007E27CB" w:rsidRDefault="008F141F">
      <w:pPr>
        <w:pStyle w:val="af"/>
        <w:jc w:val="both"/>
      </w:pPr>
      <w:r>
        <w:t>7. Межведомственное взаимодействие при проведении оперативно-рейдовых мероприятий.</w:t>
      </w:r>
    </w:p>
    <w:p w:rsidR="007E27CB" w:rsidRDefault="007E27CB">
      <w:pPr>
        <w:pStyle w:val="af"/>
        <w:jc w:val="both"/>
      </w:pPr>
    </w:p>
    <w:p w:rsidR="007E27CB" w:rsidRDefault="008F141F">
      <w:pPr>
        <w:pStyle w:val="af"/>
        <w:ind w:firstLine="567"/>
        <w:jc w:val="both"/>
        <w:rPr>
          <w:b/>
        </w:rPr>
      </w:pPr>
      <w:r>
        <w:rPr>
          <w:b/>
        </w:rPr>
        <w:t>ЭКОЛОГИЯ</w:t>
      </w:r>
      <w:r>
        <w:rPr>
          <w:rStyle w:val="af3"/>
          <w:b/>
        </w:rPr>
        <w:footnoteReference w:id="10"/>
      </w:r>
    </w:p>
    <w:p w:rsidR="007E27CB" w:rsidRDefault="007E27CB">
      <w:pPr>
        <w:pStyle w:val="af"/>
        <w:ind w:firstLine="567"/>
        <w:jc w:val="both"/>
      </w:pPr>
    </w:p>
    <w:p w:rsidR="007E27CB" w:rsidRDefault="008F141F">
      <w:pPr>
        <w:pStyle w:val="af"/>
        <w:ind w:firstLine="567"/>
        <w:jc w:val="both"/>
      </w:pPr>
      <w:r>
        <w:t xml:space="preserve">В СФО Томская область выгодно отличается от других субъектов Российской Федерации системным подходом к организации непрерывного экологического образования и просвещения населения. </w:t>
      </w:r>
    </w:p>
    <w:p w:rsidR="007E27CB" w:rsidRDefault="008F141F">
      <w:pPr>
        <w:pStyle w:val="af"/>
        <w:ind w:firstLine="567"/>
        <w:jc w:val="both"/>
      </w:pPr>
      <w:r>
        <w:t>Этому способствует реализация с 2011 года Стратегии непрерывного экологического образования, создание и эффективная работа Координационного совета по вопросам непрерывного экологического образования и просвещения.</w:t>
      </w:r>
    </w:p>
    <w:p w:rsidR="007E27CB" w:rsidRDefault="008F141F">
      <w:pPr>
        <w:pStyle w:val="af"/>
        <w:ind w:firstLine="567"/>
        <w:jc w:val="both"/>
      </w:pPr>
      <w:r>
        <w:t>Создана и ежегодно расширяется сеть Центров экологического образования, в состав которой на сегодняшний день входит 116 учреждений образования и просвещения, сформированных на базе детских садов, школ, учреждений высшего и среднего профессионального образования, а также на базе библиотек, организаций дополнительного образования и общественных организаций. Из года в год увеличивается охват населения и вовлечение его в природоохранную, проектно-исследовательскую деятельность.</w:t>
      </w:r>
    </w:p>
    <w:p w:rsidR="007E27CB" w:rsidRDefault="008F141F">
      <w:pPr>
        <w:pStyle w:val="af"/>
        <w:ind w:firstLine="567"/>
        <w:jc w:val="both"/>
      </w:pPr>
      <w:r>
        <w:t>В 2019 году прошло более 2 200 экологических мероприятий и событий, в которых приняли участие около 350 000 человек (основную часть составили воспитанники, обучающиеся и студенты). На территории Томской области разработаны и успешно реализуются более 257 образовательных программ эколого-биологической, эколого-краеведческой, эколого-туристской и естественно-научной направленностей, в рамках реализации которых формируются проектно-исследовательские, природоохранные компетенции.</w:t>
      </w:r>
    </w:p>
    <w:p w:rsidR="007E27CB" w:rsidRDefault="008F141F">
      <w:pPr>
        <w:pStyle w:val="af"/>
        <w:ind w:firstLine="567"/>
        <w:jc w:val="both"/>
      </w:pPr>
      <w:r>
        <w:t>Принято участие более чем в 350 мероприятиях международного и всероссийского уровней, 430  – межрегионального и областного уровней, 1 430 мероприятий муниципального уровня.</w:t>
      </w:r>
    </w:p>
    <w:p w:rsidR="007E27CB" w:rsidRDefault="008F141F">
      <w:pPr>
        <w:pStyle w:val="af"/>
        <w:ind w:firstLine="567"/>
        <w:jc w:val="both"/>
      </w:pPr>
      <w:r>
        <w:t>В 2019 году деятельность в сфере охраны окружающей среды осуществлялась в рамках государственной программы «Воспроизводство и использование природных ресурсов Томской области», и была ориентирована на снижение негативного воздействия на окружающую среду и обеспечение благоприятных условий для жизни и здоровья населения области.</w:t>
      </w:r>
    </w:p>
    <w:p w:rsidR="007E27CB" w:rsidRDefault="008F141F">
      <w:pPr>
        <w:pStyle w:val="af"/>
        <w:ind w:firstLine="567"/>
        <w:jc w:val="both"/>
      </w:pPr>
      <w:r>
        <w:t>Проведена корректировка территориальной схемы обращения с отходами, в том числе с твердыми коммунальными отходами (далее по разделу - ТКО). С целью снижения единого тарифа регионального оператора объединены третья и четвертая зоны деятельности региональных операторов. Проведен конкурсный отбор регионального оператора в объединенной зоне, с которым заключено соглашение о реализации деятельности по обращению с ТКО.</w:t>
      </w:r>
    </w:p>
    <w:p w:rsidR="007E27CB" w:rsidRDefault="008F141F">
      <w:pPr>
        <w:pStyle w:val="af"/>
        <w:ind w:firstLine="567"/>
        <w:jc w:val="both"/>
      </w:pPr>
      <w:r>
        <w:t>Для решения целей и задач, поставленных национальным проектом «Экология» и проводимой реформой системы обращения с ТКО, в рамках государственной программы «Воспроизводство и использование природных ресурсов Томской области» выполнены следующие мероприятия:</w:t>
      </w:r>
    </w:p>
    <w:p w:rsidR="007E27CB" w:rsidRDefault="008F141F">
      <w:pPr>
        <w:pStyle w:val="af"/>
        <w:numPr>
          <w:ilvl w:val="0"/>
          <w:numId w:val="103"/>
        </w:numPr>
        <w:tabs>
          <w:tab w:val="left" w:pos="851"/>
        </w:tabs>
        <w:ind w:left="-142" w:firstLine="567"/>
        <w:jc w:val="both"/>
      </w:pPr>
      <w:r>
        <w:lastRenderedPageBreak/>
        <w:t>разработана проектно-сметная документация на строительство мусоросортировочных комплексов в с. Бакчар и с. Мельниково;</w:t>
      </w:r>
    </w:p>
    <w:p w:rsidR="007E27CB" w:rsidRDefault="008F141F">
      <w:pPr>
        <w:pStyle w:val="af"/>
        <w:numPr>
          <w:ilvl w:val="0"/>
          <w:numId w:val="103"/>
        </w:numPr>
        <w:tabs>
          <w:tab w:val="left" w:pos="851"/>
        </w:tabs>
        <w:ind w:left="-142" w:firstLine="567"/>
        <w:jc w:val="both"/>
      </w:pPr>
      <w:r>
        <w:t xml:space="preserve">приобретены контейнеры для накопления ТКО в количестве 7 787 ед.; </w:t>
      </w:r>
    </w:p>
    <w:p w:rsidR="007E27CB" w:rsidRDefault="008F141F">
      <w:pPr>
        <w:pStyle w:val="af"/>
        <w:numPr>
          <w:ilvl w:val="0"/>
          <w:numId w:val="103"/>
        </w:numPr>
        <w:tabs>
          <w:tab w:val="left" w:pos="851"/>
        </w:tabs>
        <w:ind w:left="-142" w:firstLine="567"/>
        <w:jc w:val="both"/>
      </w:pPr>
      <w:r>
        <w:t xml:space="preserve">приобретено весовое оборудование на полигоны ТКО в количестве 13 ед.; </w:t>
      </w:r>
    </w:p>
    <w:p w:rsidR="007E27CB" w:rsidRDefault="008F141F">
      <w:pPr>
        <w:pStyle w:val="af"/>
        <w:numPr>
          <w:ilvl w:val="0"/>
          <w:numId w:val="103"/>
        </w:numPr>
        <w:tabs>
          <w:tab w:val="left" w:pos="851"/>
        </w:tabs>
        <w:ind w:left="-142" w:firstLine="567"/>
        <w:jc w:val="both"/>
      </w:pPr>
      <w:r>
        <w:t>завершено строительство полигона ТКО в п. Самусь, начались работы по проектированию полигонов ТКО в с. Чажемто и с. Александровское.</w:t>
      </w:r>
    </w:p>
    <w:p w:rsidR="007E27CB" w:rsidRDefault="008F141F">
      <w:pPr>
        <w:pStyle w:val="af"/>
        <w:ind w:firstLine="567"/>
        <w:jc w:val="both"/>
      </w:pPr>
      <w:r>
        <w:t xml:space="preserve">С целью формирования позитивного отношения населения к изменениям в отрасли обращения с ТКО в Томской области в 2019 году организована информационная компания по освещению хода реформы комплексной системы по обращению с ТКО – региональный проект «Томская область – мой чистый дом». </w:t>
      </w:r>
    </w:p>
    <w:p w:rsidR="007E27CB" w:rsidRDefault="008F141F">
      <w:pPr>
        <w:pStyle w:val="af"/>
        <w:ind w:firstLine="567"/>
        <w:jc w:val="both"/>
      </w:pPr>
      <w:r>
        <w:t>В рамках проекта проведена работа с населением, учащимися образовательных учреждений, студентами, организованы молодежные экологические конкурсы, масштабная информационная кампания в социальных сетях и специальном разделе на интернет-портале «Томск.ру», а также дополнительная разъяснительная работа в интернет-пространстве, изготовлены и сданы в прокат в крупных общественных пространствах тематические аудио- и видеоролики. Для природопользователей и жителей муниципальных образований Томской области в 2019 году издано и распространено более 100 тысяч буклетов. В 2019 году в Департаменте природных ресурсов и охраны окружающей среды Томской области была организована «горячая линия» по вопросам проведения реформы ТКО, которая функционирует в ежедневном режиме. С начала 2019 года от населения региона принято более 1 500 звонков, предоставлены оперативные ответы на каждое обращение граждан.</w:t>
      </w:r>
    </w:p>
    <w:p w:rsidR="007E27CB" w:rsidRDefault="008F141F">
      <w:pPr>
        <w:pStyle w:val="af"/>
        <w:ind w:firstLine="567"/>
        <w:jc w:val="both"/>
      </w:pPr>
      <w:r>
        <w:t>В рамках исполнения распоряжения Губернатора Томской области от 25.10.2018 № 285-р «О создании рабочей группы по контролю за выбросами вредных (загрязняющих) веществ в атмосферный воздух в г. Томске и Томском районе» за 2019 год проведено 4 рабочих совещания с членами рабочей группы, 2 из которых – выездные.</w:t>
      </w:r>
    </w:p>
    <w:p w:rsidR="007E27CB" w:rsidRDefault="008F141F">
      <w:pPr>
        <w:pStyle w:val="af"/>
        <w:ind w:firstLine="567"/>
        <w:jc w:val="both"/>
      </w:pPr>
      <w:r>
        <w:t>В ходе заседаний предприятиями – эмитентами запаха согласованы и утверждены планы мероприятий, включающие экологический контроль, а также показатели снижения концентрации вредных (загрязняющих) веществ в атмосферном воздухе в результате проводимых работ. Пересмотрены графики вывоза отходов с соответствующим уменьшением их количества на площадке накопления предприятия, проведены работы по внедрению и применению биопрепаратов для поглощения запаха.</w:t>
      </w:r>
    </w:p>
    <w:p w:rsidR="007E27CB" w:rsidRDefault="008F141F">
      <w:pPr>
        <w:pStyle w:val="af"/>
        <w:ind w:firstLine="567"/>
        <w:jc w:val="both"/>
      </w:pPr>
      <w:r>
        <w:t>В рамках реализации регионального проекта «Сохранение уникальных водных объектов» национального проекта «Экология» в 2019 году за счет средств областного бюджета разработаны ПСД по 5 водным объектам. Реализация данных мероприятий будет осуществляться в 2021 – 2023 годах, в том числе за счет средств федерального бюджета.</w:t>
      </w:r>
    </w:p>
    <w:p w:rsidR="007E27CB" w:rsidRDefault="008F141F">
      <w:pPr>
        <w:pStyle w:val="af"/>
        <w:ind w:firstLine="567"/>
        <w:jc w:val="both"/>
      </w:pPr>
      <w:r>
        <w:t>В 2019 году завершена разработка проектно-сметной документации по объекту: «Капитальный ремонт гидротехнического сооружения «Линейное сооружение – дамба (плотина) на р. Ум», Томская область» (общий период разработки: 2017-2019 годы). Проектно-сметная документация прошла процедуру государственной экспертизы и проверку достоверности определения сметной стоимости. Реализация мероприятия направлена на обеспечение защиты населения Томского района от негативного воздействия вод р. Ум. Проведение работ по капитальному ремонту запланировано на 2020-2021 годы.</w:t>
      </w:r>
    </w:p>
    <w:p w:rsidR="007E27CB" w:rsidRDefault="008F141F">
      <w:pPr>
        <w:pStyle w:val="af"/>
        <w:ind w:firstLine="567"/>
        <w:jc w:val="both"/>
      </w:pPr>
      <w:r>
        <w:t>Начата разработка декларации безопасности гидротехнических сооружений, общий период разработки: 2019 – 2020 годы.</w:t>
      </w:r>
    </w:p>
    <w:p w:rsidR="007E27CB" w:rsidRDefault="008F141F">
      <w:pPr>
        <w:pStyle w:val="af"/>
        <w:ind w:firstLine="567"/>
        <w:jc w:val="both"/>
      </w:pPr>
      <w:r>
        <w:t>В ноябре 2019 года Главным управлением МЧС России по Томской области проведена оценка готовности ОГБУ «Облкомприрода» к локализации и ликвидации чрезвычайных ситуаций и достаточности мер по защите населения и территорий в случае аварии на указанном гидротехническом сооружении. По результатам оценки сделан вывод о готовности учреждения в указанной сфере.</w:t>
      </w:r>
    </w:p>
    <w:p w:rsidR="007E27CB" w:rsidRDefault="008F141F">
      <w:pPr>
        <w:pStyle w:val="af"/>
        <w:ind w:firstLine="567"/>
        <w:jc w:val="both"/>
      </w:pPr>
      <w:r>
        <w:lastRenderedPageBreak/>
        <w:t>В целях сохранения лесных насаждений и обеспечения устойчивости биологического и ландшафтного разнообразия, а также сохранения рекреационных ресурсов и мест обитания редких и исчезающих видов животных и растений в 2019 году создана особо охраняемая природная территория (далее по разделу - ООПТ) областного значения ландшафтный парк «Сосновые боры Причетья» в Тегульдетском районе Томской области. Установлены границы и режим охраны для 9 ООПТ. Площадь ООПТ увеличилась на 24 506 га и составила 4,1% от площади Томской области.</w:t>
      </w:r>
    </w:p>
    <w:p w:rsidR="007E27CB" w:rsidRDefault="007E27CB">
      <w:pPr>
        <w:pStyle w:val="af"/>
        <w:ind w:firstLine="567"/>
        <w:jc w:val="both"/>
        <w:rPr>
          <w:b/>
          <w:bCs/>
        </w:rPr>
      </w:pPr>
    </w:p>
    <w:p w:rsidR="007E27CB" w:rsidRDefault="008F141F">
      <w:pPr>
        <w:shd w:val="clear" w:color="auto" w:fill="F2F2F2" w:themeFill="background1" w:themeFillShade="F2"/>
        <w:tabs>
          <w:tab w:val="left" w:pos="4962"/>
        </w:tabs>
        <w:spacing w:after="0" w:line="240" w:lineRule="auto"/>
        <w:jc w:val="both"/>
        <w:rPr>
          <w:b/>
          <w:bCs/>
          <w:sz w:val="24"/>
          <w:szCs w:val="24"/>
        </w:rPr>
      </w:pPr>
      <w:r>
        <w:rPr>
          <w:b/>
          <w:bCs/>
          <w:sz w:val="24"/>
          <w:szCs w:val="24"/>
        </w:rPr>
        <w:t xml:space="preserve">Перспективные задачи </w:t>
      </w:r>
    </w:p>
    <w:p w:rsidR="007E27CB" w:rsidRDefault="007E27CB">
      <w:pPr>
        <w:pStyle w:val="af"/>
        <w:jc w:val="both"/>
        <w:rPr>
          <w:b/>
          <w:bCs/>
          <w:color w:val="FF0000"/>
        </w:rPr>
      </w:pPr>
    </w:p>
    <w:p w:rsidR="007E27CB" w:rsidRDefault="008F141F">
      <w:pPr>
        <w:pStyle w:val="af"/>
        <w:jc w:val="both"/>
      </w:pPr>
      <w:r>
        <w:t>1. Реализация проекта по реконструкции (расширению) объекта «Полигон для захоронения твердых бытовых отходов в г. Асино Томской области».</w:t>
      </w:r>
    </w:p>
    <w:p w:rsidR="007E27CB" w:rsidRDefault="008F141F">
      <w:pPr>
        <w:pStyle w:val="af"/>
        <w:jc w:val="both"/>
      </w:pPr>
      <w:r>
        <w:t>2. Строительство полигонов твердых коммунальных отходов в Каргасокском, Парабельском, Тегульдетском, Кривошеинском районах и в г. Кедровый.</w:t>
      </w:r>
    </w:p>
    <w:p w:rsidR="007E27CB" w:rsidRDefault="007E27CB">
      <w:pPr>
        <w:pStyle w:val="af"/>
        <w:jc w:val="both"/>
        <w:rPr>
          <w:b/>
        </w:rPr>
      </w:pPr>
    </w:p>
    <w:p w:rsidR="007E27CB" w:rsidRDefault="008F141F">
      <w:pPr>
        <w:pStyle w:val="af"/>
        <w:jc w:val="both"/>
        <w:rPr>
          <w:b/>
        </w:rPr>
      </w:pPr>
      <w:r>
        <w:rPr>
          <w:b/>
        </w:rPr>
        <w:t>2.2. Повышение конкурентоспособности агропромышленного сектора и обеспечение устойчивого развития сельских территорий Томской области</w:t>
      </w:r>
      <w:r>
        <w:rPr>
          <w:rStyle w:val="af3"/>
          <w:b/>
        </w:rPr>
        <w:footnoteReference w:id="11"/>
      </w:r>
    </w:p>
    <w:p w:rsidR="007E27CB" w:rsidRDefault="007E27CB">
      <w:pPr>
        <w:pStyle w:val="af"/>
        <w:ind w:firstLine="567"/>
        <w:jc w:val="both"/>
        <w:rPr>
          <w:b/>
          <w:i/>
        </w:rPr>
      </w:pPr>
    </w:p>
    <w:p w:rsidR="007E27CB" w:rsidRDefault="008F141F">
      <w:pPr>
        <w:pStyle w:val="af"/>
        <w:ind w:firstLine="709"/>
        <w:jc w:val="both"/>
      </w:pPr>
      <w:r>
        <w:t>В рамках государственной программы «Развитие сельского хозяйства и регулируемых рынков в Томской области» (далее по разделу – государств) в 2019 году оказана государственная поддержка сельскохозяйственным товаропроизводителям Томской области в размере 1 851,9 млн. рублей, в том числе за счет средств областного бюджета – 1 230,2 млн. рублей, за счет средств федерального бюджета – 621,8 млн. рублей.</w:t>
      </w:r>
    </w:p>
    <w:p w:rsidR="007E27CB" w:rsidRDefault="008F141F">
      <w:pPr>
        <w:pStyle w:val="af"/>
        <w:ind w:firstLine="709"/>
        <w:jc w:val="both"/>
        <w:rPr>
          <w:rFonts w:eastAsia="Calibri"/>
          <w:color w:val="000000"/>
        </w:rPr>
      </w:pPr>
      <w:r>
        <w:t xml:space="preserve">Объём производства сельскохозяйственной продукции в хозяйствах всех категорий (в фактических ценах) за 2019 год составил 31 млрд. рублей </w:t>
      </w:r>
      <w:r>
        <w:rPr>
          <w:rFonts w:eastAsia="Calibri"/>
          <w:color w:val="000000"/>
        </w:rPr>
        <w:t>Индекс сельскохозяйственного производства – 95,9% (в 2018 году – 102,8%).  Снижение показателя обусловлено уменьшением индекса производства продукции сельского хозяйства личных подсобных хозяйств на 13,6% к уровню 2018 года.</w:t>
      </w:r>
    </w:p>
    <w:p w:rsidR="007E27CB" w:rsidRDefault="008F141F">
      <w:pPr>
        <w:pStyle w:val="af"/>
        <w:ind w:firstLine="567"/>
        <w:jc w:val="both"/>
        <w:rPr>
          <w:rFonts w:eastAsia="Calibri"/>
          <w:bCs/>
        </w:rPr>
      </w:pPr>
      <w:r>
        <w:t xml:space="preserve"> По предварительной оценке заработная плата в сельскохозяйственных организациях за 2019 год (без субъектов малого предпринимательства) сложилась на уровне 34,0 тыс. рублей (+10,7 % к уровню 2018 года), </w:t>
      </w:r>
      <w:r>
        <w:rPr>
          <w:rFonts w:eastAsia="Calibri"/>
          <w:bCs/>
        </w:rPr>
        <w:t>налоговые отчисления в бюджеты всех уровней составили около 3,8 млрд. рублей.</w:t>
      </w:r>
    </w:p>
    <w:p w:rsidR="007E27CB" w:rsidRDefault="008F141F">
      <w:pPr>
        <w:pStyle w:val="af"/>
        <w:ind w:firstLine="567"/>
        <w:jc w:val="both"/>
        <w:rPr>
          <w:rFonts w:eastAsia="Calibri"/>
        </w:rPr>
      </w:pPr>
      <w:r>
        <w:rPr>
          <w:rFonts w:eastAsia="Calibri"/>
          <w:bCs/>
        </w:rPr>
        <w:t>Производительность труда на одного работающего в отрасли сельского хозяйства является одной из самых высоких среди отраслей региона и по итогам 2019 года сложилась на уровне 2,5 млн. рублей.</w:t>
      </w:r>
    </w:p>
    <w:p w:rsidR="007E27CB" w:rsidRDefault="008F141F">
      <w:pPr>
        <w:pStyle w:val="af"/>
        <w:ind w:firstLine="567"/>
        <w:jc w:val="both"/>
      </w:pPr>
      <w:r>
        <w:t>Стратегически приоритетным направлением в аграрной отрасли на протяжении нескольких лет остается развитие молочного и мясного животноводства.</w:t>
      </w:r>
    </w:p>
    <w:p w:rsidR="007E27CB" w:rsidRDefault="008F141F">
      <w:pPr>
        <w:pStyle w:val="af"/>
        <w:ind w:firstLine="567"/>
        <w:jc w:val="both"/>
        <w:rPr>
          <w:rFonts w:eastAsia="Calibri"/>
          <w:color w:val="000000"/>
          <w:shd w:val="clear" w:color="auto" w:fill="FFFFFF"/>
        </w:rPr>
      </w:pPr>
      <w:r>
        <w:rPr>
          <w:rFonts w:eastAsia="Calibri"/>
        </w:rPr>
        <w:t>Томская область остается лидером СФО по молочной продуктивности. Производство молока в хозяйствах всех категорий составило 143,7 тыс. тонн (–1% к 2018 году), при этом производство молока в сельскохозяйственных организациях и крестьянских (фермерских) хозяйствах (далее по разделу – КФХ) составило 99,2 тыс. тонн (+3,3% к 2018 году). Надой молока на 1 корову – 6 560 кг (+6,4% к 2018 году).</w:t>
      </w:r>
      <w:r>
        <w:rPr>
          <w:rFonts w:eastAsia="Calibri"/>
          <w:color w:val="000000"/>
          <w:shd w:val="clear" w:color="auto" w:fill="FFFFFF"/>
        </w:rPr>
        <w:t xml:space="preserve"> Максимальная продуктивность на фуражную корову достигнута в племенных хозяйствах СПК «Белосток» – 9 312 кг молока (–1,3% к 2018 году), АО «Дубровское» – 8 830 кг (+5,7%), а также в ООО «Сибирское молоко» – 8 329 кг  (+12,6%).</w:t>
      </w:r>
    </w:p>
    <w:p w:rsidR="007E27CB" w:rsidRDefault="008F141F">
      <w:pPr>
        <w:spacing w:after="0" w:line="240" w:lineRule="auto"/>
        <w:ind w:firstLine="709"/>
        <w:jc w:val="both"/>
        <w:rPr>
          <w:rFonts w:eastAsia="Times New Roman"/>
          <w:sz w:val="24"/>
          <w:szCs w:val="24"/>
          <w:lang w:eastAsia="ru-RU"/>
        </w:rPr>
      </w:pPr>
      <w:r>
        <w:rPr>
          <w:rFonts w:eastAsia="Calibri"/>
          <w:sz w:val="24"/>
          <w:szCs w:val="24"/>
        </w:rPr>
        <w:t xml:space="preserve">В хозяйствах всех категорий произведено 153,4 тыс. тонн мяса скота и птицы на убой в живом весе (–1,8% к 2018 году). Снижение показателя обусловлено снижением производства продукции по данному показателю в хозяйствах населения в связи с </w:t>
      </w:r>
      <w:r>
        <w:rPr>
          <w:rFonts w:eastAsia="Times New Roman"/>
          <w:sz w:val="24"/>
          <w:szCs w:val="24"/>
          <w:lang w:eastAsia="ru-RU"/>
        </w:rPr>
        <w:lastRenderedPageBreak/>
        <w:t>уменьшением поголовья сельскохозяйственных животных в личных подсобных хозяйствах населения и введением техрегламента Таможенного союза, предусматривающего запрет населению подворного убоя скота для последующей реализации.</w:t>
      </w:r>
    </w:p>
    <w:p w:rsidR="007E27CB" w:rsidRDefault="008F141F">
      <w:pPr>
        <w:pStyle w:val="af"/>
        <w:ind w:firstLine="567"/>
        <w:jc w:val="both"/>
        <w:rPr>
          <w:rFonts w:eastAsia="Calibri"/>
        </w:rPr>
      </w:pPr>
      <w:r>
        <w:rPr>
          <w:rFonts w:eastAsia="Calibri"/>
        </w:rPr>
        <w:t xml:space="preserve"> Продолжается наращивание маточного </w:t>
      </w:r>
      <w:r>
        <w:rPr>
          <w:color w:val="000000"/>
        </w:rPr>
        <w:t xml:space="preserve">поголовья специализированных мясных пород, которое по итогам года составило 4 387 голов. </w:t>
      </w:r>
      <w:r>
        <w:rPr>
          <w:rFonts w:eastAsia="Calibri"/>
        </w:rPr>
        <w:t>Создан хороший генетический фонд: 100% поголовья мясного скота в сельскохозяйственных организациях имеет племенной статус, доля племенного скота в СХО, КФХ и ИП составила 35,4%.</w:t>
      </w:r>
    </w:p>
    <w:p w:rsidR="007E27CB" w:rsidRDefault="008F141F">
      <w:pPr>
        <w:pStyle w:val="af"/>
        <w:ind w:firstLine="567"/>
        <w:jc w:val="both"/>
        <w:rPr>
          <w:rFonts w:eastAsia="Calibri"/>
        </w:rPr>
      </w:pPr>
      <w:r>
        <w:rPr>
          <w:rFonts w:eastAsia="Calibri"/>
        </w:rPr>
        <w:t>Производство яйца в 2019 году составило 129,7 млн. штук (–2,5% к уровню 2018 года).</w:t>
      </w:r>
      <w:r>
        <w:rPr>
          <w:rFonts w:eastAsia="Calibri"/>
          <w:color w:val="FF0000"/>
        </w:rPr>
        <w:t xml:space="preserve"> </w:t>
      </w:r>
      <w:r>
        <w:rPr>
          <w:rFonts w:eastAsia="Calibri"/>
          <w:color w:val="000000"/>
        </w:rPr>
        <w:t>На фоне сохранения показателя в сельскохозяйственных организациях и КФХ наблюдается снижение производства яйца в</w:t>
      </w:r>
      <w:r>
        <w:rPr>
          <w:rFonts w:eastAsia="Calibri"/>
        </w:rPr>
        <w:t xml:space="preserve"> хозяйствах населения, что повлияло на общий результат. </w:t>
      </w:r>
    </w:p>
    <w:p w:rsidR="007E27CB" w:rsidRDefault="008F141F">
      <w:pPr>
        <w:pStyle w:val="af"/>
        <w:ind w:firstLine="567"/>
        <w:jc w:val="both"/>
      </w:pPr>
      <w:r>
        <w:t>За счет реализации в 2019 году пилотного проекта по искусственному осеменению крупного рогатого скота, содержащегося в личных подсобных хозяйствах и КФХ, удалось увеличить охват поголовья искусственным осеменением коров с 18% в 2018 году до 26% в 2019 году.</w:t>
      </w:r>
    </w:p>
    <w:p w:rsidR="007E27CB" w:rsidRDefault="008F141F">
      <w:pPr>
        <w:pStyle w:val="af"/>
        <w:ind w:firstLine="567"/>
        <w:jc w:val="both"/>
      </w:pPr>
      <w:r>
        <w:t>Ежегодно процедуру учета и маркирования проходит более 15 тысяч голов крупного рогатого скота и по 10 тысяч голов мелкого рогатого скота, а также свиней, содержащихся в личных подсобных хозяйства граждан. Идентифицировано более 8 000 пчелосемей (72%) в Томской области.</w:t>
      </w:r>
    </w:p>
    <w:p w:rsidR="007E27CB" w:rsidRDefault="008F141F">
      <w:pPr>
        <w:pStyle w:val="af"/>
        <w:ind w:firstLine="567"/>
        <w:jc w:val="both"/>
      </w:pPr>
      <w:r>
        <w:t>В 2019 году инфицированность поголовья лейкозом составила 1,74%. В 2019 году выдано почти 22 миллиона ветеринарных сопроводительных документов в электронном виде. Томская область входит в группу лидеров по количеству выданных документов государственными ветеринарными врачами.</w:t>
      </w:r>
    </w:p>
    <w:p w:rsidR="007E27CB" w:rsidRDefault="008F141F">
      <w:pPr>
        <w:pStyle w:val="af"/>
        <w:ind w:firstLine="567"/>
        <w:jc w:val="both"/>
      </w:pPr>
      <w:r>
        <w:rPr>
          <w:color w:val="000000"/>
        </w:rPr>
        <w:t xml:space="preserve">В отрасли растениеводства </w:t>
      </w:r>
      <w:r>
        <w:t>в 2019 году были достигнуты следующие результаты:</w:t>
      </w:r>
    </w:p>
    <w:p w:rsidR="007E27CB" w:rsidRDefault="008F141F">
      <w:pPr>
        <w:pStyle w:val="af"/>
        <w:numPr>
          <w:ilvl w:val="0"/>
          <w:numId w:val="37"/>
        </w:numPr>
        <w:tabs>
          <w:tab w:val="left" w:pos="851"/>
        </w:tabs>
        <w:ind w:left="0" w:firstLine="567"/>
        <w:jc w:val="both"/>
      </w:pPr>
      <w:r>
        <w:t>собрано зерна (в весе после доработки) – 341,3 тыс. тонн (+1,8 % к уровню 2018 года). Томские аграрии в 2019 году сохранили лидерство по темпам уборки и завершили уборку зерна первыми в Сибири. Уборочная кампания прошла за 62 дня;</w:t>
      </w:r>
    </w:p>
    <w:p w:rsidR="007E27CB" w:rsidRDefault="008F141F">
      <w:pPr>
        <w:pStyle w:val="af"/>
        <w:numPr>
          <w:ilvl w:val="0"/>
          <w:numId w:val="37"/>
        </w:numPr>
        <w:tabs>
          <w:tab w:val="left" w:pos="851"/>
        </w:tabs>
        <w:ind w:left="0" w:firstLine="567"/>
        <w:jc w:val="both"/>
      </w:pPr>
      <w:r>
        <w:t>урожайность зерновых и зернобобовых культур – 21,2 ц/га (-1,9% к 2018 году) Томская область сохранила лидирующие позиции (</w:t>
      </w:r>
      <w:r>
        <w:rPr>
          <w:lang w:val="en-US"/>
        </w:rPr>
        <w:t>II</w:t>
      </w:r>
      <w:r>
        <w:t xml:space="preserve"> место) по средней урожайности зерновых в СФО;</w:t>
      </w:r>
    </w:p>
    <w:p w:rsidR="007E27CB" w:rsidRDefault="008F141F">
      <w:pPr>
        <w:pStyle w:val="af"/>
        <w:numPr>
          <w:ilvl w:val="0"/>
          <w:numId w:val="37"/>
        </w:numPr>
        <w:tabs>
          <w:tab w:val="left" w:pos="851"/>
        </w:tabs>
        <w:ind w:left="0" w:firstLine="567"/>
        <w:jc w:val="both"/>
      </w:pPr>
      <w:r>
        <w:t>валовый сбор рапса – 23,4 тыс. тонн (+14,4% к 2018 году);</w:t>
      </w:r>
    </w:p>
    <w:p w:rsidR="007E27CB" w:rsidRDefault="008F141F">
      <w:pPr>
        <w:pStyle w:val="af"/>
        <w:numPr>
          <w:ilvl w:val="0"/>
          <w:numId w:val="37"/>
        </w:numPr>
        <w:tabs>
          <w:tab w:val="left" w:pos="851"/>
        </w:tabs>
        <w:ind w:left="0" w:firstLine="567"/>
        <w:jc w:val="both"/>
      </w:pPr>
      <w:r>
        <w:t>урожайность овощей в сельскохозяйственных организациях составила 312,5 ц/га (-0,6% к 2018 году);</w:t>
      </w:r>
    </w:p>
    <w:p w:rsidR="007E27CB" w:rsidRDefault="008F141F">
      <w:pPr>
        <w:pStyle w:val="af"/>
        <w:numPr>
          <w:ilvl w:val="0"/>
          <w:numId w:val="37"/>
        </w:numPr>
        <w:tabs>
          <w:tab w:val="left" w:pos="851"/>
        </w:tabs>
        <w:ind w:left="0" w:firstLine="567"/>
        <w:jc w:val="both"/>
      </w:pPr>
      <w:r>
        <w:t>урожайность картофеля в сельскохозяйственных организациях составила 191,1 ц/га (-2,2% к 2018 году);</w:t>
      </w:r>
    </w:p>
    <w:p w:rsidR="007E27CB" w:rsidRDefault="008F141F">
      <w:pPr>
        <w:pStyle w:val="af"/>
        <w:numPr>
          <w:ilvl w:val="0"/>
          <w:numId w:val="37"/>
        </w:numPr>
        <w:tabs>
          <w:tab w:val="left" w:pos="851"/>
        </w:tabs>
        <w:ind w:left="0" w:firstLine="567"/>
        <w:jc w:val="both"/>
      </w:pPr>
      <w:r>
        <w:t>увеличились посевные площади технических культур на 13,1% к уровню 2018 года;</w:t>
      </w:r>
    </w:p>
    <w:p w:rsidR="007E27CB" w:rsidRDefault="008F141F">
      <w:pPr>
        <w:pStyle w:val="af"/>
        <w:numPr>
          <w:ilvl w:val="0"/>
          <w:numId w:val="37"/>
        </w:numPr>
        <w:tabs>
          <w:tab w:val="left" w:pos="851"/>
        </w:tabs>
        <w:ind w:left="0" w:firstLine="567"/>
        <w:jc w:val="both"/>
      </w:pPr>
      <w:r>
        <w:t xml:space="preserve">введено в сельскохозяйственный оборот 2,1 тыс. га пашни. </w:t>
      </w:r>
    </w:p>
    <w:p w:rsidR="007E27CB" w:rsidRDefault="008F141F">
      <w:pPr>
        <w:pStyle w:val="af"/>
        <w:ind w:firstLine="567"/>
        <w:jc w:val="both"/>
        <w:rPr>
          <w:rFonts w:eastAsia="Calibri"/>
          <w:color w:val="000000"/>
          <w:shd w:val="clear" w:color="auto" w:fill="FFFFFF"/>
        </w:rPr>
      </w:pPr>
      <w:r>
        <w:rPr>
          <w:rFonts w:eastAsia="Calibri"/>
        </w:rPr>
        <w:t>В агропромышленном комплексе Томской области появился</w:t>
      </w:r>
      <w:r>
        <w:rPr>
          <w:rFonts w:eastAsia="Calibri"/>
          <w:b/>
        </w:rPr>
        <w:t xml:space="preserve"> </w:t>
      </w:r>
      <w:r>
        <w:rPr>
          <w:rFonts w:eastAsia="Calibri"/>
        </w:rPr>
        <w:t xml:space="preserve">новый тренд – органическое земледелие. </w:t>
      </w:r>
      <w:r>
        <w:rPr>
          <w:rFonts w:eastAsia="Calibri"/>
          <w:color w:val="000000"/>
          <w:shd w:val="clear" w:color="auto" w:fill="FFFFFF"/>
        </w:rPr>
        <w:t xml:space="preserve">Площадь органических посевов в 2019 году составила почти 11 тыс. га (+37,5% к уровню 2018 года). </w:t>
      </w:r>
    </w:p>
    <w:p w:rsidR="007E27CB" w:rsidRDefault="008F141F">
      <w:pPr>
        <w:pStyle w:val="af"/>
        <w:ind w:firstLine="567"/>
        <w:jc w:val="both"/>
        <w:rPr>
          <w:rFonts w:eastAsia="Calibri"/>
          <w:color w:val="000000"/>
          <w:shd w:val="clear" w:color="auto" w:fill="FFFFFF"/>
        </w:rPr>
      </w:pPr>
      <w:r>
        <w:rPr>
          <w:rFonts w:eastAsia="Calibri"/>
          <w:color w:val="000000"/>
          <w:shd w:val="clear" w:color="auto" w:fill="FFFFFF"/>
        </w:rPr>
        <w:t>С 2018 года Сибирскому НИИ сельского хозяйства и торфа присвоен</w:t>
      </w:r>
      <w:r>
        <w:rPr>
          <w:rFonts w:eastAsia="Calibri"/>
          <w:b/>
          <w:color w:val="000000"/>
          <w:shd w:val="clear" w:color="auto" w:fill="FFFFFF"/>
        </w:rPr>
        <w:t xml:space="preserve"> </w:t>
      </w:r>
      <w:r>
        <w:rPr>
          <w:rFonts w:eastAsia="Calibri"/>
          <w:color w:val="000000"/>
          <w:shd w:val="clear" w:color="auto" w:fill="FFFFFF"/>
        </w:rPr>
        <w:t>статус селекционного семеноводческого центра по картофелеводству. Проект нацелен на обеспечение отрасли высококачественным, оздоровленным семенным материалом, создание новых сортов картофеля и подготовку специалистов. Партнерами института стали хозяйства – ООО «Колпаков», ООО «Агрофирма «Зоркальцевская», КФХ Шадриной Е.В.</w:t>
      </w:r>
    </w:p>
    <w:p w:rsidR="007E27CB" w:rsidRDefault="008F141F">
      <w:pPr>
        <w:pStyle w:val="af"/>
        <w:ind w:firstLine="567"/>
        <w:jc w:val="both"/>
      </w:pPr>
      <w:r>
        <w:t>Продолжалась реализация мероприятий «Поддержка начинающих фермеров» и «Развитие семейных животноводческих ферм».</w:t>
      </w:r>
    </w:p>
    <w:p w:rsidR="007E27CB" w:rsidRDefault="008F141F">
      <w:pPr>
        <w:pStyle w:val="af"/>
        <w:ind w:firstLine="567"/>
        <w:jc w:val="both"/>
      </w:pPr>
      <w:r>
        <w:t xml:space="preserve">В 2019 году </w:t>
      </w:r>
      <w:r>
        <w:rPr>
          <w:color w:val="000000"/>
        </w:rPr>
        <w:t xml:space="preserve">по результатам проведенных конкурсных процедур среди претендентов на грантовую поддержку </w:t>
      </w:r>
      <w:r>
        <w:t xml:space="preserve">начинающих фермеров стали 17 КФХ на общую сумму 47,2 млн. </w:t>
      </w:r>
      <w:r>
        <w:lastRenderedPageBreak/>
        <w:t xml:space="preserve">рублей, из них </w:t>
      </w:r>
      <w:r>
        <w:rPr>
          <w:color w:val="000000"/>
        </w:rPr>
        <w:t>11 хозяйств, специализирующихся на выращивании мясного скота и производстве говядины, 4 – в сфере молочного скотоводства и 2 – в сфере пчеловодства,</w:t>
      </w:r>
      <w:r>
        <w:t xml:space="preserve"> а в рамках развития семейных животноводческих ферм получателями грантов стали 4 КФХ на общую сумму 49,5 млн. рублей. </w:t>
      </w:r>
    </w:p>
    <w:p w:rsidR="007E27CB" w:rsidRDefault="008F141F">
      <w:pPr>
        <w:pStyle w:val="af"/>
        <w:ind w:firstLine="567"/>
        <w:jc w:val="both"/>
        <w:rPr>
          <w:color w:val="000000"/>
        </w:rPr>
      </w:pPr>
      <w:r>
        <w:rPr>
          <w:color w:val="000000"/>
        </w:rPr>
        <w:t xml:space="preserve">Проекты реализованы на территории сельских поселений Томского (6 КФХ), Кожевниковского (4 КФХ), Асиновского (3 КФХ) и Первомайского районов (3 КФХ) и по одному – в Зырянском, Шегарском, Тегульдетском, Бакчарском и Чаинском районах. </w:t>
      </w:r>
      <w:r>
        <w:t>За счет оказанной государственной поддержки в КФХ создано 27 новых постоянных рабочих мест.</w:t>
      </w:r>
    </w:p>
    <w:p w:rsidR="007E27CB" w:rsidRDefault="008F141F">
      <w:pPr>
        <w:pStyle w:val="af"/>
        <w:ind w:firstLine="567"/>
        <w:jc w:val="both"/>
      </w:pPr>
      <w:r>
        <w:t>Победителями конкурсного отбора по программе поддержки кооперации стали 4 сельскохозяйственных потребительских кооператива в Первомайском, Бакчарском районах Томской области и муниципальном образовании «Город Томск» (с проектами по развитию производства и переработки мясной, молочной продукции и переработки овощей). Всего выплачено 98,1 млн. рублей грантовой поддержки, в том числе за счет средств областного бюджета – 36,2 млн. рублей. Создано 18 рабочих мест.</w:t>
      </w:r>
    </w:p>
    <w:p w:rsidR="007E27CB" w:rsidRDefault="008F141F">
      <w:pPr>
        <w:pStyle w:val="af"/>
        <w:ind w:firstLine="567"/>
        <w:jc w:val="both"/>
        <w:rPr>
          <w:color w:val="000000"/>
        </w:rPr>
      </w:pPr>
      <w:r>
        <w:rPr>
          <w:color w:val="000000"/>
        </w:rPr>
        <w:t xml:space="preserve">Техническое перевооружение остается одним из приоритетных направлений государственной поддержки Томской области. </w:t>
      </w:r>
      <w:r>
        <w:t xml:space="preserve">В 2019 году приобретено 235 единиц сельскохозяйственной техники, в том числе 44 трактора, 15 зерноуборочных комбайнов, 103 единицы навесного и прицепного оборудования, </w:t>
      </w:r>
      <w:r>
        <w:rPr>
          <w:color w:val="000000"/>
        </w:rPr>
        <w:t>73</w:t>
      </w:r>
      <w:r>
        <w:t xml:space="preserve"> единицы прочей техники. </w:t>
      </w:r>
    </w:p>
    <w:p w:rsidR="007E27CB" w:rsidRDefault="008F141F">
      <w:pPr>
        <w:pStyle w:val="af"/>
        <w:ind w:firstLine="567"/>
        <w:jc w:val="both"/>
      </w:pPr>
      <w:r>
        <w:t>Уровень энерговооруженности тракторного и комбайнового парка в 2019 году составил 131 л.с. на 100 га посевной площади.</w:t>
      </w:r>
    </w:p>
    <w:p w:rsidR="007E27CB" w:rsidRDefault="008F141F">
      <w:pPr>
        <w:pStyle w:val="af"/>
        <w:ind w:firstLine="567"/>
        <w:jc w:val="both"/>
        <w:rPr>
          <w:b/>
          <w:color w:val="FF0000"/>
        </w:rPr>
      </w:pPr>
      <w:r>
        <w:t xml:space="preserve">Благодаря сотрудничеству с российской компанией </w:t>
      </w:r>
      <w:hyperlink r:id="rId19" w:history="1">
        <w:r>
          <w:rPr>
            <w:bCs/>
            <w:color w:val="000000"/>
          </w:rPr>
          <w:t>Cognitive Technologies</w:t>
        </w:r>
      </w:hyperlink>
      <w:r>
        <w:t xml:space="preserve"> по развитию технологий беспилотного транспорта в уборочную кампанию 2019 года один из комбайнов был успешно протестирован при уборке пшеницы в окрестностях деревни Карбышево Томского района.</w:t>
      </w:r>
    </w:p>
    <w:p w:rsidR="007E27CB" w:rsidRDefault="008F141F">
      <w:pPr>
        <w:pStyle w:val="af"/>
        <w:ind w:firstLine="567"/>
        <w:jc w:val="both"/>
        <w:rPr>
          <w:color w:val="FF0000"/>
        </w:rPr>
      </w:pPr>
      <w:r>
        <w:t>В регионе реализуется 26 инвестиционных проектов с общим объемом инвестиций 11 млрд. рублей. П</w:t>
      </w:r>
      <w:r>
        <w:rPr>
          <w:bCs/>
        </w:rPr>
        <w:t>о предварительной оценке Департамента по социально-экономическому развитию села Томской области,</w:t>
      </w:r>
      <w:r>
        <w:t xml:space="preserve"> в</w:t>
      </w:r>
      <w:r>
        <w:rPr>
          <w:bCs/>
        </w:rPr>
        <w:t xml:space="preserve"> 2019 году в агрокомплекс региона инвестировано 2,7 млрд. рублей.</w:t>
      </w:r>
      <w:r>
        <w:rPr>
          <w:color w:val="FF0000"/>
        </w:rPr>
        <w:t xml:space="preserve"> </w:t>
      </w:r>
    </w:p>
    <w:p w:rsidR="007E27CB" w:rsidRDefault="008F141F">
      <w:pPr>
        <w:pStyle w:val="af"/>
        <w:ind w:firstLine="567"/>
        <w:jc w:val="both"/>
      </w:pPr>
      <w:r>
        <w:t>В рамках содействия реализации инвестиционных проектов, направленных на развитие сельского хозяйства Томской области, в 2019 году реализованы следующие отраслевые инвестиционные проекты:</w:t>
      </w:r>
    </w:p>
    <w:p w:rsidR="007E27CB" w:rsidRDefault="008F141F">
      <w:pPr>
        <w:pStyle w:val="af"/>
        <w:numPr>
          <w:ilvl w:val="0"/>
          <w:numId w:val="38"/>
        </w:numPr>
        <w:tabs>
          <w:tab w:val="left" w:pos="851"/>
        </w:tabs>
        <w:ind w:left="0" w:firstLine="567"/>
        <w:jc w:val="both"/>
      </w:pPr>
      <w:r>
        <w:t>построен первый в регионе животноводческий комплекс с установкой для переработки отходов в кормовые добавки для коров (АО «Дубровское»).</w:t>
      </w:r>
      <w:r>
        <w:rPr>
          <w:rFonts w:eastAsia="Calibri"/>
          <w:color w:val="000000"/>
        </w:rPr>
        <w:t xml:space="preserve"> Инвестиции составили 121,1 млн. рублей. После выхода на проектную мощность предприятие планирует увеличить производство молока на 2 000 тонн/год и производство говядины на 70 тонн/год;</w:t>
      </w:r>
    </w:p>
    <w:p w:rsidR="007E27CB" w:rsidRDefault="008F141F">
      <w:pPr>
        <w:pStyle w:val="af"/>
        <w:numPr>
          <w:ilvl w:val="0"/>
          <w:numId w:val="38"/>
        </w:numPr>
        <w:tabs>
          <w:tab w:val="left" w:pos="851"/>
        </w:tabs>
        <w:ind w:left="0" w:firstLine="567"/>
        <w:jc w:val="both"/>
      </w:pPr>
      <w:r>
        <w:t xml:space="preserve">открыт завод по переработке рапса ООО </w:t>
      </w:r>
      <w:r>
        <w:rPr>
          <w:color w:val="000000"/>
        </w:rPr>
        <w:t>«Сибирская Олива». Предполагается, что на выходе предприятие будет получать 22 тысячи тонн рапсового масла и 34 тысячи тонн рапсового жмыха. Поставки рапсового масла уже организованы в Китай и другие страны Южной и Восточной Азии;</w:t>
      </w:r>
    </w:p>
    <w:p w:rsidR="007E27CB" w:rsidRDefault="008F141F">
      <w:pPr>
        <w:pStyle w:val="af"/>
        <w:numPr>
          <w:ilvl w:val="0"/>
          <w:numId w:val="38"/>
        </w:numPr>
        <w:tabs>
          <w:tab w:val="left" w:pos="851"/>
        </w:tabs>
        <w:ind w:left="0" w:firstLine="567"/>
        <w:jc w:val="both"/>
      </w:pPr>
      <w:r>
        <w:t>заложен крупнейший в стране сад жимолости. Высажено почти 40 тысяч саженцев ягоды на 20 гектарах земли. В рамках реализации инвестиционного проекта «Создание интенсивного сада жимолости, приобретение техники и оборудования» будет создана ягодная плантация общей площадью 100 га;</w:t>
      </w:r>
    </w:p>
    <w:p w:rsidR="007E27CB" w:rsidRDefault="008F141F">
      <w:pPr>
        <w:pStyle w:val="af"/>
        <w:numPr>
          <w:ilvl w:val="0"/>
          <w:numId w:val="38"/>
        </w:numPr>
        <w:tabs>
          <w:tab w:val="left" w:pos="851"/>
        </w:tabs>
        <w:ind w:left="0" w:firstLine="567"/>
        <w:jc w:val="both"/>
      </w:pPr>
      <w:r>
        <w:t>дан старт второй очереди проекта по круглогодичному выращиванию овощей и зелени в условиях защищенного грунта в ООО «Трубачево», построена ЛЭП;</w:t>
      </w:r>
    </w:p>
    <w:p w:rsidR="007E27CB" w:rsidRDefault="008F141F">
      <w:pPr>
        <w:pStyle w:val="af"/>
        <w:numPr>
          <w:ilvl w:val="0"/>
          <w:numId w:val="38"/>
        </w:numPr>
        <w:tabs>
          <w:tab w:val="left" w:pos="851"/>
        </w:tabs>
        <w:ind w:left="0" w:firstLine="567"/>
        <w:jc w:val="both"/>
        <w:rPr>
          <w:color w:val="000000"/>
        </w:rPr>
      </w:pPr>
      <w:r>
        <w:rPr>
          <w:color w:val="000000"/>
        </w:rPr>
        <w:t xml:space="preserve">введен в эксплуатацию пункт по убою и глубокой переработке мяса мощностью около 1 тыс. голов КРС в год на базе КФХ Синицына В.С. </w:t>
      </w:r>
    </w:p>
    <w:p w:rsidR="007E27CB" w:rsidRDefault="008F141F">
      <w:pPr>
        <w:pStyle w:val="af"/>
        <w:tabs>
          <w:tab w:val="left" w:pos="851"/>
        </w:tabs>
        <w:ind w:firstLine="567"/>
        <w:jc w:val="both"/>
        <w:rPr>
          <w:color w:val="000000"/>
        </w:rPr>
      </w:pPr>
      <w:r>
        <w:t>На территории Томской области с 2019 года реализуется 2 региональных проекта «Экспорт продукции АПК» и «Создание системы поддержки фермеров и сельскохозяйственной кооперации».</w:t>
      </w:r>
    </w:p>
    <w:p w:rsidR="007E27CB" w:rsidRDefault="008F141F">
      <w:pPr>
        <w:spacing w:after="0" w:line="240" w:lineRule="auto"/>
        <w:jc w:val="both"/>
        <w:rPr>
          <w:sz w:val="24"/>
          <w:szCs w:val="24"/>
          <w:lang w:eastAsia="ru-RU"/>
        </w:rPr>
      </w:pPr>
      <w:r>
        <w:rPr>
          <w:sz w:val="24"/>
          <w:szCs w:val="24"/>
        </w:rPr>
        <w:lastRenderedPageBreak/>
        <w:tab/>
        <w:t xml:space="preserve">В рамках реализации регионального проекта «Экспорт продукции АПК» </w:t>
      </w:r>
      <w:r>
        <w:rPr>
          <w:bCs/>
          <w:iCs/>
          <w:sz w:val="24"/>
          <w:szCs w:val="24"/>
        </w:rPr>
        <w:t>у</w:t>
      </w:r>
      <w:r>
        <w:rPr>
          <w:sz w:val="24"/>
          <w:szCs w:val="24"/>
        </w:rPr>
        <w:t>величен объем экспорта продукции агропромышленного комплекса Томской области почти в 2 раза по сравнению с 2018 годом (с 12,05 млн. долл. США до 23,9 млн. долл. США).</w:t>
      </w:r>
    </w:p>
    <w:p w:rsidR="007E27CB" w:rsidRDefault="008F141F">
      <w:pPr>
        <w:pStyle w:val="a6"/>
        <w:spacing w:after="0" w:line="240" w:lineRule="auto"/>
        <w:ind w:left="0" w:firstLine="567"/>
        <w:jc w:val="both"/>
        <w:rPr>
          <w:rFonts w:ascii="Times New Roman" w:eastAsia="Times New Roman" w:hAnsi="Times New Roman"/>
          <w:sz w:val="24"/>
          <w:szCs w:val="24"/>
          <w:lang w:eastAsia="ru-RU"/>
        </w:rPr>
      </w:pPr>
      <w:r>
        <w:rPr>
          <w:rFonts w:ascii="Times New Roman" w:hAnsi="Times New Roman"/>
          <w:sz w:val="24"/>
          <w:szCs w:val="24"/>
        </w:rPr>
        <w:t xml:space="preserve">В рамках реализации регионального проекта «Создание системы поддержки фермеров и сельскохозяйственной кооперации» </w:t>
      </w:r>
      <w:r>
        <w:rPr>
          <w:rFonts w:ascii="Times New Roman" w:hAnsi="Times New Roman"/>
          <w:color w:val="000000"/>
          <w:sz w:val="24"/>
          <w:szCs w:val="24"/>
          <w:shd w:val="clear" w:color="auto" w:fill="FFFFFF"/>
        </w:rPr>
        <w:t>введена новая мера государственной поддержки вновь созданных субъектов МСП в сельском хозяйстве – гранты «Агростартап» на реализацию проектов создания и развития крестьянских (фермерских) хозяйств.</w:t>
      </w:r>
      <w:r>
        <w:rPr>
          <w:rFonts w:ascii="Times New Roman" w:eastAsia="Times New Roman" w:hAnsi="Times New Roman"/>
          <w:sz w:val="24"/>
          <w:szCs w:val="24"/>
          <w:lang w:eastAsia="ru-RU"/>
        </w:rPr>
        <w:t xml:space="preserve"> Реализация проектов будет осуществляться по пяти направлениям: ягодоводство, козоводство, мясное, молочное животноводство и впервые  птицеводство. </w:t>
      </w:r>
      <w:r>
        <w:rPr>
          <w:rFonts w:ascii="Times New Roman" w:hAnsi="Times New Roman"/>
          <w:color w:val="000000"/>
          <w:sz w:val="24"/>
          <w:szCs w:val="24"/>
          <w:shd w:val="clear" w:color="auto" w:fill="FFFFFF"/>
        </w:rPr>
        <w:t>С участием средств грантов «Агростартап» по итогам 2019 года создано 8 крестьянских фермерских хозяйств, которыми организовано 16 новых рабочих мест.</w:t>
      </w:r>
      <w:r>
        <w:rPr>
          <w:rFonts w:ascii="Times New Roman" w:eastAsia="Times New Roman" w:hAnsi="Times New Roman"/>
          <w:sz w:val="24"/>
          <w:szCs w:val="24"/>
          <w:lang w:eastAsia="ru-RU"/>
        </w:rPr>
        <w:t xml:space="preserve"> </w:t>
      </w:r>
    </w:p>
    <w:p w:rsidR="007E27CB" w:rsidRDefault="008F141F">
      <w:pPr>
        <w:pStyle w:val="af"/>
        <w:ind w:firstLine="567"/>
        <w:jc w:val="both"/>
      </w:pPr>
      <w:r>
        <w:t>Объем инвестиций в сельхозпроизводство Томской области стабильно растет. Это связано, прежде всего, с растущей эффективностью АПК и появлением нового ориентира на экспорт.</w:t>
      </w:r>
    </w:p>
    <w:p w:rsidR="007E27CB" w:rsidRDefault="008F141F">
      <w:pPr>
        <w:pStyle w:val="af"/>
        <w:ind w:firstLine="567"/>
        <w:jc w:val="both"/>
      </w:pPr>
      <w:r>
        <w:t xml:space="preserve">В рамках подпрограммы «Устойчивое развитие сельских территорий Томской области до 2020 года» государственной программы на реализацию мероприятий по улучшению жилищных условий граждан, проживающих в сельской местности, в том числе молодых семей и молодых специалистов, привлечено 86,9 млн. рублей (в том числе из федерального бюджета – 53,0 млн. рублей, областного бюджета – 24,1 млн. рублей, местного бюджета – 9,8 млн. рублей). </w:t>
      </w:r>
    </w:p>
    <w:p w:rsidR="007E27CB" w:rsidRDefault="008F141F">
      <w:pPr>
        <w:pStyle w:val="af"/>
        <w:ind w:firstLine="567"/>
        <w:jc w:val="both"/>
      </w:pPr>
      <w:r>
        <w:t>В результате социальные выплаты на улучшение жилищных условий получили 108 семей, в том числе молодые семьи и молодые специалисты – 84 семьи. Введено (приобретено) 5,3 тыс. кв. м жилья, в том числе молодыми семьями и молодыми специалистами 4,2 тыс. кв. м жилья.</w:t>
      </w:r>
    </w:p>
    <w:p w:rsidR="007E27CB" w:rsidRDefault="008F141F">
      <w:pPr>
        <w:pStyle w:val="af"/>
        <w:ind w:firstLine="567"/>
        <w:jc w:val="both"/>
      </w:pPr>
      <w:r>
        <w:t>На комплексное обустройство объектами социальной и инженерной инфраструктуры населенных пунктов, расположенных в сельской местности, в том числе на развитие газификации, водоснабжения, реализацию проекта комплексного обустройства площадок под компактную жилищную застройку в сельской местности привлечено средств в сумме 105,2 млн. рублей, в том числе из федерального бюджета – 58,2 млн. рублей, областного бюджета – 32,4 млн. рублей, местного бюджета – 14,6 млн. рублей, в результате:</w:t>
      </w:r>
    </w:p>
    <w:p w:rsidR="007E27CB" w:rsidRDefault="008F141F">
      <w:pPr>
        <w:pStyle w:val="af"/>
        <w:numPr>
          <w:ilvl w:val="1"/>
          <w:numId w:val="146"/>
        </w:numPr>
        <w:tabs>
          <w:tab w:val="left" w:pos="993"/>
        </w:tabs>
        <w:ind w:left="0" w:firstLine="567"/>
        <w:jc w:val="both"/>
      </w:pPr>
      <w:r>
        <w:t>завершена реконструкция более 10 км локальных водопроводов с подключением жилого фонда к центральной магистрали в с. Уртам Кожевниковского района;</w:t>
      </w:r>
    </w:p>
    <w:p w:rsidR="007E27CB" w:rsidRDefault="008F141F">
      <w:pPr>
        <w:pStyle w:val="af"/>
        <w:numPr>
          <w:ilvl w:val="1"/>
          <w:numId w:val="146"/>
        </w:numPr>
        <w:tabs>
          <w:tab w:val="left" w:pos="993"/>
        </w:tabs>
        <w:ind w:left="0" w:firstLine="567"/>
        <w:jc w:val="both"/>
      </w:pPr>
      <w:r>
        <w:t>завершен 2-й этап строительства распределительных газовых сетей (14,523 км) в с. Первомайское Первомайского района;</w:t>
      </w:r>
    </w:p>
    <w:p w:rsidR="007E27CB" w:rsidRDefault="008F141F">
      <w:pPr>
        <w:pStyle w:val="af"/>
        <w:numPr>
          <w:ilvl w:val="1"/>
          <w:numId w:val="146"/>
        </w:numPr>
        <w:tabs>
          <w:tab w:val="left" w:pos="993"/>
        </w:tabs>
        <w:ind w:left="0" w:firstLine="567"/>
        <w:jc w:val="both"/>
      </w:pPr>
      <w:r>
        <w:t>начато строительство инженерных сетей и зданий соцкультбыта в новом микрорайоне комплексной застройки «Юбилейный» в с. Чажемто Колпашевского района, техническая готовность 1-го этапа проекта составила 18,52 %;</w:t>
      </w:r>
    </w:p>
    <w:p w:rsidR="007E27CB" w:rsidRDefault="008F141F">
      <w:pPr>
        <w:pStyle w:val="af"/>
        <w:numPr>
          <w:ilvl w:val="1"/>
          <w:numId w:val="146"/>
        </w:numPr>
        <w:tabs>
          <w:tab w:val="left" w:pos="993"/>
        </w:tabs>
        <w:ind w:left="0" w:firstLine="567"/>
        <w:jc w:val="both"/>
      </w:pPr>
      <w:r>
        <w:t>завершено строительство 4,951 км распределительных газовых сетей в            мкр. «Северный» с. Кожевниково, Кожевниковский район.</w:t>
      </w:r>
    </w:p>
    <w:p w:rsidR="007E27CB" w:rsidRDefault="008F141F">
      <w:pPr>
        <w:pStyle w:val="af"/>
        <w:tabs>
          <w:tab w:val="left" w:pos="993"/>
        </w:tabs>
        <w:ind w:firstLine="567"/>
        <w:jc w:val="both"/>
      </w:pPr>
      <w:r>
        <w:t xml:space="preserve"> На грантовую поддержку местных инициатив граждан, проживающих в сельской местности, привлечено 7,0 млн. рублей, из них средства федерального бюджета – 1,7 млн. рублей, областного бюджета – 2,6 млн. рублей, местного бюджета – 1,3 млн. рублей, из внебюджетных источников привл</w:t>
      </w:r>
      <w:bookmarkStart w:id="1" w:name="OLE_LINK4"/>
      <w:bookmarkStart w:id="2" w:name="OLE_LINK3"/>
      <w:bookmarkEnd w:id="1"/>
      <w:r>
        <w:t>ечено 1,4 млн. рублей. Реализованы 6 проектов в 6 муниципальных образованиях Томской области (Кожевниковском, Колпашевском, Первомайском, Молчановском, Чаинском, Шегарском районах),</w:t>
      </w:r>
      <w:bookmarkEnd w:id="2"/>
      <w:r>
        <w:t xml:space="preserve"> направленных на обустройство зон отдыха, детских игровых, спортивных площадок, а также сохранение культурных традиций.</w:t>
      </w:r>
    </w:p>
    <w:p w:rsidR="007E27CB" w:rsidRDefault="008F141F">
      <w:pPr>
        <w:pStyle w:val="af"/>
        <w:ind w:firstLine="567"/>
        <w:jc w:val="both"/>
      </w:pPr>
      <w:r>
        <w:t>За достижение высоких результатов в сфере устойчивого развития сельских территорий Департамент по социально-экономическому развитию села Томской области награжден серебряной медалью и дипломом Минсельхоза России.</w:t>
      </w:r>
    </w:p>
    <w:p w:rsidR="007E27CB" w:rsidRDefault="007E27CB">
      <w:pPr>
        <w:pStyle w:val="af"/>
        <w:ind w:firstLine="567"/>
        <w:jc w:val="both"/>
        <w:rPr>
          <w:b/>
        </w:rPr>
      </w:pPr>
    </w:p>
    <w:p w:rsidR="007E27CB" w:rsidRDefault="008F141F">
      <w:pPr>
        <w:shd w:val="clear" w:color="auto" w:fill="F2F2F2" w:themeFill="background1" w:themeFillShade="F2"/>
        <w:tabs>
          <w:tab w:val="left" w:pos="4962"/>
        </w:tabs>
        <w:spacing w:after="0" w:line="240" w:lineRule="auto"/>
        <w:jc w:val="both"/>
        <w:rPr>
          <w:b/>
          <w:bCs/>
          <w:sz w:val="24"/>
          <w:szCs w:val="24"/>
        </w:rPr>
      </w:pPr>
      <w:r>
        <w:rPr>
          <w:b/>
          <w:bCs/>
          <w:sz w:val="24"/>
          <w:szCs w:val="24"/>
        </w:rPr>
        <w:lastRenderedPageBreak/>
        <w:t>Перспективные задачи</w:t>
      </w:r>
    </w:p>
    <w:p w:rsidR="007E27CB" w:rsidRDefault="007E27CB">
      <w:pPr>
        <w:pStyle w:val="af"/>
        <w:jc w:val="both"/>
        <w:rPr>
          <w:b/>
          <w:color w:val="000000"/>
        </w:rPr>
      </w:pPr>
    </w:p>
    <w:p w:rsidR="007E27CB" w:rsidRDefault="008F141F">
      <w:pPr>
        <w:pStyle w:val="af"/>
        <w:jc w:val="both"/>
        <w:rPr>
          <w:b/>
          <w:color w:val="000000"/>
        </w:rPr>
      </w:pPr>
      <w:r>
        <w:rPr>
          <w:rFonts w:eastAsia="Calibri"/>
          <w:color w:val="000000"/>
          <w:shd w:val="clear" w:color="auto" w:fill="FFFFFF"/>
        </w:rPr>
        <w:t>1. Создание селекционных семеноводческих центров по зерновым, техническим и плодово-ягодным культурам.</w:t>
      </w:r>
    </w:p>
    <w:p w:rsidR="007E27CB" w:rsidRDefault="008F141F">
      <w:pPr>
        <w:pStyle w:val="af"/>
        <w:jc w:val="both"/>
        <w:rPr>
          <w:color w:val="000000"/>
        </w:rPr>
      </w:pPr>
      <w:r>
        <w:rPr>
          <w:color w:val="000000"/>
        </w:rPr>
        <w:t>2. Совершенствование агротехнологий, наращивание нагрузки на гектар и увеличение агропродуктивности сельскохозяйственных угодий.</w:t>
      </w:r>
    </w:p>
    <w:p w:rsidR="007E27CB" w:rsidRDefault="008F141F">
      <w:pPr>
        <w:pStyle w:val="af"/>
        <w:jc w:val="both"/>
        <w:rPr>
          <w:color w:val="000000"/>
        </w:rPr>
      </w:pPr>
      <w:r>
        <w:rPr>
          <w:color w:val="000000"/>
        </w:rPr>
        <w:t>3. Развитие северного садоводства, создание научно-производственного комплекса по производству и переработке  северных ягод, культивированию лесных ягод.</w:t>
      </w:r>
    </w:p>
    <w:p w:rsidR="007E27CB" w:rsidRDefault="008F141F">
      <w:pPr>
        <w:pStyle w:val="af"/>
        <w:jc w:val="both"/>
        <w:rPr>
          <w:b/>
          <w:color w:val="000000"/>
        </w:rPr>
      </w:pPr>
      <w:r>
        <w:rPr>
          <w:color w:val="000000"/>
        </w:rPr>
        <w:t xml:space="preserve">4. </w:t>
      </w:r>
      <w:r>
        <w:rPr>
          <w:bCs/>
          <w:color w:val="000000"/>
        </w:rPr>
        <w:t>Внедрение умных технологий и системы точного земледелия с целью достижения высокотехнологичности и безопасности в АПК.</w:t>
      </w:r>
    </w:p>
    <w:p w:rsidR="007E27CB" w:rsidRDefault="008F141F">
      <w:pPr>
        <w:pStyle w:val="af"/>
        <w:jc w:val="both"/>
        <w:rPr>
          <w:bCs/>
          <w:color w:val="000000"/>
        </w:rPr>
      </w:pPr>
      <w:r>
        <w:rPr>
          <w:bCs/>
          <w:color w:val="000000"/>
        </w:rPr>
        <w:t>5. Создание эффективного животноводства с высоким генетическим потенциалом стада.</w:t>
      </w:r>
    </w:p>
    <w:p w:rsidR="007E27CB" w:rsidRDefault="008F141F">
      <w:pPr>
        <w:pStyle w:val="af"/>
        <w:jc w:val="both"/>
        <w:rPr>
          <w:color w:val="000000"/>
        </w:rPr>
      </w:pPr>
      <w:r>
        <w:rPr>
          <w:color w:val="000000"/>
        </w:rPr>
        <w:t>6. Ликвидация лейкоза у поголовья во всех хозяйствах Томской области.</w:t>
      </w:r>
    </w:p>
    <w:p w:rsidR="007E27CB" w:rsidRDefault="008F141F">
      <w:pPr>
        <w:pStyle w:val="af"/>
        <w:jc w:val="both"/>
        <w:rPr>
          <w:color w:val="000000"/>
        </w:rPr>
      </w:pPr>
      <w:r>
        <w:rPr>
          <w:color w:val="000000"/>
        </w:rPr>
        <w:t>7. Развитие экспортного потенциала АПК.</w:t>
      </w:r>
    </w:p>
    <w:p w:rsidR="007E27CB" w:rsidRDefault="008F141F">
      <w:pPr>
        <w:pStyle w:val="af"/>
        <w:jc w:val="both"/>
        <w:rPr>
          <w:color w:val="000000"/>
        </w:rPr>
      </w:pPr>
      <w:r>
        <w:rPr>
          <w:color w:val="000000"/>
        </w:rPr>
        <w:t>8. Реализация мероприятий, направленных на обеспечение комплексного развития сельских территорий Томской области.</w:t>
      </w:r>
    </w:p>
    <w:p w:rsidR="007E27CB" w:rsidRDefault="007E27CB">
      <w:pPr>
        <w:pStyle w:val="af"/>
        <w:ind w:firstLine="709"/>
        <w:jc w:val="both"/>
      </w:pPr>
    </w:p>
    <w:p w:rsidR="007E27CB" w:rsidRDefault="007E27CB">
      <w:pPr>
        <w:pStyle w:val="af"/>
        <w:ind w:firstLine="567"/>
        <w:jc w:val="both"/>
        <w:rPr>
          <w:sz w:val="26"/>
          <w:szCs w:val="26"/>
        </w:rPr>
      </w:pPr>
    </w:p>
    <w:p w:rsidR="007E27CB" w:rsidRDefault="007E27CB">
      <w:pPr>
        <w:pStyle w:val="a4"/>
        <w:tabs>
          <w:tab w:val="clear" w:pos="4153"/>
          <w:tab w:val="clear" w:pos="8306"/>
          <w:tab w:val="left" w:pos="4962"/>
        </w:tabs>
        <w:rPr>
          <w:color w:val="FF0000"/>
        </w:rPr>
      </w:pPr>
    </w:p>
    <w:p w:rsidR="007E27CB" w:rsidRDefault="008F141F">
      <w:pPr>
        <w:tabs>
          <w:tab w:val="left" w:pos="4962"/>
        </w:tabs>
        <w:spacing w:after="0" w:line="240" w:lineRule="auto"/>
        <w:rPr>
          <w:b/>
          <w:sz w:val="24"/>
          <w:szCs w:val="24"/>
        </w:rPr>
      </w:pPr>
      <w:r>
        <w:rPr>
          <w:color w:val="FF0000"/>
          <w:sz w:val="24"/>
          <w:szCs w:val="24"/>
        </w:rPr>
        <w:br w:type="page"/>
      </w:r>
      <w:hyperlink r:id="rId20" w:history="1">
        <w:r>
          <w:rPr>
            <w:b/>
            <w:sz w:val="24"/>
            <w:szCs w:val="24"/>
          </w:rPr>
          <w:t>РАЗДЕЛ III</w:t>
        </w:r>
      </w:hyperlink>
    </w:p>
    <w:p w:rsidR="007E27CB" w:rsidRDefault="008F141F">
      <w:pPr>
        <w:tabs>
          <w:tab w:val="left" w:pos="4962"/>
        </w:tabs>
        <w:spacing w:after="0" w:line="240" w:lineRule="auto"/>
        <w:rPr>
          <w:rFonts w:eastAsia="Times New Roman"/>
          <w:b/>
          <w:sz w:val="24"/>
          <w:szCs w:val="24"/>
        </w:rPr>
      </w:pPr>
      <w:r>
        <w:rPr>
          <w:rFonts w:eastAsia="Times New Roman"/>
          <w:b/>
          <w:sz w:val="24"/>
          <w:szCs w:val="24"/>
        </w:rPr>
        <w:t xml:space="preserve">ПОВЫШЕНИЕ УРОВНЯ И КАЧЕСТВА ЖИЗНИ НАСЕЛЕНИЯ НА ВСЕЙ ТЕРРИТОРИИ ТОМСКОЙ ОБЛАСТИ, НАКОПЛЕНИЕ </w:t>
      </w:r>
    </w:p>
    <w:p w:rsidR="007E27CB" w:rsidRDefault="008F141F">
      <w:pPr>
        <w:tabs>
          <w:tab w:val="left" w:pos="4962"/>
        </w:tabs>
        <w:spacing w:after="0" w:line="240" w:lineRule="auto"/>
        <w:rPr>
          <w:rFonts w:eastAsia="Times New Roman"/>
          <w:b/>
          <w:sz w:val="24"/>
          <w:szCs w:val="24"/>
        </w:rPr>
      </w:pPr>
      <w:r>
        <w:rPr>
          <w:rFonts w:eastAsia="Times New Roman"/>
          <w:b/>
          <w:sz w:val="24"/>
          <w:szCs w:val="24"/>
        </w:rPr>
        <w:t>ЧЕЛОВЕЧЕСКОГО КАПИТАЛА</w:t>
      </w:r>
    </w:p>
    <w:p w:rsidR="007E27CB" w:rsidRDefault="007E27CB">
      <w:pPr>
        <w:tabs>
          <w:tab w:val="left" w:pos="4962"/>
        </w:tabs>
        <w:spacing w:after="0" w:line="240" w:lineRule="auto"/>
        <w:ind w:firstLine="567"/>
        <w:jc w:val="center"/>
        <w:rPr>
          <w:rFonts w:eastAsia="Times New Roman"/>
          <w:b/>
          <w:color w:val="FF0000"/>
          <w:sz w:val="24"/>
          <w:szCs w:val="24"/>
        </w:rPr>
      </w:pPr>
    </w:p>
    <w:p w:rsidR="007E27CB" w:rsidRDefault="008F141F">
      <w:pPr>
        <w:tabs>
          <w:tab w:val="left" w:pos="4962"/>
        </w:tabs>
        <w:spacing w:after="0" w:line="240" w:lineRule="auto"/>
        <w:jc w:val="both"/>
        <w:rPr>
          <w:rFonts w:eastAsia="Times New Roman"/>
          <w:b/>
          <w:sz w:val="24"/>
          <w:szCs w:val="24"/>
        </w:rPr>
      </w:pPr>
      <w:r>
        <w:rPr>
          <w:rFonts w:eastAsia="Times New Roman"/>
          <w:b/>
          <w:sz w:val="24"/>
          <w:szCs w:val="24"/>
        </w:rPr>
        <w:t>3.1. Повышение доступности медицинской помощи и эффективности предоставления медицинских услуг</w:t>
      </w:r>
      <w:r>
        <w:rPr>
          <w:rStyle w:val="af3"/>
          <w:rFonts w:eastAsia="Times New Roman"/>
          <w:b/>
          <w:sz w:val="24"/>
          <w:szCs w:val="24"/>
        </w:rPr>
        <w:footnoteReference w:id="12"/>
      </w:r>
    </w:p>
    <w:p w:rsidR="007E27CB" w:rsidRDefault="007E27CB">
      <w:pPr>
        <w:tabs>
          <w:tab w:val="left" w:pos="4962"/>
        </w:tabs>
        <w:spacing w:after="0" w:line="240" w:lineRule="auto"/>
        <w:ind w:firstLine="567"/>
        <w:jc w:val="center"/>
        <w:rPr>
          <w:b/>
          <w:color w:val="FF0000"/>
          <w:sz w:val="24"/>
          <w:szCs w:val="24"/>
        </w:rPr>
      </w:pPr>
    </w:p>
    <w:p w:rsidR="007E27CB" w:rsidRDefault="008F141F">
      <w:pPr>
        <w:tabs>
          <w:tab w:val="left" w:pos="851"/>
        </w:tabs>
        <w:spacing w:after="0" w:line="240" w:lineRule="auto"/>
        <w:ind w:firstLine="567"/>
        <w:jc w:val="both"/>
        <w:rPr>
          <w:color w:val="000000" w:themeColor="text1"/>
          <w:sz w:val="24"/>
          <w:szCs w:val="24"/>
        </w:rPr>
      </w:pPr>
      <w:r>
        <w:rPr>
          <w:color w:val="000000" w:themeColor="text1"/>
          <w:sz w:val="24"/>
          <w:szCs w:val="24"/>
        </w:rPr>
        <w:t xml:space="preserve">Важной задачей в сфере здравоохранения является улучшение уровня и качества жизни населения на территории Томской области, повышение доступности и эффективности медицинской помощи. Для решения данной задачи в 2019 году продолжена реализация государственной программы «Развитие здравоохранения в Томской области». </w:t>
      </w:r>
    </w:p>
    <w:p w:rsidR="007E27CB" w:rsidRDefault="008F141F">
      <w:pPr>
        <w:tabs>
          <w:tab w:val="left" w:pos="851"/>
        </w:tabs>
        <w:spacing w:after="0" w:line="240" w:lineRule="auto"/>
        <w:ind w:firstLine="567"/>
        <w:jc w:val="both"/>
        <w:rPr>
          <w:color w:val="000000" w:themeColor="text1"/>
          <w:sz w:val="24"/>
          <w:szCs w:val="24"/>
        </w:rPr>
      </w:pPr>
      <w:r>
        <w:rPr>
          <w:color w:val="000000" w:themeColor="text1"/>
          <w:sz w:val="24"/>
          <w:szCs w:val="24"/>
        </w:rPr>
        <w:t xml:space="preserve">По итогам 2019 года ожидаемая продолжительность жизни по предварительной оценке составляет 72,85 (2018 год – 72,84). </w:t>
      </w:r>
    </w:p>
    <w:p w:rsidR="007E27CB" w:rsidRDefault="008F141F">
      <w:pPr>
        <w:tabs>
          <w:tab w:val="left" w:pos="851"/>
        </w:tabs>
        <w:spacing w:after="0" w:line="240" w:lineRule="auto"/>
        <w:ind w:firstLine="567"/>
        <w:jc w:val="both"/>
        <w:rPr>
          <w:color w:val="000000" w:themeColor="text1"/>
          <w:sz w:val="24"/>
          <w:szCs w:val="24"/>
        </w:rPr>
      </w:pPr>
      <w:r>
        <w:rPr>
          <w:color w:val="000000" w:themeColor="text1"/>
          <w:sz w:val="24"/>
          <w:szCs w:val="24"/>
        </w:rPr>
        <w:t xml:space="preserve">На территории региона наблюдается стабильная положительная динамика по показателю уровня младенческой смертности (на 1 000 рожденных живыми), который составил в 2019 году 4,4 (в 2018 году – 5,1). При этом отмечается уменьшение числа родившихся граждан (коэффициент естественного прироста (на 1000 населения) в 2018 году составляет -0,2, в 2019 году равен -1,5, что </w:t>
      </w:r>
      <w:r>
        <w:rPr>
          <w:sz w:val="24"/>
          <w:szCs w:val="24"/>
        </w:rPr>
        <w:t xml:space="preserve">вязано со снижением численности женщин фертильного возраста (детородного возраста достигла женская популяция 90-х годов). </w:t>
      </w:r>
      <w:r>
        <w:rPr>
          <w:color w:val="000000" w:themeColor="text1"/>
          <w:sz w:val="24"/>
          <w:szCs w:val="24"/>
        </w:rPr>
        <w:t xml:space="preserve"> </w:t>
      </w:r>
    </w:p>
    <w:p w:rsidR="007E27CB" w:rsidRDefault="008F141F">
      <w:pPr>
        <w:tabs>
          <w:tab w:val="left" w:pos="851"/>
        </w:tabs>
        <w:spacing w:after="0" w:line="240" w:lineRule="auto"/>
        <w:ind w:firstLine="567"/>
        <w:jc w:val="both"/>
        <w:rPr>
          <w:color w:val="000000" w:themeColor="text1"/>
          <w:sz w:val="24"/>
          <w:szCs w:val="24"/>
        </w:rPr>
      </w:pPr>
      <w:r>
        <w:rPr>
          <w:color w:val="000000" w:themeColor="text1"/>
          <w:sz w:val="24"/>
          <w:szCs w:val="24"/>
        </w:rPr>
        <w:t>Для обеспечения населения Томской области гарантированными объемами бесплатной медицинской помощи в 2019 году общий объем финансирования областной Программы государственных гарантий бесплатного оказания гражданам медицинской помощи на территории Томской области составил 22, 0 млрд. рублей, из них: 4,9 млрд. рублей – средства областного бюджета, 17,1 млрд. рублей – средства обязательного медицинского страхования. В реализации Программы приняли участие 133 организации различных форм собственности.</w:t>
      </w:r>
    </w:p>
    <w:p w:rsidR="007E27CB" w:rsidRDefault="008F141F">
      <w:pPr>
        <w:spacing w:after="0" w:line="240" w:lineRule="auto"/>
        <w:ind w:firstLine="567"/>
        <w:jc w:val="both"/>
        <w:rPr>
          <w:color w:val="000000" w:themeColor="text1"/>
          <w:sz w:val="24"/>
          <w:szCs w:val="24"/>
        </w:rPr>
      </w:pPr>
      <w:r>
        <w:rPr>
          <w:color w:val="000000" w:themeColor="text1"/>
          <w:sz w:val="24"/>
          <w:szCs w:val="24"/>
        </w:rPr>
        <w:t>На финансирование программ льготного лекарственного обеспечения по региональной льготе за счет средств областного бюджета в 2019 году было направлено 573,0 млн. рублей (на 41,1 млн. рублей больше, чем в 2018 году), что позволило оказать лекарственную помощь в полном объеме пациентам, нуждающимся в инсулинах, противоопухолевых и противоболевых препаратах. Необходимые лекарственные препараты получили 116 пациентов, страдающих редкими (орфанными) заболеваниями. Увеличилось число граждан, получивших лекарственные препараты в первые полгода после перенесенного инфаркта, с 971 человека в 2018 году до 1 091 человека в 2019 году. Отмечается увеличение числа граждан, нуждающихся в лекарственной помощи по региональной льготе.</w:t>
      </w:r>
    </w:p>
    <w:p w:rsidR="007E27CB" w:rsidRDefault="008F141F">
      <w:pPr>
        <w:spacing w:after="0" w:line="240" w:lineRule="auto"/>
        <w:ind w:firstLine="567"/>
        <w:jc w:val="both"/>
        <w:rPr>
          <w:color w:val="000000" w:themeColor="text1"/>
          <w:sz w:val="24"/>
          <w:szCs w:val="24"/>
        </w:rPr>
      </w:pPr>
      <w:r>
        <w:rPr>
          <w:color w:val="000000" w:themeColor="text1"/>
          <w:sz w:val="24"/>
          <w:szCs w:val="24"/>
        </w:rPr>
        <w:t xml:space="preserve">В 2019 году завершен капитальный ремонт санаторно-лесной школы ОГАУЗ «Томский фтизиопульмонологический медицинский центр», комплексный капитальный ремонт здания стационара ОГАУЗ «Кожевниковская районная больница». </w:t>
      </w:r>
    </w:p>
    <w:p w:rsidR="007E27CB" w:rsidRDefault="008F141F">
      <w:pPr>
        <w:spacing w:after="0" w:line="240" w:lineRule="auto"/>
        <w:ind w:firstLine="567"/>
        <w:jc w:val="both"/>
        <w:rPr>
          <w:color w:val="000000" w:themeColor="text1"/>
          <w:sz w:val="24"/>
          <w:szCs w:val="24"/>
        </w:rPr>
      </w:pPr>
      <w:r>
        <w:rPr>
          <w:color w:val="000000" w:themeColor="text1"/>
          <w:sz w:val="24"/>
          <w:szCs w:val="24"/>
        </w:rPr>
        <w:t xml:space="preserve">Реализованы проекты по благоустройству территории в следующих учреждениях: ОГАУЗ «Городская клиническая больница № 3 им. Б.И. Альперовича», ОГАУЗ «Больница скорой медицинской помощи, ОГАУЗ «Томская областная клиническая больница», </w:t>
      </w:r>
      <w:r>
        <w:rPr>
          <w:color w:val="000000" w:themeColor="text1"/>
          <w:sz w:val="24"/>
          <w:szCs w:val="24"/>
        </w:rPr>
        <w:br/>
        <w:t>ОГБУЗ «Патологоанатомическое бюро».</w:t>
      </w:r>
    </w:p>
    <w:p w:rsidR="007E27CB" w:rsidRDefault="008F141F">
      <w:pPr>
        <w:spacing w:after="0" w:line="240" w:lineRule="auto"/>
        <w:ind w:firstLine="567"/>
        <w:jc w:val="both"/>
        <w:rPr>
          <w:color w:val="000000" w:themeColor="text1"/>
          <w:sz w:val="24"/>
          <w:szCs w:val="24"/>
        </w:rPr>
      </w:pPr>
      <w:r>
        <w:rPr>
          <w:color w:val="000000" w:themeColor="text1"/>
          <w:sz w:val="24"/>
          <w:szCs w:val="24"/>
        </w:rPr>
        <w:t xml:space="preserve">Начаты работы по реконструкции внутриплощадочных сетей для ОГАУЗ «Кожевниковская районная больница», расположенных в с. Кожевниково Томской области, капитальному ремонту автоматической противопожарной сигнализации ЛОР </w:t>
      </w:r>
      <w:r>
        <w:rPr>
          <w:color w:val="000000" w:themeColor="text1"/>
          <w:sz w:val="24"/>
          <w:szCs w:val="24"/>
        </w:rPr>
        <w:lastRenderedPageBreak/>
        <w:t>корпуса, поликлиники, стационара ОГАУЗ «Городская клиническая больница № 3          им. Б.И.Альперовича» в г. Томске. Завершаются работы по комплексному капитальному ремонту врачебной амбулатории ОГБУЗ «Медико-санитарная часть № 2» в г. Томске. Завершается строительство приемного покоя ОГАУЗ «Больница скорой медицинской помощи» в г. Томске и ведутся работы по введению объекта в эксплуатацию.</w:t>
      </w:r>
    </w:p>
    <w:p w:rsidR="007E27CB" w:rsidRDefault="008F141F">
      <w:pPr>
        <w:spacing w:after="0" w:line="240" w:lineRule="auto"/>
        <w:ind w:firstLine="567"/>
        <w:jc w:val="both"/>
        <w:rPr>
          <w:color w:val="000000" w:themeColor="text1"/>
          <w:sz w:val="24"/>
          <w:szCs w:val="24"/>
        </w:rPr>
      </w:pPr>
      <w:r>
        <w:rPr>
          <w:color w:val="000000" w:themeColor="text1"/>
          <w:sz w:val="24"/>
          <w:szCs w:val="24"/>
        </w:rPr>
        <w:t>В рамках национального проекта «Здравоохранение» за счет средств федерального и областного бюджетов в сентябре 2019 года начато строительство хирургического корпуса на 120 коек с поликлиникой на 200 посещений в смену ОГАУЗ «Томский областной онкологический диспансер». Срок завершения работ – 2021 год.</w:t>
      </w:r>
    </w:p>
    <w:p w:rsidR="007E27CB" w:rsidRDefault="008F141F">
      <w:pPr>
        <w:spacing w:after="0" w:line="240" w:lineRule="auto"/>
        <w:ind w:firstLine="567"/>
        <w:jc w:val="both"/>
        <w:rPr>
          <w:color w:val="000000" w:themeColor="text1"/>
          <w:sz w:val="24"/>
          <w:szCs w:val="24"/>
        </w:rPr>
      </w:pPr>
      <w:r>
        <w:rPr>
          <w:color w:val="000000" w:themeColor="text1"/>
          <w:sz w:val="24"/>
          <w:szCs w:val="24"/>
        </w:rPr>
        <w:t>В 2019 году за счет средств федерального бюджета приобретено 5 модульных зданий ФАП, в декабре 2019 года за счет средств областного бюджета приобретен ФАП с жильём в Первомайском районе. В настоящий момент завершаются работы по ремонту ФАП с. Киреевск Кожевниковского раойна.</w:t>
      </w:r>
    </w:p>
    <w:p w:rsidR="007E27CB" w:rsidRDefault="008F141F">
      <w:pPr>
        <w:spacing w:after="0" w:line="240" w:lineRule="auto"/>
        <w:ind w:firstLine="567"/>
        <w:jc w:val="both"/>
        <w:rPr>
          <w:color w:val="000000" w:themeColor="text1"/>
          <w:sz w:val="24"/>
          <w:szCs w:val="24"/>
        </w:rPr>
      </w:pPr>
      <w:r>
        <w:rPr>
          <w:color w:val="000000" w:themeColor="text1"/>
          <w:sz w:val="24"/>
          <w:szCs w:val="24"/>
        </w:rPr>
        <w:t>В рамках реализации соглашения с ООО «Лечебно-диагностический центр Международного института биологических систем имени Сергея Березина» в 2019 году завершено строительство ПЭТ-центра на территории Северного медицинского городка. Центр оснащен современным оборудованием, открытие центра планируется в июне 2020 года.</w:t>
      </w:r>
    </w:p>
    <w:p w:rsidR="007E27CB" w:rsidRDefault="008F141F">
      <w:pPr>
        <w:spacing w:after="0" w:line="240" w:lineRule="auto"/>
        <w:ind w:firstLine="567"/>
        <w:jc w:val="both"/>
        <w:rPr>
          <w:color w:val="000000" w:themeColor="text1"/>
          <w:sz w:val="24"/>
          <w:szCs w:val="24"/>
        </w:rPr>
      </w:pPr>
      <w:r>
        <w:rPr>
          <w:color w:val="000000" w:themeColor="text1"/>
          <w:sz w:val="24"/>
          <w:szCs w:val="24"/>
        </w:rPr>
        <w:t xml:space="preserve">В декабре 2019 года в рамках Соглашения о взаимодействии между Администрацией Томской области и ООО «Нефролайн» (г. Екатеринбург) состоялось открытие гемодиализного центра на базе ОГБУЗ «Колпашевская районная больница»     (г. Колпашево). Заместительная почечная терапия обеспечена для пациентов из Колпашевского, Каргасокского, Парабельского, Верхнекетского и Чаинского районов. </w:t>
      </w:r>
    </w:p>
    <w:p w:rsidR="007E27CB" w:rsidRDefault="008F141F">
      <w:pPr>
        <w:spacing w:after="0" w:line="240" w:lineRule="auto"/>
        <w:ind w:firstLine="567"/>
        <w:jc w:val="both"/>
        <w:rPr>
          <w:color w:val="000000" w:themeColor="text1"/>
          <w:sz w:val="24"/>
          <w:szCs w:val="24"/>
        </w:rPr>
      </w:pPr>
      <w:r>
        <w:rPr>
          <w:color w:val="000000" w:themeColor="text1"/>
          <w:sz w:val="24"/>
          <w:szCs w:val="24"/>
        </w:rPr>
        <w:t xml:space="preserve">В 2019 году за счет средств федерального бюджета приобретено 39 автомобилей скорой медицинской помощи: 32 ед. АСМП класса В и 7 ед. АСМП класса С на сумму 110,7 млн. рублей. </w:t>
      </w:r>
    </w:p>
    <w:p w:rsidR="007E27CB" w:rsidRDefault="008F141F">
      <w:pPr>
        <w:spacing w:after="0" w:line="240" w:lineRule="auto"/>
        <w:ind w:firstLine="567"/>
        <w:jc w:val="both"/>
        <w:rPr>
          <w:color w:val="000000" w:themeColor="text1"/>
          <w:sz w:val="24"/>
          <w:szCs w:val="24"/>
        </w:rPr>
      </w:pPr>
      <w:r>
        <w:rPr>
          <w:color w:val="000000" w:themeColor="text1"/>
          <w:sz w:val="24"/>
          <w:szCs w:val="24"/>
        </w:rPr>
        <w:t>В рамках плана повышения рождаемости в 2019 году выполнено 1</w:t>
      </w:r>
      <w:r>
        <w:rPr>
          <w:color w:val="000000" w:themeColor="text1"/>
          <w:sz w:val="24"/>
          <w:szCs w:val="24"/>
          <w:lang w:val="en-US"/>
        </w:rPr>
        <w:t> </w:t>
      </w:r>
      <w:r>
        <w:rPr>
          <w:color w:val="000000" w:themeColor="text1"/>
          <w:sz w:val="24"/>
          <w:szCs w:val="24"/>
        </w:rPr>
        <w:t>020 квот экстракорпорального оплодотворения. Выездные бригады ОГАУЗ «Областной перинатальный центр им. И.Д. Евтушенко» осуществили 1</w:t>
      </w:r>
      <w:r>
        <w:rPr>
          <w:color w:val="000000" w:themeColor="text1"/>
          <w:sz w:val="24"/>
          <w:szCs w:val="24"/>
          <w:lang w:val="en-US"/>
        </w:rPr>
        <w:t> </w:t>
      </w:r>
      <w:r>
        <w:rPr>
          <w:color w:val="000000" w:themeColor="text1"/>
          <w:sz w:val="24"/>
          <w:szCs w:val="24"/>
        </w:rPr>
        <w:t>232 выезда (878 к детям, 354 к женщинам), были госпитализированы 327 женщин и 525 новорожденных.</w:t>
      </w:r>
    </w:p>
    <w:p w:rsidR="007E27CB" w:rsidRDefault="008F141F">
      <w:pPr>
        <w:spacing w:after="0" w:line="240" w:lineRule="auto"/>
        <w:ind w:firstLine="567"/>
        <w:jc w:val="both"/>
        <w:rPr>
          <w:color w:val="000000" w:themeColor="text1"/>
          <w:sz w:val="24"/>
          <w:szCs w:val="24"/>
        </w:rPr>
      </w:pPr>
      <w:r>
        <w:rPr>
          <w:color w:val="000000" w:themeColor="text1"/>
          <w:sz w:val="24"/>
          <w:szCs w:val="24"/>
        </w:rPr>
        <w:t xml:space="preserve">В 2019 году реализацией регионального проекта «Маршрут здоровья» охвачено </w:t>
      </w:r>
      <w:r>
        <w:rPr>
          <w:color w:val="000000" w:themeColor="text1"/>
          <w:sz w:val="24"/>
          <w:szCs w:val="24"/>
        </w:rPr>
        <w:br/>
        <w:t xml:space="preserve">70 сельских населенных пунктов в 8 муниципальных образований Томской области, обследовано 4 тысячи человек. </w:t>
      </w:r>
    </w:p>
    <w:p w:rsidR="007E27CB" w:rsidRDefault="008F141F">
      <w:pPr>
        <w:spacing w:after="0" w:line="240" w:lineRule="auto"/>
        <w:ind w:firstLine="567"/>
        <w:jc w:val="both"/>
        <w:rPr>
          <w:color w:val="000000" w:themeColor="text1"/>
          <w:sz w:val="24"/>
          <w:szCs w:val="24"/>
        </w:rPr>
      </w:pPr>
      <w:r>
        <w:rPr>
          <w:color w:val="000000" w:themeColor="text1"/>
          <w:sz w:val="24"/>
          <w:szCs w:val="24"/>
        </w:rPr>
        <w:t>Привито от гриппа 464 тысячи человек (43% численности населения). Активно использовались выездные формы работы (мобильный комплекс) и проводилась информационная кампания.</w:t>
      </w:r>
    </w:p>
    <w:p w:rsidR="007E27CB" w:rsidRDefault="008F141F">
      <w:pPr>
        <w:spacing w:after="0" w:line="240" w:lineRule="auto"/>
        <w:ind w:firstLine="567"/>
        <w:jc w:val="both"/>
        <w:rPr>
          <w:color w:val="000000" w:themeColor="text1"/>
          <w:sz w:val="24"/>
          <w:szCs w:val="24"/>
        </w:rPr>
      </w:pPr>
      <w:r>
        <w:rPr>
          <w:sz w:val="24"/>
          <w:szCs w:val="24"/>
        </w:rPr>
        <w:t>В 2019 году для оказания медицинской помощи с применением авиации за счет всех источников выполнено 438 вылетов (в том числе 270 вылетов в рамках средств, предусмотренных соглашением с Минздравом России), эвакуировано 720 пациентов, в том числе 71 ребенок (27 до одного года), общая сумма расходов за фактически оказанные авиационные работы составила 256 млн. рублей.</w:t>
      </w:r>
    </w:p>
    <w:p w:rsidR="007E27CB" w:rsidRDefault="008F141F">
      <w:pPr>
        <w:spacing w:after="0" w:line="240" w:lineRule="auto"/>
        <w:ind w:firstLine="567"/>
        <w:jc w:val="both"/>
        <w:rPr>
          <w:color w:val="000000" w:themeColor="text1"/>
          <w:sz w:val="24"/>
          <w:szCs w:val="24"/>
        </w:rPr>
      </w:pPr>
      <w:r>
        <w:rPr>
          <w:color w:val="000000" w:themeColor="text1"/>
          <w:sz w:val="24"/>
          <w:szCs w:val="24"/>
        </w:rPr>
        <w:t>В целях развития и совершенствования системы оказания паллиативной медицинской помощи (далее по разделу – ПМП) в амбулаторных условиях, в том числе на дому, в стационарных условиях, направленных на повышение качества жизни пациентов Томской области, нуждающихся в ПМП, в регионе разрабатывается проект региональной программы «Развитие системы оказания паллиативной медицинской помощи в Томской области до 2024 года».</w:t>
      </w:r>
    </w:p>
    <w:p w:rsidR="007E27CB" w:rsidRDefault="008F141F">
      <w:pPr>
        <w:spacing w:after="0" w:line="240" w:lineRule="auto"/>
        <w:ind w:firstLine="567"/>
        <w:jc w:val="both"/>
        <w:rPr>
          <w:color w:val="000000" w:themeColor="text1"/>
          <w:sz w:val="24"/>
          <w:szCs w:val="24"/>
        </w:rPr>
      </w:pPr>
      <w:r>
        <w:rPr>
          <w:color w:val="000000" w:themeColor="text1"/>
          <w:sz w:val="24"/>
          <w:szCs w:val="24"/>
        </w:rPr>
        <w:t xml:space="preserve">В 2019 году на оказание паллиативной медицинской помощи населению региона направлено 174,1 млн. рублей, в том числе на приобретение медицинских изделий – 29,8 млн. рублей (из них за счет средств федерального бюджета – 24,7 млн. рублей), на лекарственное обеспечение – 5,9 млн. рублей (из них за счет средств федерального бюджета – 5,0 млн. рублей). </w:t>
      </w:r>
    </w:p>
    <w:p w:rsidR="007E27CB" w:rsidRDefault="008F141F">
      <w:pPr>
        <w:spacing w:after="0" w:line="240" w:lineRule="auto"/>
        <w:ind w:firstLine="567"/>
        <w:jc w:val="both"/>
        <w:rPr>
          <w:color w:val="000000" w:themeColor="text1"/>
          <w:sz w:val="24"/>
          <w:szCs w:val="24"/>
        </w:rPr>
      </w:pPr>
      <w:r>
        <w:rPr>
          <w:color w:val="000000" w:themeColor="text1"/>
          <w:sz w:val="24"/>
          <w:szCs w:val="24"/>
        </w:rPr>
        <w:lastRenderedPageBreak/>
        <w:t xml:space="preserve">Объем государственного задания на оказание паллиативной медицинской помощи в 2019 году составил 134,3 млн. рублей, в том числе на оказание помощи в стационарных условиях – 127,2 млн. рублей, в амбулаторных – 7,1 млн. рублей. </w:t>
      </w:r>
    </w:p>
    <w:p w:rsidR="007E27CB" w:rsidRDefault="008F141F">
      <w:pPr>
        <w:spacing w:after="0" w:line="240" w:lineRule="auto"/>
        <w:ind w:firstLine="567"/>
        <w:jc w:val="both"/>
        <w:rPr>
          <w:color w:val="000000" w:themeColor="text1"/>
          <w:sz w:val="24"/>
          <w:szCs w:val="24"/>
        </w:rPr>
      </w:pPr>
      <w:r>
        <w:rPr>
          <w:color w:val="000000" w:themeColor="text1"/>
          <w:sz w:val="24"/>
          <w:szCs w:val="24"/>
        </w:rPr>
        <w:t xml:space="preserve">Расходы ОГКУЗ «Дом ребенка, специализированный для детей с органическим поражением центральной нервной системы с нарушением психики» на оказание паллиативной медицинской помощи в 2019 году составили 4,1 млн. рублей. </w:t>
      </w:r>
    </w:p>
    <w:p w:rsidR="007E27CB" w:rsidRDefault="008F141F">
      <w:pPr>
        <w:spacing w:after="0" w:line="240" w:lineRule="auto"/>
        <w:ind w:firstLine="567"/>
        <w:jc w:val="both"/>
        <w:rPr>
          <w:color w:val="000000" w:themeColor="text1"/>
          <w:sz w:val="24"/>
          <w:szCs w:val="24"/>
        </w:rPr>
      </w:pPr>
      <w:r>
        <w:rPr>
          <w:color w:val="000000" w:themeColor="text1"/>
          <w:sz w:val="24"/>
          <w:szCs w:val="24"/>
        </w:rPr>
        <w:t>В 2019 году 35 учреждений здравоохранения Томской области участвовали в реализации проекта «Создание новой модели медицинской организации, оказывающей первичную медико-санитарную помощь с применением методов бережливого производства», ставшего продолжением федерального пилотного проекта «Бережливая поликлиника». Основной акцент в данном направлении сделан на внедрение в работу медицинских организаций первичного звена «Стандарта организации амбулаторной помощи на территории Томской области».</w:t>
      </w:r>
    </w:p>
    <w:p w:rsidR="007E27CB" w:rsidRDefault="008F141F">
      <w:pPr>
        <w:spacing w:after="0" w:line="240" w:lineRule="auto"/>
        <w:ind w:firstLine="567"/>
        <w:jc w:val="both"/>
        <w:rPr>
          <w:color w:val="000000" w:themeColor="text1"/>
          <w:sz w:val="24"/>
          <w:szCs w:val="24"/>
        </w:rPr>
      </w:pPr>
      <w:r>
        <w:rPr>
          <w:color w:val="000000" w:themeColor="text1"/>
          <w:sz w:val="24"/>
          <w:szCs w:val="24"/>
        </w:rPr>
        <w:t>За время реализации проекта в 75% медицинских учреждений организованы приемные зоны, в том числе 15 колясочных, гардеробы и санитарные комнаты. Созданы условия для комфортного пребывания пациентов при ожидании приема врача, при этом особое внимание уделено детским поликлиникам: организованы зоны для кормления грудных детей в 19 поликлинических отделениях, игровые пространства. В 16 медицинских организациях создана система внутренней навигации, разработанная в соответствии с требованиями Стандарта, в остальных учреждениях проводится тестирование и отработка временной навигации.</w:t>
      </w:r>
    </w:p>
    <w:p w:rsidR="007E27CB" w:rsidRDefault="008F141F">
      <w:pPr>
        <w:pStyle w:val="paragraphscxw301626bcx0"/>
        <w:shd w:val="clear" w:color="auto" w:fill="FFFFFF" w:themeFill="background1"/>
        <w:spacing w:before="0" w:beforeAutospacing="0" w:after="0" w:afterAutospacing="0"/>
        <w:ind w:firstLine="567"/>
        <w:jc w:val="both"/>
        <w:textAlignment w:val="baseline"/>
      </w:pPr>
      <w:r>
        <w:rPr>
          <w:rStyle w:val="normaltextrunscxw301626bcx0"/>
        </w:rPr>
        <w:t>В соответствии со Стандартом переформатировано 24 кабинета неотложной помощи, что позволит обеспечить правильную маршрутизацию пациентов к врачам-специалистам и распределить нагрузку между службами поликлиники. В 25 организациях открыты кабинеты организации плановой помощи для организации прикрепления населения, записи пациентов на консультации, исследования и госпитализацию во внешние медицинские организации. Изменен порядок работы процедурных кабинетов в 35 медицинских организациях, что должно сократить время нахождения пациентов в ожидании очереди. Изменена схема работы регистратур в 35 медицинских организаций. В 30 организациях закончено формирование в</w:t>
      </w:r>
      <w:r>
        <w:rPr>
          <w:rStyle w:val="normaltextrunscxw301626bcx0"/>
          <w:lang w:val="en-US"/>
        </w:rPr>
        <w:t> </w:t>
      </w:r>
      <w:r>
        <w:rPr>
          <w:rStyle w:val="normaltextrunscxw301626bcx0"/>
        </w:rPr>
        <w:t xml:space="preserve">соответствии со Стандартом отделений (кабинетов) медицинской профилактики. </w:t>
      </w:r>
    </w:p>
    <w:p w:rsidR="007E27CB" w:rsidRDefault="008F141F">
      <w:pPr>
        <w:spacing w:after="0" w:line="240" w:lineRule="auto"/>
        <w:ind w:firstLine="567"/>
        <w:jc w:val="both"/>
        <w:rPr>
          <w:sz w:val="24"/>
          <w:szCs w:val="24"/>
        </w:rPr>
      </w:pPr>
      <w:r>
        <w:rPr>
          <w:color w:val="000000" w:themeColor="text1"/>
          <w:sz w:val="24"/>
          <w:szCs w:val="24"/>
        </w:rPr>
        <w:t xml:space="preserve">По итогам 2019 года заработная плата отдельных категорий медицинских работников, подпадающих под действие Указа Президента Российской Федерации от 07.05.2012 №  597 </w:t>
      </w:r>
      <w:r>
        <w:rPr>
          <w:sz w:val="24"/>
          <w:szCs w:val="24"/>
        </w:rPr>
        <w:t>составила:</w:t>
      </w:r>
    </w:p>
    <w:p w:rsidR="007E27CB" w:rsidRDefault="008F141F">
      <w:pPr>
        <w:pStyle w:val="a6"/>
        <w:numPr>
          <w:ilvl w:val="0"/>
          <w:numId w:val="39"/>
        </w:numPr>
        <w:tabs>
          <w:tab w:val="left" w:pos="993"/>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у врачей 75 009 рублей или 199,0% среднемесячного дохода от трудовой деятельности (37 692 рубля); </w:t>
      </w:r>
    </w:p>
    <w:p w:rsidR="007E27CB" w:rsidRDefault="008F141F">
      <w:pPr>
        <w:pStyle w:val="a6"/>
        <w:numPr>
          <w:ilvl w:val="0"/>
          <w:numId w:val="39"/>
        </w:numPr>
        <w:tabs>
          <w:tab w:val="left" w:pos="993"/>
        </w:tabs>
        <w:spacing w:after="0" w:line="240" w:lineRule="auto"/>
        <w:ind w:left="0" w:firstLine="567"/>
        <w:jc w:val="both"/>
        <w:rPr>
          <w:rFonts w:ascii="Times New Roman" w:hAnsi="Times New Roman"/>
          <w:color w:val="000000" w:themeColor="text1"/>
          <w:sz w:val="24"/>
          <w:szCs w:val="24"/>
        </w:rPr>
      </w:pPr>
      <w:r>
        <w:rPr>
          <w:rFonts w:ascii="Times New Roman" w:hAnsi="Times New Roman"/>
          <w:sz w:val="24"/>
          <w:szCs w:val="24"/>
        </w:rPr>
        <w:t xml:space="preserve">у среднего медицинского персонала </w:t>
      </w:r>
      <w:r>
        <w:rPr>
          <w:rFonts w:ascii="Times New Roman" w:hAnsi="Times New Roman"/>
          <w:color w:val="000000" w:themeColor="text1"/>
          <w:sz w:val="24"/>
          <w:szCs w:val="24"/>
        </w:rPr>
        <w:t>37 855 рублей</w:t>
      </w:r>
      <w:r>
        <w:rPr>
          <w:rFonts w:ascii="Times New Roman" w:hAnsi="Times New Roman"/>
          <w:sz w:val="24"/>
          <w:szCs w:val="24"/>
        </w:rPr>
        <w:t xml:space="preserve"> или 100,4% среднемесячного дохода от трудовой деятельности;</w:t>
      </w:r>
    </w:p>
    <w:p w:rsidR="007E27CB" w:rsidRDefault="008F141F">
      <w:pPr>
        <w:pStyle w:val="a6"/>
        <w:numPr>
          <w:ilvl w:val="0"/>
          <w:numId w:val="39"/>
        </w:numPr>
        <w:tabs>
          <w:tab w:val="left" w:pos="993"/>
        </w:tabs>
        <w:spacing w:after="0" w:line="240" w:lineRule="auto"/>
        <w:ind w:left="0"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у младшего медицинского персонала 36 272 рубля или 96,2% среднемесячного дохода от трудовой деятельности (из-за более низкого уровня заработной платы в федеральных учреждениях здравоохранения). </w:t>
      </w:r>
    </w:p>
    <w:p w:rsidR="007E27CB" w:rsidRDefault="008F141F">
      <w:pPr>
        <w:spacing w:after="0" w:line="240" w:lineRule="auto"/>
        <w:ind w:firstLine="567"/>
        <w:jc w:val="both"/>
        <w:rPr>
          <w:color w:val="000000" w:themeColor="text1"/>
          <w:sz w:val="24"/>
          <w:szCs w:val="24"/>
        </w:rPr>
      </w:pPr>
      <w:r>
        <w:rPr>
          <w:color w:val="000000" w:themeColor="text1"/>
          <w:sz w:val="24"/>
          <w:szCs w:val="24"/>
        </w:rPr>
        <w:t xml:space="preserve">В целях решения проблемы кадрового дефицита в системе здравоохранения Томской области продолжена реализация программ «Земский доктор» и «Земский фельдшер». В ноябре 2019 года были исключены возрастные ограничения (50 лет) участников данного проекта, в связи с чем данные выплаты теперь могут быть предоставлены медицинским работникам в возрасте старше 50 лет. </w:t>
      </w:r>
    </w:p>
    <w:p w:rsidR="007E27CB" w:rsidRDefault="008F141F">
      <w:pPr>
        <w:spacing w:after="0" w:line="240" w:lineRule="auto"/>
        <w:ind w:firstLine="567"/>
        <w:jc w:val="both"/>
        <w:rPr>
          <w:rFonts w:eastAsia="Calibri"/>
          <w:color w:val="000000" w:themeColor="text1"/>
          <w:sz w:val="24"/>
          <w:szCs w:val="24"/>
        </w:rPr>
      </w:pPr>
      <w:r>
        <w:rPr>
          <w:rFonts w:eastAsia="Calibri"/>
          <w:color w:val="000000" w:themeColor="text1"/>
          <w:sz w:val="24"/>
          <w:szCs w:val="24"/>
        </w:rPr>
        <w:t xml:space="preserve">В 2019 году на выплату единовременных компенсационных выплат медицинским работникам в рамках проектов «Земский доктор» и «Земский фельдшер» направлено 82,5 млн. рублей (федеральный бюджет – 49,5 млн. рублей, областной бюджет – 33 млн. рублей), трудоустроено 95 специалистов, из них 70 врачей и 25 фельдшеров. </w:t>
      </w:r>
    </w:p>
    <w:p w:rsidR="007E27CB" w:rsidRDefault="007E27CB">
      <w:pPr>
        <w:spacing w:after="0" w:line="240" w:lineRule="auto"/>
        <w:ind w:firstLine="709"/>
        <w:jc w:val="both"/>
        <w:rPr>
          <w:b/>
          <w:color w:val="000000" w:themeColor="text1"/>
          <w:sz w:val="24"/>
          <w:szCs w:val="24"/>
        </w:rPr>
      </w:pPr>
    </w:p>
    <w:p w:rsidR="007E27CB" w:rsidRDefault="007E27CB">
      <w:pPr>
        <w:spacing w:after="0" w:line="240" w:lineRule="auto"/>
        <w:ind w:firstLine="709"/>
        <w:jc w:val="both"/>
        <w:rPr>
          <w:b/>
          <w:color w:val="000000" w:themeColor="text1"/>
          <w:sz w:val="24"/>
          <w:szCs w:val="24"/>
        </w:rPr>
      </w:pPr>
    </w:p>
    <w:p w:rsidR="007E27CB" w:rsidRDefault="008F141F">
      <w:pPr>
        <w:shd w:val="clear" w:color="auto" w:fill="F2F2F2" w:themeFill="background1" w:themeFillShade="F2"/>
        <w:tabs>
          <w:tab w:val="left" w:pos="4962"/>
        </w:tabs>
        <w:spacing w:after="0" w:line="240" w:lineRule="auto"/>
        <w:jc w:val="both"/>
        <w:rPr>
          <w:b/>
          <w:color w:val="000000" w:themeColor="text1"/>
          <w:sz w:val="24"/>
          <w:szCs w:val="24"/>
        </w:rPr>
      </w:pPr>
      <w:r>
        <w:rPr>
          <w:b/>
          <w:color w:val="000000" w:themeColor="text1"/>
          <w:sz w:val="24"/>
          <w:szCs w:val="24"/>
        </w:rPr>
        <w:lastRenderedPageBreak/>
        <w:t>Перспективные задачи</w:t>
      </w:r>
    </w:p>
    <w:p w:rsidR="007E27CB" w:rsidRDefault="007E27CB">
      <w:pPr>
        <w:spacing w:after="0" w:line="240" w:lineRule="auto"/>
        <w:jc w:val="both"/>
        <w:rPr>
          <w:b/>
          <w:color w:val="000000" w:themeColor="text1"/>
          <w:sz w:val="24"/>
          <w:szCs w:val="24"/>
        </w:rPr>
      </w:pPr>
    </w:p>
    <w:p w:rsidR="007E27CB" w:rsidRDefault="008F141F">
      <w:pPr>
        <w:pStyle w:val="a6"/>
        <w:numPr>
          <w:ilvl w:val="0"/>
          <w:numId w:val="141"/>
        </w:numPr>
        <w:tabs>
          <w:tab w:val="left" w:pos="284"/>
        </w:tabs>
        <w:spacing w:after="0" w:line="240" w:lineRule="auto"/>
        <w:ind w:left="0" w:firstLine="0"/>
        <w:jc w:val="both"/>
        <w:rPr>
          <w:rFonts w:ascii="Times New Roman" w:hAnsi="Times New Roman"/>
          <w:color w:val="000000" w:themeColor="text1"/>
          <w:sz w:val="24"/>
          <w:szCs w:val="24"/>
        </w:rPr>
      </w:pPr>
      <w:r>
        <w:rPr>
          <w:rFonts w:ascii="Times New Roman" w:hAnsi="Times New Roman"/>
          <w:color w:val="000000" w:themeColor="text1"/>
          <w:sz w:val="24"/>
          <w:szCs w:val="24"/>
        </w:rPr>
        <w:t>Разработка и утверждение региональной программы модернизации первичного звена здравоохранения.</w:t>
      </w:r>
    </w:p>
    <w:p w:rsidR="007E27CB" w:rsidRDefault="008F141F">
      <w:pPr>
        <w:pStyle w:val="a6"/>
        <w:numPr>
          <w:ilvl w:val="0"/>
          <w:numId w:val="141"/>
        </w:numPr>
        <w:tabs>
          <w:tab w:val="left" w:pos="284"/>
        </w:tabs>
        <w:spacing w:after="0" w:line="240" w:lineRule="auto"/>
        <w:ind w:left="0" w:firstLine="0"/>
        <w:jc w:val="both"/>
        <w:rPr>
          <w:rFonts w:ascii="Times New Roman" w:hAnsi="Times New Roman"/>
          <w:color w:val="000000" w:themeColor="text1"/>
          <w:sz w:val="24"/>
          <w:szCs w:val="24"/>
        </w:rPr>
      </w:pPr>
      <w:r>
        <w:rPr>
          <w:rFonts w:ascii="Times New Roman" w:hAnsi="Times New Roman"/>
          <w:color w:val="000000" w:themeColor="text1"/>
          <w:sz w:val="24"/>
          <w:szCs w:val="24"/>
        </w:rPr>
        <w:t>Оснащение медицинских организаций автотранспортом для перевозки медицинского персонала и пациентов, перевозки биологических материалов.</w:t>
      </w:r>
    </w:p>
    <w:p w:rsidR="007E27CB" w:rsidRDefault="008F141F">
      <w:pPr>
        <w:pStyle w:val="a6"/>
        <w:numPr>
          <w:ilvl w:val="0"/>
          <w:numId w:val="141"/>
        </w:numPr>
        <w:tabs>
          <w:tab w:val="left" w:pos="284"/>
        </w:tabs>
        <w:spacing w:after="0" w:line="240" w:lineRule="auto"/>
        <w:ind w:left="0" w:firstLine="0"/>
        <w:jc w:val="both"/>
        <w:rPr>
          <w:rFonts w:ascii="Times New Roman" w:hAnsi="Times New Roman"/>
          <w:color w:val="000000" w:themeColor="text1"/>
          <w:sz w:val="24"/>
          <w:szCs w:val="24"/>
        </w:rPr>
      </w:pPr>
      <w:r>
        <w:rPr>
          <w:rFonts w:ascii="Times New Roman" w:hAnsi="Times New Roman"/>
          <w:color w:val="000000" w:themeColor="text1"/>
          <w:sz w:val="24"/>
          <w:szCs w:val="24"/>
        </w:rPr>
        <w:t>С</w:t>
      </w:r>
      <w:r>
        <w:rPr>
          <w:rFonts w:ascii="Times New Roman" w:eastAsia="Times New Roman" w:hAnsi="Times New Roman"/>
          <w:color w:val="000000" w:themeColor="text1"/>
          <w:sz w:val="24"/>
          <w:szCs w:val="24"/>
          <w:lang w:eastAsia="ru-RU"/>
        </w:rPr>
        <w:t xml:space="preserve">троительство </w:t>
      </w:r>
      <w:r>
        <w:rPr>
          <w:rFonts w:ascii="Times New Roman" w:hAnsi="Times New Roman"/>
          <w:color w:val="000000" w:themeColor="text1"/>
          <w:sz w:val="24"/>
          <w:szCs w:val="24"/>
        </w:rPr>
        <w:t xml:space="preserve">в 2020 </w:t>
      </w:r>
      <w:r>
        <w:rPr>
          <w:color w:val="000000" w:themeColor="text1"/>
          <w:sz w:val="24"/>
          <w:szCs w:val="24"/>
        </w:rPr>
        <w:t xml:space="preserve">– </w:t>
      </w:r>
      <w:r>
        <w:rPr>
          <w:rFonts w:ascii="Times New Roman" w:hAnsi="Times New Roman"/>
          <w:color w:val="000000" w:themeColor="text1"/>
          <w:sz w:val="24"/>
          <w:szCs w:val="24"/>
        </w:rPr>
        <w:t xml:space="preserve">2021 годах </w:t>
      </w:r>
      <w:r>
        <w:rPr>
          <w:rFonts w:ascii="Times New Roman" w:eastAsia="Times New Roman" w:hAnsi="Times New Roman"/>
          <w:color w:val="000000" w:themeColor="text1"/>
          <w:sz w:val="24"/>
          <w:szCs w:val="24"/>
          <w:lang w:eastAsia="ru-RU"/>
        </w:rPr>
        <w:t>хирургического корпуса на 120 коек с поликлиникой на 200 посещений в смену ОГАУЗ «Томский областной онкологический диспансер».</w:t>
      </w:r>
    </w:p>
    <w:p w:rsidR="007E27CB" w:rsidRDefault="008F141F">
      <w:pPr>
        <w:pStyle w:val="a6"/>
        <w:numPr>
          <w:ilvl w:val="0"/>
          <w:numId w:val="141"/>
        </w:numPr>
        <w:tabs>
          <w:tab w:val="left" w:pos="284"/>
        </w:tabs>
        <w:spacing w:after="0" w:line="240" w:lineRule="auto"/>
        <w:ind w:left="0" w:firstLine="0"/>
        <w:jc w:val="both"/>
        <w:rPr>
          <w:rFonts w:ascii="Times New Roman" w:hAnsi="Times New Roman"/>
          <w:color w:val="000000" w:themeColor="text1"/>
          <w:sz w:val="24"/>
          <w:szCs w:val="24"/>
        </w:rPr>
      </w:pPr>
      <w:r>
        <w:rPr>
          <w:rFonts w:ascii="Times New Roman" w:hAnsi="Times New Roman"/>
          <w:sz w:val="24"/>
          <w:szCs w:val="24"/>
        </w:rPr>
        <w:t xml:space="preserve">Проведение за счет средств областного бюджета мероприятий по разработке проектно-сметной документации на строительство многопрофильной детской больницы на 550 коек с консультативной поликлиникой на 250 посещений в смену, поликлиники на 300 посещений в смену в с. Кривошеино, детской поликлиники на 200 п/смену в г. Асино, а также на капитальный ремонт организаций здравоохранения. Проведение работ по капитальному ремонту и благоустройству территорий больниц и поликлиник. </w:t>
      </w:r>
      <w:r>
        <w:rPr>
          <w:rFonts w:ascii="Times New Roman" w:hAnsi="Times New Roman"/>
          <w:color w:val="000000" w:themeColor="text1"/>
          <w:sz w:val="24"/>
          <w:szCs w:val="24"/>
        </w:rPr>
        <w:t>5. Приобретение 3 228 единиц автоматизированных рабочих мест медицинского персонала за счет средств областного и федерального бюджетов, что позволит заменить порядка 80% устаревшей компьютерной техники, используемой для работы в медицинской информационной системе Томской области.</w:t>
      </w:r>
    </w:p>
    <w:p w:rsidR="007E27CB" w:rsidRDefault="007E27CB">
      <w:pPr>
        <w:tabs>
          <w:tab w:val="left" w:pos="4962"/>
        </w:tabs>
        <w:spacing w:after="0" w:line="240" w:lineRule="auto"/>
        <w:jc w:val="both"/>
        <w:rPr>
          <w:rFonts w:eastAsia="Times New Roman"/>
          <w:b/>
          <w:sz w:val="24"/>
          <w:szCs w:val="24"/>
        </w:rPr>
      </w:pPr>
    </w:p>
    <w:p w:rsidR="007E27CB" w:rsidRDefault="008F141F">
      <w:pPr>
        <w:tabs>
          <w:tab w:val="left" w:pos="4962"/>
        </w:tabs>
        <w:spacing w:after="0" w:line="240" w:lineRule="auto"/>
        <w:jc w:val="both"/>
        <w:rPr>
          <w:rFonts w:eastAsia="Times New Roman"/>
          <w:b/>
          <w:sz w:val="24"/>
          <w:szCs w:val="24"/>
        </w:rPr>
      </w:pPr>
      <w:r>
        <w:rPr>
          <w:rFonts w:eastAsia="Times New Roman"/>
          <w:b/>
          <w:sz w:val="24"/>
          <w:szCs w:val="24"/>
        </w:rPr>
        <w:t>3.2. Содействие повышению качества образования</w:t>
      </w:r>
      <w:r>
        <w:rPr>
          <w:rStyle w:val="af3"/>
          <w:rFonts w:eastAsia="Times New Roman"/>
          <w:b/>
          <w:sz w:val="24"/>
          <w:szCs w:val="24"/>
        </w:rPr>
        <w:footnoteReference w:id="13"/>
      </w:r>
    </w:p>
    <w:p w:rsidR="007E27CB" w:rsidRDefault="007E27CB">
      <w:pPr>
        <w:tabs>
          <w:tab w:val="left" w:pos="4962"/>
        </w:tabs>
        <w:spacing w:after="0" w:line="240" w:lineRule="auto"/>
        <w:ind w:hanging="567"/>
        <w:jc w:val="both"/>
        <w:rPr>
          <w:rFonts w:eastAsia="Times New Roman"/>
          <w:b/>
          <w:color w:val="FF0000"/>
          <w:sz w:val="24"/>
          <w:szCs w:val="24"/>
        </w:rPr>
      </w:pPr>
    </w:p>
    <w:p w:rsidR="007E27CB" w:rsidRDefault="008F141F">
      <w:pPr>
        <w:spacing w:line="240" w:lineRule="auto"/>
        <w:ind w:firstLine="567"/>
        <w:jc w:val="both"/>
        <w:rPr>
          <w:sz w:val="24"/>
          <w:szCs w:val="24"/>
        </w:rPr>
      </w:pPr>
      <w:r>
        <w:rPr>
          <w:sz w:val="24"/>
          <w:szCs w:val="24"/>
        </w:rPr>
        <w:t>Повышение эффективности и качества образования – одно из базовых направлений реализации государственной политики как в Российской Федерации, так и на территории Томской области, нацеленное на обеспечение глобальной конкурентоспособности российского образования. Данная задача в Томской области реализовывалась в рамках государственной программы «Развитие образования в Томской области» и Стратегии развития социальной сферы.</w:t>
      </w:r>
    </w:p>
    <w:p w:rsidR="007E27CB" w:rsidRDefault="008F141F">
      <w:pPr>
        <w:spacing w:after="0" w:line="240" w:lineRule="auto"/>
        <w:ind w:firstLine="567"/>
        <w:jc w:val="both"/>
        <w:rPr>
          <w:b/>
          <w:sz w:val="24"/>
          <w:szCs w:val="24"/>
        </w:rPr>
      </w:pPr>
      <w:r>
        <w:rPr>
          <w:b/>
          <w:sz w:val="24"/>
          <w:szCs w:val="24"/>
        </w:rPr>
        <w:t>ДОШКОЛЬНОЕ ОБРАЗОВАНИЕ</w:t>
      </w:r>
    </w:p>
    <w:p w:rsidR="007E27CB" w:rsidRDefault="007E27CB">
      <w:pPr>
        <w:spacing w:after="0" w:line="240" w:lineRule="auto"/>
        <w:ind w:firstLine="567"/>
        <w:jc w:val="both"/>
        <w:rPr>
          <w:b/>
          <w:sz w:val="24"/>
          <w:szCs w:val="24"/>
        </w:rPr>
      </w:pPr>
    </w:p>
    <w:p w:rsidR="007E27CB" w:rsidRDefault="008F141F">
      <w:pPr>
        <w:spacing w:after="0" w:line="240" w:lineRule="auto"/>
        <w:ind w:firstLine="567"/>
        <w:jc w:val="both"/>
        <w:rPr>
          <w:sz w:val="24"/>
          <w:szCs w:val="24"/>
        </w:rPr>
      </w:pPr>
      <w:r>
        <w:rPr>
          <w:sz w:val="24"/>
          <w:szCs w:val="24"/>
        </w:rPr>
        <w:t xml:space="preserve">В 2019 году на территории Томской области продолжено выполнение Указа Президента Российской Федерации от 07.05.2012 № 599 «О мерах по реализации государственной политики в области образования и науки» в части обеспечения 100% доступности дошкольного образования для детей в возрасте от 3 до 7 лет. Актуальная очередь детей в данной возрастной категории составила 0 человек. </w:t>
      </w:r>
    </w:p>
    <w:p w:rsidR="007E27CB" w:rsidRDefault="008F141F">
      <w:pPr>
        <w:spacing w:after="0" w:line="240" w:lineRule="auto"/>
        <w:ind w:firstLine="567"/>
        <w:jc w:val="both"/>
        <w:rPr>
          <w:sz w:val="24"/>
          <w:szCs w:val="24"/>
          <w:shd w:val="clear" w:color="auto" w:fill="D6E3BC" w:themeFill="accent3" w:themeFillTint="66"/>
        </w:rPr>
      </w:pPr>
      <w:r>
        <w:rPr>
          <w:sz w:val="24"/>
          <w:szCs w:val="24"/>
        </w:rPr>
        <w:t xml:space="preserve">С целью сохранения обеспеченности дошкольным образованием данной возрастной категории в двух муниципальных образовательных организациях, осуществляющих образовательную деятельность по дошкольному образованию, созданы </w:t>
      </w:r>
      <w:r>
        <w:rPr>
          <w:sz w:val="24"/>
          <w:szCs w:val="24"/>
        </w:rPr>
        <w:br/>
        <w:t xml:space="preserve">46 дополнительных мест для детей в возрасте с 3 лет (в г. Томск на ул. Береговая и в Кожевниковском районе). </w:t>
      </w:r>
    </w:p>
    <w:p w:rsidR="007E27CB" w:rsidRDefault="008F141F">
      <w:pPr>
        <w:spacing w:after="0" w:line="240" w:lineRule="auto"/>
        <w:ind w:firstLine="567"/>
        <w:jc w:val="both"/>
        <w:rPr>
          <w:sz w:val="24"/>
          <w:szCs w:val="24"/>
        </w:rPr>
      </w:pPr>
      <w:r>
        <w:rPr>
          <w:sz w:val="24"/>
          <w:szCs w:val="24"/>
        </w:rPr>
        <w:t xml:space="preserve">Показатель доступности дошкольного образования для детей в возрасте от полутора до трех лет в рамках реализации регионального проекта «Содействие занятости женщин – создание условий дошкольного образования для детей в возрасте до трех лет» национального проекта «Демография» по состоянию на 31.12.2019 составляет - 86% </w:t>
      </w:r>
      <w:r>
        <w:rPr>
          <w:sz w:val="24"/>
          <w:szCs w:val="24"/>
        </w:rPr>
        <w:br/>
        <w:t>(с учетом актуальной очереди АИС «Комплектование ДОО»).</w:t>
      </w:r>
    </w:p>
    <w:p w:rsidR="007E27CB" w:rsidRDefault="008F141F">
      <w:pPr>
        <w:spacing w:after="0" w:line="240" w:lineRule="auto"/>
        <w:ind w:firstLine="567"/>
        <w:jc w:val="both"/>
        <w:rPr>
          <w:sz w:val="24"/>
          <w:szCs w:val="24"/>
        </w:rPr>
      </w:pPr>
      <w:r>
        <w:rPr>
          <w:sz w:val="24"/>
          <w:szCs w:val="24"/>
        </w:rPr>
        <w:t>В рамках реализации регионального проекта в 2019 году:</w:t>
      </w:r>
    </w:p>
    <w:p w:rsidR="007E27CB" w:rsidRDefault="008F141F">
      <w:pPr>
        <w:pStyle w:val="a6"/>
        <w:numPr>
          <w:ilvl w:val="0"/>
          <w:numId w:val="41"/>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создано 4 детских сада в г. Томске, Томском, Первомайском, Молчановском районах общей пропускной способностью 490 мест (из них 180 ясельных мест). </w:t>
      </w:r>
      <w:r>
        <w:rPr>
          <w:rFonts w:ascii="Times New Roman" w:hAnsi="Times New Roman"/>
          <w:sz w:val="24"/>
          <w:szCs w:val="24"/>
        </w:rPr>
        <w:lastRenderedPageBreak/>
        <w:t>Компенсирующие мероприятия при выкупе новых объектов 2019 года реализованы в полном объеме;</w:t>
      </w:r>
    </w:p>
    <w:p w:rsidR="007E27CB" w:rsidRDefault="008F141F">
      <w:pPr>
        <w:pStyle w:val="a6"/>
        <w:numPr>
          <w:ilvl w:val="0"/>
          <w:numId w:val="41"/>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создано 45 мест для детей в возрасте до 3 лет в двух объектах г. Томска в дошкольных организациях негосударственного сектора;</w:t>
      </w:r>
    </w:p>
    <w:p w:rsidR="007E27CB" w:rsidRDefault="008F141F">
      <w:pPr>
        <w:pStyle w:val="a6"/>
        <w:numPr>
          <w:ilvl w:val="0"/>
          <w:numId w:val="41"/>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создано 484 ясельных места путем перепрофилирования и дооснащения в действующих муниципальных образовательных организациях, осуществляющих образовательную деятельность по дошкольному образованию (г. Томск, Томский, Первомайский, Молчановский, Парабельский, Тегульдетский, Каргасокский, Колпашевский районы), из них 310 мест – компенсирующие при выкупе новых детских садов в 2019 году. </w:t>
      </w:r>
    </w:p>
    <w:p w:rsidR="007E27CB" w:rsidRDefault="008F141F">
      <w:pPr>
        <w:spacing w:after="0" w:line="240" w:lineRule="auto"/>
        <w:ind w:firstLine="567"/>
        <w:jc w:val="both"/>
        <w:rPr>
          <w:sz w:val="24"/>
          <w:szCs w:val="24"/>
        </w:rPr>
      </w:pPr>
      <w:r>
        <w:rPr>
          <w:sz w:val="24"/>
          <w:szCs w:val="24"/>
        </w:rPr>
        <w:t xml:space="preserve">Всего за 2019 год в Томской области создано более тысячи дополнительных мест, из них более 700 ясельных.  </w:t>
      </w:r>
    </w:p>
    <w:p w:rsidR="007E27CB" w:rsidRDefault="008F141F">
      <w:pPr>
        <w:spacing w:after="0" w:line="240" w:lineRule="auto"/>
        <w:ind w:firstLine="567"/>
        <w:jc w:val="both"/>
        <w:rPr>
          <w:sz w:val="24"/>
          <w:szCs w:val="24"/>
        </w:rPr>
      </w:pPr>
      <w:r>
        <w:rPr>
          <w:sz w:val="24"/>
          <w:szCs w:val="24"/>
        </w:rPr>
        <w:t xml:space="preserve">По состоянию на 01.01.2020 в негосударственном секторе рынка дошкольного образования (г. Томск, Томский район) находится 40 учреждений. Из них лицензию  на образовательную деятельность имеют 14 организаций, все они функционируют в               г. Томске (АНО – 9; частные ДОО – 2; ОО – 2; ИП – 1). Частных предпринимателей, оказывающих услуги присмотра и ухода, – 26 (функционируют по 37 адресам в г. Томске и Томском районе), из них 2 </w:t>
      </w:r>
      <w:r>
        <w:rPr>
          <w:color w:val="000000" w:themeColor="text1"/>
          <w:sz w:val="24"/>
          <w:szCs w:val="24"/>
        </w:rPr>
        <w:t xml:space="preserve">– </w:t>
      </w:r>
      <w:r>
        <w:rPr>
          <w:sz w:val="24"/>
          <w:szCs w:val="24"/>
        </w:rPr>
        <w:t>в Томском районе. Посещают негосударственные организации дошкольного образования 3 549 детей.</w:t>
      </w:r>
    </w:p>
    <w:p w:rsidR="007E27CB" w:rsidRDefault="008F141F">
      <w:pPr>
        <w:pStyle w:val="a6"/>
        <w:tabs>
          <w:tab w:val="left" w:pos="567"/>
        </w:tabs>
        <w:spacing w:after="0" w:line="240" w:lineRule="auto"/>
        <w:ind w:left="0" w:firstLine="567"/>
        <w:jc w:val="both"/>
        <w:rPr>
          <w:rFonts w:ascii="Times New Roman" w:hAnsi="Times New Roman"/>
          <w:sz w:val="24"/>
          <w:szCs w:val="24"/>
        </w:rPr>
      </w:pPr>
      <w:r>
        <w:rPr>
          <w:rFonts w:ascii="Times New Roman" w:hAnsi="Times New Roman"/>
          <w:sz w:val="24"/>
          <w:szCs w:val="24"/>
        </w:rPr>
        <w:t>Средняя заработная плата педагогических работников дошкольных образовательных организаций, подпадающих под действие Указа Президента Российской Федерации от 07.05.2012 № 597 «О мероприятиях по реализации государственной социальной политики», в 2019 году составила 33</w:t>
      </w:r>
      <w:r>
        <w:rPr>
          <w:rFonts w:ascii="Times New Roman" w:hAnsi="Times New Roman"/>
          <w:color w:val="000000" w:themeColor="text1"/>
          <w:sz w:val="24"/>
          <w:szCs w:val="24"/>
        </w:rPr>
        <w:t> </w:t>
      </w:r>
      <w:r>
        <w:rPr>
          <w:rFonts w:ascii="Times New Roman" w:hAnsi="Times New Roman"/>
          <w:sz w:val="24"/>
          <w:szCs w:val="24"/>
        </w:rPr>
        <w:t>775 рублей. Соотношение средней заработной платы в общем образовании в Томской области составило 97,8%.</w:t>
      </w:r>
    </w:p>
    <w:p w:rsidR="007E27CB" w:rsidRDefault="007E27CB">
      <w:pPr>
        <w:pStyle w:val="a6"/>
        <w:tabs>
          <w:tab w:val="left" w:pos="567"/>
        </w:tabs>
        <w:spacing w:after="0" w:line="240" w:lineRule="auto"/>
        <w:ind w:left="0" w:firstLine="567"/>
        <w:jc w:val="both"/>
        <w:rPr>
          <w:sz w:val="24"/>
          <w:szCs w:val="24"/>
        </w:rPr>
      </w:pPr>
    </w:p>
    <w:p w:rsidR="007E27CB" w:rsidRDefault="008F141F">
      <w:pPr>
        <w:shd w:val="clear" w:color="auto" w:fill="F2F2F2" w:themeFill="background1" w:themeFillShade="F2"/>
        <w:tabs>
          <w:tab w:val="left" w:pos="4962"/>
        </w:tabs>
        <w:spacing w:after="0" w:line="240" w:lineRule="auto"/>
        <w:jc w:val="both"/>
        <w:rPr>
          <w:b/>
          <w:color w:val="000000" w:themeColor="text1"/>
          <w:sz w:val="24"/>
          <w:szCs w:val="24"/>
        </w:rPr>
      </w:pPr>
      <w:r>
        <w:rPr>
          <w:b/>
          <w:color w:val="000000" w:themeColor="text1"/>
          <w:sz w:val="24"/>
          <w:szCs w:val="24"/>
        </w:rPr>
        <w:t>Перспективные задачи</w:t>
      </w:r>
    </w:p>
    <w:p w:rsidR="007E27CB" w:rsidRDefault="007E27CB">
      <w:pPr>
        <w:pStyle w:val="a6"/>
        <w:tabs>
          <w:tab w:val="left" w:pos="284"/>
        </w:tabs>
        <w:spacing w:after="0" w:line="240" w:lineRule="auto"/>
        <w:ind w:left="0"/>
        <w:jc w:val="both"/>
        <w:rPr>
          <w:rFonts w:ascii="Times New Roman" w:hAnsi="Times New Roman"/>
          <w:b/>
          <w:sz w:val="24"/>
          <w:szCs w:val="24"/>
        </w:rPr>
      </w:pPr>
    </w:p>
    <w:p w:rsidR="007E27CB" w:rsidRDefault="008F141F">
      <w:pPr>
        <w:pStyle w:val="a6"/>
        <w:numPr>
          <w:ilvl w:val="0"/>
          <w:numId w:val="40"/>
        </w:numPr>
        <w:tabs>
          <w:tab w:val="left" w:pos="284"/>
        </w:tabs>
        <w:spacing w:after="0" w:line="240" w:lineRule="auto"/>
        <w:ind w:left="0" w:firstLine="0"/>
        <w:jc w:val="both"/>
        <w:rPr>
          <w:rFonts w:ascii="Times New Roman" w:hAnsi="Times New Roman"/>
          <w:b/>
          <w:sz w:val="24"/>
          <w:szCs w:val="24"/>
        </w:rPr>
      </w:pPr>
      <w:r>
        <w:rPr>
          <w:rFonts w:ascii="Times New Roman" w:hAnsi="Times New Roman"/>
          <w:sz w:val="24"/>
          <w:szCs w:val="24"/>
        </w:rPr>
        <w:t>Сохранение 100-процентного охвата услугами дошкольного образования детей в возрасте от 3 до 7 лет, в том числе за счет развития негосударственного сектора дошкольного образования.</w:t>
      </w:r>
    </w:p>
    <w:p w:rsidR="007E27CB" w:rsidRDefault="008F141F">
      <w:pPr>
        <w:pStyle w:val="a6"/>
        <w:numPr>
          <w:ilvl w:val="0"/>
          <w:numId w:val="40"/>
        </w:numPr>
        <w:tabs>
          <w:tab w:val="left" w:pos="284"/>
        </w:tabs>
        <w:spacing w:after="0" w:line="240" w:lineRule="auto"/>
        <w:ind w:left="0" w:firstLine="0"/>
        <w:jc w:val="both"/>
        <w:rPr>
          <w:rFonts w:ascii="Times New Roman" w:hAnsi="Times New Roman"/>
          <w:b/>
          <w:sz w:val="24"/>
          <w:szCs w:val="24"/>
        </w:rPr>
      </w:pPr>
      <w:r>
        <w:rPr>
          <w:rFonts w:ascii="Times New Roman" w:hAnsi="Times New Roman"/>
          <w:sz w:val="24"/>
          <w:szCs w:val="24"/>
        </w:rPr>
        <w:t>Обеспечение доступности дошкольного образования для детей в возрасте до 3 лет, в том числе за счет привлечения некоммерческих организаций и частного бизнеса.</w:t>
      </w:r>
    </w:p>
    <w:p w:rsidR="007E27CB" w:rsidRDefault="008F141F">
      <w:pPr>
        <w:pStyle w:val="a6"/>
        <w:numPr>
          <w:ilvl w:val="0"/>
          <w:numId w:val="40"/>
        </w:numPr>
        <w:tabs>
          <w:tab w:val="left" w:pos="284"/>
        </w:tabs>
        <w:spacing w:after="0" w:line="240" w:lineRule="auto"/>
        <w:ind w:left="0" w:firstLine="0"/>
        <w:jc w:val="both"/>
        <w:rPr>
          <w:rFonts w:ascii="Times New Roman" w:hAnsi="Times New Roman"/>
          <w:b/>
          <w:sz w:val="24"/>
          <w:szCs w:val="24"/>
        </w:rPr>
      </w:pPr>
      <w:r>
        <w:rPr>
          <w:rFonts w:ascii="Times New Roman" w:hAnsi="Times New Roman"/>
          <w:sz w:val="24"/>
          <w:szCs w:val="24"/>
        </w:rPr>
        <w:t>Продолжение работы по обеспечению доступности объектов и услуг дошкольного, общего и дополнительного образования для детей-инвалидов.</w:t>
      </w:r>
    </w:p>
    <w:p w:rsidR="007E27CB" w:rsidRDefault="008F141F">
      <w:pPr>
        <w:pStyle w:val="a6"/>
        <w:numPr>
          <w:ilvl w:val="0"/>
          <w:numId w:val="40"/>
        </w:numPr>
        <w:tabs>
          <w:tab w:val="left" w:pos="284"/>
        </w:tabs>
        <w:spacing w:after="0" w:line="240" w:lineRule="auto"/>
        <w:ind w:left="0" w:firstLine="0"/>
        <w:jc w:val="both"/>
        <w:rPr>
          <w:rFonts w:ascii="Times New Roman" w:hAnsi="Times New Roman"/>
          <w:sz w:val="24"/>
          <w:szCs w:val="24"/>
        </w:rPr>
      </w:pPr>
      <w:r>
        <w:rPr>
          <w:rFonts w:ascii="Times New Roman" w:hAnsi="Times New Roman"/>
          <w:sz w:val="24"/>
          <w:szCs w:val="24"/>
        </w:rPr>
        <w:t>Привязка к территории строительства проектной документации на 8 детских садов в     г. Томске (4 детских сада по 220 мест, 4 детских сада по 145 мест).</w:t>
      </w:r>
    </w:p>
    <w:p w:rsidR="007E27CB" w:rsidRDefault="008F141F">
      <w:pPr>
        <w:pStyle w:val="a6"/>
        <w:numPr>
          <w:ilvl w:val="0"/>
          <w:numId w:val="40"/>
        </w:numPr>
        <w:tabs>
          <w:tab w:val="left" w:pos="284"/>
        </w:tabs>
        <w:spacing w:after="0" w:line="240" w:lineRule="auto"/>
        <w:ind w:left="0" w:firstLine="0"/>
        <w:jc w:val="both"/>
        <w:rPr>
          <w:rFonts w:ascii="Times New Roman" w:hAnsi="Times New Roman"/>
          <w:sz w:val="24"/>
          <w:szCs w:val="24"/>
        </w:rPr>
      </w:pPr>
      <w:r>
        <w:rPr>
          <w:rFonts w:ascii="Times New Roman" w:hAnsi="Times New Roman"/>
          <w:sz w:val="24"/>
          <w:szCs w:val="24"/>
        </w:rPr>
        <w:t>Проведение в рамках государственной программы Российской Федерации «Комплексное развитие сельских территорий» капитального ремонта здания МКДОУ «ЦРР детский сад «Колокольчик» с. Кожевниково Кожевниковского района.</w:t>
      </w:r>
    </w:p>
    <w:p w:rsidR="007E27CB" w:rsidRDefault="007E27CB">
      <w:pPr>
        <w:tabs>
          <w:tab w:val="left" w:pos="4962"/>
        </w:tabs>
        <w:spacing w:after="0" w:line="240" w:lineRule="auto"/>
        <w:contextualSpacing/>
        <w:rPr>
          <w:b/>
          <w:sz w:val="24"/>
          <w:szCs w:val="24"/>
        </w:rPr>
      </w:pPr>
    </w:p>
    <w:p w:rsidR="007E27CB" w:rsidRDefault="008F141F">
      <w:pPr>
        <w:spacing w:after="0" w:line="240" w:lineRule="auto"/>
        <w:ind w:firstLine="567"/>
        <w:jc w:val="both"/>
        <w:rPr>
          <w:b/>
          <w:sz w:val="24"/>
          <w:szCs w:val="24"/>
        </w:rPr>
      </w:pPr>
      <w:r>
        <w:rPr>
          <w:b/>
          <w:sz w:val="24"/>
          <w:szCs w:val="24"/>
        </w:rPr>
        <w:t>ОБЩЕЕ ОБРАЗОВАНИЕ</w:t>
      </w:r>
    </w:p>
    <w:p w:rsidR="007E27CB" w:rsidRDefault="007E27CB">
      <w:pPr>
        <w:spacing w:after="0" w:line="240" w:lineRule="auto"/>
        <w:ind w:firstLine="567"/>
        <w:jc w:val="both"/>
        <w:rPr>
          <w:sz w:val="24"/>
          <w:szCs w:val="24"/>
        </w:rPr>
      </w:pPr>
    </w:p>
    <w:p w:rsidR="007E27CB" w:rsidRDefault="008F141F">
      <w:pPr>
        <w:spacing w:after="0" w:line="240" w:lineRule="auto"/>
        <w:ind w:firstLine="567"/>
        <w:jc w:val="both"/>
        <w:rPr>
          <w:sz w:val="24"/>
          <w:szCs w:val="24"/>
        </w:rPr>
      </w:pPr>
      <w:r>
        <w:rPr>
          <w:sz w:val="24"/>
          <w:szCs w:val="24"/>
        </w:rPr>
        <w:t>Развитие системы общего образования в 2019 году сконцентрировано на создании современной образовательной среды и предоставлении равных возможностей для получения образования.</w:t>
      </w:r>
    </w:p>
    <w:p w:rsidR="007E27CB" w:rsidRDefault="008F141F">
      <w:pPr>
        <w:spacing w:after="0" w:line="240" w:lineRule="auto"/>
        <w:ind w:firstLine="567"/>
        <w:jc w:val="both"/>
        <w:rPr>
          <w:sz w:val="24"/>
          <w:szCs w:val="24"/>
          <w:shd w:val="clear" w:color="auto" w:fill="FFFFFF" w:themeFill="background1"/>
        </w:rPr>
      </w:pPr>
      <w:r>
        <w:rPr>
          <w:sz w:val="24"/>
          <w:szCs w:val="24"/>
        </w:rPr>
        <w:t xml:space="preserve">Общая численность обучающихся в общеобразовательных организациях (с учетом областных и частных школ) </w:t>
      </w:r>
      <w:r>
        <w:rPr>
          <w:sz w:val="24"/>
          <w:szCs w:val="24"/>
          <w:shd w:val="clear" w:color="auto" w:fill="FFFFFF" w:themeFill="background1"/>
        </w:rPr>
        <w:t xml:space="preserve">в 2019 году составила 120 731 чел. (в 2018 году – 117 918 чел.). </w:t>
      </w:r>
    </w:p>
    <w:p w:rsidR="007E27CB" w:rsidRDefault="008F141F">
      <w:pPr>
        <w:spacing w:after="0" w:line="240" w:lineRule="auto"/>
        <w:ind w:firstLine="567"/>
        <w:jc w:val="both"/>
        <w:rPr>
          <w:sz w:val="24"/>
          <w:szCs w:val="24"/>
          <w:shd w:val="clear" w:color="auto" w:fill="FFFFFF" w:themeFill="background1"/>
        </w:rPr>
      </w:pPr>
      <w:r>
        <w:rPr>
          <w:sz w:val="24"/>
          <w:szCs w:val="24"/>
        </w:rPr>
        <w:t xml:space="preserve">По состоянию на начало 2019/2020 учебного года в Томской области функционировало 314 общеобразовательных организаций: 6 начальных школ, 1 учреждение типа «начальная школа – детский сад», 62 основные общеобразовательные школы, 194 средние школы, 13 специальных (коррекционных) образовательных </w:t>
      </w:r>
      <w:r>
        <w:rPr>
          <w:sz w:val="24"/>
          <w:szCs w:val="24"/>
        </w:rPr>
        <w:lastRenderedPageBreak/>
        <w:t>учреждений для обучающихся, воспитанников с ограниченными возможностями здоровья, 1 специальное учебно-воспитательное учреждение для детей и подростков с девиантным поведением, 1 оздоровительное образовательное учреждение санаторного типа для детей, нуждающихся в длительном лечении, 1 образовательное учреждение для детей, нуждающихся в психолого-педагогической и медико-социальной помощи, 13 гимназий, 12 лицеев, 3 кадетские школы-интернаты, 3 вечерние (сменные) школы,             4 частных общеобразовательных организации.</w:t>
      </w:r>
    </w:p>
    <w:p w:rsidR="007E27CB" w:rsidRDefault="008F141F">
      <w:pPr>
        <w:spacing w:after="0" w:line="240" w:lineRule="auto"/>
        <w:ind w:firstLine="567"/>
        <w:jc w:val="both"/>
        <w:rPr>
          <w:sz w:val="24"/>
          <w:szCs w:val="24"/>
        </w:rPr>
      </w:pPr>
      <w:r>
        <w:rPr>
          <w:sz w:val="24"/>
          <w:szCs w:val="24"/>
        </w:rPr>
        <w:t>В рамках реализации регионального проекта «Современная школа» национального проекта «Образование» в 2019 году продолжена работа по сохранению имеющихся мест – проводится капитальный ремонт в школах: «Белоярская СОШ №1» в Верхнекетском районе, «Могочинская СОШ» в Молчановком районе, «Коломиногривская СОШ» (разработка ПСД) и «Подгорнская СОШ» в Чаинском районе.</w:t>
      </w:r>
    </w:p>
    <w:p w:rsidR="007E27CB" w:rsidRDefault="008F141F">
      <w:pPr>
        <w:spacing w:after="0" w:line="240" w:lineRule="auto"/>
        <w:ind w:firstLine="567"/>
        <w:jc w:val="both"/>
        <w:rPr>
          <w:sz w:val="24"/>
          <w:szCs w:val="24"/>
        </w:rPr>
      </w:pPr>
      <w:r>
        <w:rPr>
          <w:sz w:val="24"/>
          <w:szCs w:val="24"/>
        </w:rPr>
        <w:t xml:space="preserve">В марте – апреле 2019 года прошел заключительный этап Всероссийской олимпиады школьников. Томскую область представляли школьники по 22 общеобразовательным предметам. Количество победителей и призеров регионального этапа Всероссийской олимпиады школьников составило 73 и 322 ученика соответственно.  </w:t>
      </w:r>
    </w:p>
    <w:p w:rsidR="007E27CB" w:rsidRDefault="008F141F">
      <w:pPr>
        <w:spacing w:after="0" w:line="240" w:lineRule="auto"/>
        <w:ind w:firstLine="567"/>
        <w:jc w:val="both"/>
        <w:rPr>
          <w:sz w:val="24"/>
          <w:szCs w:val="24"/>
        </w:rPr>
      </w:pPr>
      <w:r>
        <w:rPr>
          <w:sz w:val="24"/>
          <w:szCs w:val="24"/>
        </w:rPr>
        <w:t>В отчетном периоде приобретено 27 школьных автобусов (12 поступили за счет средств федерального бюджета, 14 – приобретено на условиях софинансирования: из областного бюджета – 15,0 млн. рублей и местного бюджета – 15,0 млн. рублей, 1 школьный автобус приобретен полностью за счет средств областного бюджета – 3,6 млн. рублей). Автотранспортные средства распределены в муниципальные общеобразовательные организации, наиболее остро нуждающиеся в приобретении и замене школьных автобусов.</w:t>
      </w:r>
    </w:p>
    <w:p w:rsidR="007E27CB" w:rsidRDefault="008F141F">
      <w:pPr>
        <w:spacing w:after="0" w:line="240" w:lineRule="auto"/>
        <w:ind w:firstLine="567"/>
        <w:jc w:val="both"/>
        <w:rPr>
          <w:sz w:val="24"/>
          <w:szCs w:val="24"/>
        </w:rPr>
      </w:pPr>
      <w:r>
        <w:rPr>
          <w:sz w:val="24"/>
          <w:szCs w:val="24"/>
        </w:rPr>
        <w:t>В 2019 году продолжена работа по взаимодействию с негосударственными коммерческими организациями по вопросам предоставления психолого-педагогических услуг детям с ОВЗ и инвалидностью. 100 детей-инвалидов Томской области смогли получить бесплатные услуги психолого-педагогического сопровождения.</w:t>
      </w:r>
    </w:p>
    <w:p w:rsidR="007E27CB" w:rsidRDefault="008F141F">
      <w:pPr>
        <w:spacing w:after="0" w:line="240" w:lineRule="auto"/>
        <w:ind w:firstLine="567"/>
        <w:jc w:val="both"/>
        <w:rPr>
          <w:sz w:val="24"/>
          <w:szCs w:val="24"/>
        </w:rPr>
      </w:pPr>
      <w:r>
        <w:rPr>
          <w:sz w:val="24"/>
          <w:szCs w:val="24"/>
        </w:rPr>
        <w:t>В 2019 году в Томской области были созданы все необходимые организационные условия для обеспечения объективного проведения единого государственного экзамена (далее по разделу – ЕГЭ) – наблюдается уменьшение количества удалений с ЕГЭ за нарушение порядка проведения государственной итоговой аттестации (в 2019 г. – 1 случай, в 2018 г. – 4 случая).</w:t>
      </w:r>
    </w:p>
    <w:p w:rsidR="007E27CB" w:rsidRDefault="008F141F">
      <w:pPr>
        <w:spacing w:after="0" w:line="240" w:lineRule="auto"/>
        <w:ind w:firstLine="567"/>
        <w:jc w:val="both"/>
        <w:rPr>
          <w:sz w:val="24"/>
          <w:szCs w:val="24"/>
        </w:rPr>
      </w:pPr>
      <w:r>
        <w:rPr>
          <w:sz w:val="24"/>
          <w:szCs w:val="24"/>
        </w:rPr>
        <w:t>Доля выпускников государственных муниципальных общеобразовательных организаций, не сдавших единый государственный экзамен (по русскому языку и математике), в 2019 году составила 1% (в 2018 – 0,04%) при плановом значении 1,66%.</w:t>
      </w:r>
    </w:p>
    <w:p w:rsidR="007E27CB" w:rsidRDefault="008F141F">
      <w:pPr>
        <w:spacing w:after="0" w:line="240" w:lineRule="auto"/>
        <w:ind w:firstLine="567"/>
        <w:jc w:val="both"/>
        <w:rPr>
          <w:sz w:val="24"/>
          <w:szCs w:val="24"/>
        </w:rPr>
      </w:pPr>
      <w:r>
        <w:rPr>
          <w:sz w:val="24"/>
          <w:szCs w:val="24"/>
        </w:rPr>
        <w:t>В 2019 году по результатам ЕГЭ на 100 баллов было оценено 69 работ выпускников 11-х классов (64 человека), при этом один выпускник получил максимальный балл одновременно по трем предметам ЕГЭ и три выпускника – по двум предметам (в 2018 г. – 57 работ у 52 выпускников получили одновременно 100 баллов: по трем предметам – один выпускник, по двум предметам – три выпускника). Увеличилось и количество ребят, набравших от 81 балла до 100 баллов (2019 г. – 2 291 высокобалльный результат,               в 2018 г. – 2 162).</w:t>
      </w:r>
    </w:p>
    <w:p w:rsidR="007E27CB" w:rsidRDefault="008F141F">
      <w:pPr>
        <w:spacing w:after="0" w:line="240" w:lineRule="auto"/>
        <w:ind w:firstLine="567"/>
        <w:jc w:val="both"/>
        <w:rPr>
          <w:sz w:val="24"/>
          <w:szCs w:val="24"/>
        </w:rPr>
      </w:pPr>
      <w:r>
        <w:rPr>
          <w:sz w:val="24"/>
          <w:szCs w:val="24"/>
        </w:rPr>
        <w:t>По итогам 2019 года средняя заработная плата педагогических работников общеобразовательных организаций, подпадающих под действие Указа Президента Российской Федерации от 07.05.2012 № 597 «О мероприятиях по реализации государственной социальной политики», составила 36 729 рублей. Соотношение к среднемесячному доходу от трудовой деятельности по Томской области составило 97,4%.</w:t>
      </w:r>
    </w:p>
    <w:p w:rsidR="007E27CB" w:rsidRDefault="007E27CB">
      <w:pPr>
        <w:spacing w:after="0" w:line="240" w:lineRule="auto"/>
        <w:ind w:firstLine="567"/>
        <w:jc w:val="both"/>
        <w:rPr>
          <w:sz w:val="24"/>
          <w:szCs w:val="24"/>
        </w:rPr>
      </w:pPr>
    </w:p>
    <w:p w:rsidR="007E27CB" w:rsidRDefault="008F141F">
      <w:pPr>
        <w:shd w:val="clear" w:color="auto" w:fill="F2F2F2" w:themeFill="background1" w:themeFillShade="F2"/>
        <w:tabs>
          <w:tab w:val="left" w:pos="4962"/>
        </w:tabs>
        <w:spacing w:after="0" w:line="240" w:lineRule="auto"/>
        <w:jc w:val="both"/>
        <w:rPr>
          <w:b/>
          <w:color w:val="000000" w:themeColor="text1"/>
          <w:sz w:val="24"/>
          <w:szCs w:val="24"/>
        </w:rPr>
      </w:pPr>
      <w:r>
        <w:rPr>
          <w:b/>
          <w:color w:val="000000" w:themeColor="text1"/>
          <w:sz w:val="24"/>
          <w:szCs w:val="24"/>
        </w:rPr>
        <w:t>Перспективные задачи</w:t>
      </w:r>
    </w:p>
    <w:p w:rsidR="007E27CB" w:rsidRDefault="007E27CB">
      <w:pPr>
        <w:pStyle w:val="a6"/>
        <w:spacing w:after="0" w:line="240" w:lineRule="auto"/>
        <w:ind w:left="0"/>
        <w:jc w:val="both"/>
        <w:rPr>
          <w:rFonts w:ascii="Times New Roman" w:hAnsi="Times New Roman"/>
          <w:b/>
          <w:sz w:val="24"/>
          <w:szCs w:val="24"/>
        </w:rPr>
      </w:pPr>
    </w:p>
    <w:p w:rsidR="007E27CB" w:rsidRDefault="008F141F">
      <w:pPr>
        <w:pStyle w:val="a6"/>
        <w:numPr>
          <w:ilvl w:val="0"/>
          <w:numId w:val="42"/>
        </w:numPr>
        <w:tabs>
          <w:tab w:val="left" w:pos="284"/>
        </w:tabs>
        <w:spacing w:after="0" w:line="240" w:lineRule="auto"/>
        <w:ind w:left="0" w:firstLine="0"/>
        <w:jc w:val="both"/>
        <w:rPr>
          <w:rFonts w:ascii="Times New Roman" w:hAnsi="Times New Roman"/>
          <w:b/>
          <w:sz w:val="24"/>
          <w:szCs w:val="24"/>
        </w:rPr>
      </w:pPr>
      <w:r>
        <w:rPr>
          <w:rFonts w:ascii="Times New Roman" w:hAnsi="Times New Roman"/>
          <w:sz w:val="24"/>
          <w:szCs w:val="24"/>
        </w:rPr>
        <w:t>Открытие образовательного процесса в новой школе в мкр. «Южные ворота» Томского района.</w:t>
      </w:r>
    </w:p>
    <w:p w:rsidR="007E27CB" w:rsidRDefault="008F141F">
      <w:pPr>
        <w:pStyle w:val="a6"/>
        <w:numPr>
          <w:ilvl w:val="0"/>
          <w:numId w:val="42"/>
        </w:numPr>
        <w:tabs>
          <w:tab w:val="left" w:pos="284"/>
        </w:tabs>
        <w:spacing w:after="0" w:line="240" w:lineRule="auto"/>
        <w:ind w:left="0" w:firstLine="0"/>
        <w:jc w:val="both"/>
        <w:rPr>
          <w:rFonts w:ascii="Times New Roman" w:hAnsi="Times New Roman"/>
          <w:b/>
          <w:sz w:val="24"/>
          <w:szCs w:val="24"/>
        </w:rPr>
      </w:pPr>
      <w:r>
        <w:rPr>
          <w:rFonts w:ascii="Times New Roman" w:hAnsi="Times New Roman"/>
          <w:sz w:val="24"/>
          <w:szCs w:val="24"/>
        </w:rPr>
        <w:lastRenderedPageBreak/>
        <w:t>С привлечением средств федерального бюджета завершение строительства и получение разрешения на ввод в эксплуатацию школы на 200 мест в с. Корнилово Томского района.</w:t>
      </w:r>
    </w:p>
    <w:p w:rsidR="007E27CB" w:rsidRDefault="008F141F">
      <w:pPr>
        <w:pStyle w:val="a6"/>
        <w:numPr>
          <w:ilvl w:val="0"/>
          <w:numId w:val="42"/>
        </w:numPr>
        <w:tabs>
          <w:tab w:val="left" w:pos="284"/>
        </w:tabs>
        <w:spacing w:after="0" w:line="240" w:lineRule="auto"/>
        <w:ind w:left="0" w:firstLine="0"/>
        <w:jc w:val="both"/>
        <w:rPr>
          <w:rFonts w:ascii="Times New Roman" w:hAnsi="Times New Roman"/>
          <w:sz w:val="24"/>
          <w:szCs w:val="24"/>
        </w:rPr>
      </w:pPr>
      <w:r>
        <w:rPr>
          <w:rFonts w:ascii="Times New Roman" w:hAnsi="Times New Roman"/>
          <w:sz w:val="24"/>
          <w:szCs w:val="24"/>
        </w:rPr>
        <w:t>Завершение капитального ремонта в школах МБОУ «Белоярская СОШ №1» Верхнекетского района (ремонтные работы ведутся с 2017 г.), МБОУ «Могочинская СОШ» Молчановского района, МАОУ «Подгорнская СОШ» Чаинского района.</w:t>
      </w:r>
    </w:p>
    <w:p w:rsidR="007E27CB" w:rsidRDefault="008F141F">
      <w:pPr>
        <w:pStyle w:val="a6"/>
        <w:numPr>
          <w:ilvl w:val="0"/>
          <w:numId w:val="42"/>
        </w:numPr>
        <w:tabs>
          <w:tab w:val="left" w:pos="284"/>
        </w:tabs>
        <w:spacing w:after="0" w:line="240" w:lineRule="auto"/>
        <w:ind w:left="0" w:firstLine="0"/>
        <w:jc w:val="both"/>
        <w:rPr>
          <w:rFonts w:ascii="Times New Roman" w:hAnsi="Times New Roman"/>
          <w:b/>
          <w:sz w:val="24"/>
          <w:szCs w:val="24"/>
        </w:rPr>
      </w:pPr>
      <w:r>
        <w:rPr>
          <w:rFonts w:ascii="Times New Roman" w:hAnsi="Times New Roman"/>
          <w:sz w:val="24"/>
          <w:szCs w:val="24"/>
        </w:rPr>
        <w:t>С привлечением средств федерального бюджета проведение капитального ремонта здания МАОУ «СОШ № 19» г. Томск, спортивных залов в МБОУ «ООШ» с. Больше-Дорохово Асиновского района, МБОУ «Парбигская СОШ» Бакчарского района.</w:t>
      </w:r>
    </w:p>
    <w:p w:rsidR="007E27CB" w:rsidRDefault="008F141F">
      <w:pPr>
        <w:pStyle w:val="a6"/>
        <w:numPr>
          <w:ilvl w:val="0"/>
          <w:numId w:val="42"/>
        </w:numPr>
        <w:tabs>
          <w:tab w:val="left" w:pos="284"/>
        </w:tabs>
        <w:spacing w:after="0" w:line="240" w:lineRule="auto"/>
        <w:ind w:left="0" w:firstLine="0"/>
        <w:jc w:val="both"/>
        <w:rPr>
          <w:rFonts w:ascii="Times New Roman" w:hAnsi="Times New Roman"/>
          <w:sz w:val="24"/>
          <w:szCs w:val="24"/>
        </w:rPr>
      </w:pPr>
      <w:r>
        <w:rPr>
          <w:rFonts w:ascii="Times New Roman" w:hAnsi="Times New Roman"/>
          <w:sz w:val="24"/>
          <w:szCs w:val="24"/>
        </w:rPr>
        <w:t>Проведение в рамках государственной программы Российской Федерации «Комплексное развитие сельских территорий» капитального ремонта здания МБОУ СОШ с. Ягодного Асиновского района и спортивного зала в здании школы МАОУ «Кожевниковская СОШ № 1» с. Кожевниково Кожевниковского района.</w:t>
      </w:r>
    </w:p>
    <w:p w:rsidR="007E27CB" w:rsidRDefault="008F141F">
      <w:pPr>
        <w:pStyle w:val="a6"/>
        <w:numPr>
          <w:ilvl w:val="0"/>
          <w:numId w:val="42"/>
        </w:numPr>
        <w:tabs>
          <w:tab w:val="left" w:pos="284"/>
        </w:tabs>
        <w:spacing w:after="0" w:line="240" w:lineRule="auto"/>
        <w:ind w:left="0" w:firstLine="0"/>
        <w:jc w:val="both"/>
        <w:rPr>
          <w:rFonts w:ascii="Times New Roman" w:hAnsi="Times New Roman"/>
          <w:b/>
          <w:sz w:val="24"/>
          <w:szCs w:val="24"/>
        </w:rPr>
      </w:pPr>
      <w:r>
        <w:rPr>
          <w:rFonts w:ascii="Times New Roman" w:hAnsi="Times New Roman"/>
          <w:sz w:val="24"/>
          <w:szCs w:val="24"/>
        </w:rPr>
        <w:t>Приобретение 14 новых школьных автобусов для муниципальных общеобразовательных организаций.</w:t>
      </w:r>
    </w:p>
    <w:p w:rsidR="007E27CB" w:rsidRDefault="008F141F">
      <w:pPr>
        <w:pStyle w:val="a6"/>
        <w:numPr>
          <w:ilvl w:val="0"/>
          <w:numId w:val="42"/>
        </w:numPr>
        <w:tabs>
          <w:tab w:val="left" w:pos="284"/>
        </w:tabs>
        <w:spacing w:after="0" w:line="240" w:lineRule="auto"/>
        <w:ind w:left="0" w:firstLine="0"/>
        <w:jc w:val="both"/>
        <w:rPr>
          <w:rFonts w:ascii="Times New Roman" w:hAnsi="Times New Roman"/>
          <w:b/>
          <w:sz w:val="24"/>
          <w:szCs w:val="24"/>
        </w:rPr>
      </w:pPr>
      <w:r>
        <w:rPr>
          <w:rFonts w:ascii="Times New Roman" w:hAnsi="Times New Roman"/>
          <w:sz w:val="24"/>
          <w:szCs w:val="24"/>
        </w:rPr>
        <w:t xml:space="preserve">Реализация Послания Президента Российской Федерации Федеральному Собранию Российской Федерации (выплата вознаграждения за классное руководство, обеспечение горячим питанием школьников 1 </w:t>
      </w:r>
      <w:r>
        <w:rPr>
          <w:sz w:val="24"/>
          <w:szCs w:val="24"/>
        </w:rPr>
        <w:t xml:space="preserve">– </w:t>
      </w:r>
      <w:r>
        <w:rPr>
          <w:rFonts w:ascii="Times New Roman" w:hAnsi="Times New Roman"/>
          <w:sz w:val="24"/>
          <w:szCs w:val="24"/>
        </w:rPr>
        <w:t>4 классов с оценкой инфраструктуры пищеблоков).</w:t>
      </w:r>
    </w:p>
    <w:p w:rsidR="007E27CB" w:rsidRDefault="007E27CB">
      <w:pPr>
        <w:pStyle w:val="af"/>
        <w:tabs>
          <w:tab w:val="left" w:pos="4962"/>
        </w:tabs>
        <w:rPr>
          <w:b/>
          <w:color w:val="FF0000"/>
        </w:rPr>
      </w:pPr>
    </w:p>
    <w:p w:rsidR="007E27CB" w:rsidRDefault="008F141F">
      <w:pPr>
        <w:spacing w:after="0" w:line="240" w:lineRule="auto"/>
        <w:ind w:firstLine="567"/>
        <w:jc w:val="both"/>
        <w:rPr>
          <w:b/>
          <w:sz w:val="24"/>
          <w:szCs w:val="24"/>
        </w:rPr>
      </w:pPr>
      <w:r>
        <w:rPr>
          <w:b/>
          <w:sz w:val="24"/>
          <w:szCs w:val="24"/>
        </w:rPr>
        <w:t>ДОПОЛНИТЕЛЬНОЕ ОБРАЗОВАНИЕ</w:t>
      </w:r>
    </w:p>
    <w:p w:rsidR="007E27CB" w:rsidRDefault="007E27CB">
      <w:pPr>
        <w:spacing w:after="0" w:line="240" w:lineRule="auto"/>
        <w:ind w:firstLine="567"/>
        <w:jc w:val="both"/>
        <w:rPr>
          <w:sz w:val="24"/>
          <w:szCs w:val="24"/>
        </w:rPr>
      </w:pPr>
    </w:p>
    <w:p w:rsidR="007E27CB" w:rsidRDefault="008F141F">
      <w:pPr>
        <w:spacing w:after="0" w:line="240" w:lineRule="auto"/>
        <w:ind w:firstLine="567"/>
        <w:jc w:val="both"/>
        <w:rPr>
          <w:sz w:val="24"/>
          <w:szCs w:val="24"/>
        </w:rPr>
      </w:pPr>
      <w:r>
        <w:rPr>
          <w:sz w:val="24"/>
          <w:szCs w:val="24"/>
        </w:rPr>
        <w:t>В 2019 году в Томской области в ходе реализации регионального проекта «Успех каждого ребенка» национального проекта «Образование» продолжена работа по внедрению в образовательное пространство новых видов детского технического творчества, популяризации научно-технического творчества среди детей и молодежи, вовлечению вузов, предприятий и некоммерческих организаций к реализации программ.</w:t>
      </w:r>
    </w:p>
    <w:p w:rsidR="007E27CB" w:rsidRDefault="008F141F">
      <w:pPr>
        <w:spacing w:after="0" w:line="240" w:lineRule="auto"/>
        <w:ind w:firstLine="567"/>
        <w:jc w:val="both"/>
        <w:rPr>
          <w:sz w:val="24"/>
          <w:szCs w:val="24"/>
        </w:rPr>
      </w:pPr>
      <w:r>
        <w:rPr>
          <w:sz w:val="24"/>
          <w:szCs w:val="24"/>
        </w:rPr>
        <w:t>Создана сеть детских научных клубов с целью реализации проекта «Территория интеллекта». Разработана цифровая платформа «Территория интеллекта» по 20 приоритетным для Томской области траекториям обучения детей по 5 направлениям: «Креативная экономика», «Киберэкономика», «Научно-производственная сфера», «Экологическая сфера», «Новый технологический сектор». С использованием цифровой платформы сформирован банк методических материалов и образовательных программ для реализации образовательных траекторий.</w:t>
      </w:r>
    </w:p>
    <w:p w:rsidR="007E27CB" w:rsidRDefault="008F141F">
      <w:pPr>
        <w:spacing w:after="0" w:line="240" w:lineRule="auto"/>
        <w:ind w:firstLine="567"/>
        <w:jc w:val="both"/>
        <w:rPr>
          <w:sz w:val="24"/>
          <w:szCs w:val="24"/>
        </w:rPr>
      </w:pPr>
      <w:r>
        <w:rPr>
          <w:sz w:val="24"/>
          <w:szCs w:val="24"/>
        </w:rPr>
        <w:t xml:space="preserve">В 2019 году 11 760 обучающихся Томской области получили рекомендации по построению индивидуального учебного плана в соответствии с выбранными профессиональными компетенциями (профессиональными областями деятельности) с учетом реализации проекта «Билет в будущее». </w:t>
      </w:r>
    </w:p>
    <w:p w:rsidR="007E27CB" w:rsidRDefault="008F141F">
      <w:pPr>
        <w:spacing w:after="0" w:line="240" w:lineRule="auto"/>
        <w:ind w:firstLine="567"/>
        <w:jc w:val="both"/>
        <w:rPr>
          <w:sz w:val="24"/>
          <w:szCs w:val="24"/>
        </w:rPr>
      </w:pPr>
      <w:r>
        <w:rPr>
          <w:sz w:val="24"/>
          <w:szCs w:val="24"/>
        </w:rPr>
        <w:t>В Томской области создан и функционирует Центр развития современных компетенций детей и молодежи Томского государственного университета (Дом научных коллабораций), в котором ежегодно проходят обучение 400 школьников.</w:t>
      </w:r>
    </w:p>
    <w:p w:rsidR="007E27CB" w:rsidRDefault="008F141F">
      <w:pPr>
        <w:spacing w:after="0" w:line="240" w:lineRule="auto"/>
        <w:ind w:firstLine="567"/>
        <w:jc w:val="both"/>
        <w:rPr>
          <w:sz w:val="24"/>
          <w:szCs w:val="24"/>
        </w:rPr>
      </w:pPr>
      <w:r>
        <w:rPr>
          <w:sz w:val="24"/>
          <w:szCs w:val="24"/>
        </w:rPr>
        <w:t xml:space="preserve">Детский технопарк «Кванториум» с 2019 года выполняет функции оператора «Кружковое движение» Национальной технологической инициативы (далее по разделу – НТИ) и осуществляет информационно-аналитическое сопровождение Олимпиады НТИ в системе общего образования Томской области. </w:t>
      </w:r>
    </w:p>
    <w:p w:rsidR="007E27CB" w:rsidRDefault="008F141F">
      <w:pPr>
        <w:spacing w:after="0" w:line="240" w:lineRule="auto"/>
        <w:ind w:firstLine="567"/>
        <w:jc w:val="both"/>
        <w:rPr>
          <w:sz w:val="24"/>
          <w:szCs w:val="24"/>
        </w:rPr>
      </w:pPr>
      <w:r>
        <w:rPr>
          <w:sz w:val="24"/>
          <w:szCs w:val="24"/>
        </w:rPr>
        <w:t xml:space="preserve">Существенно увеличилось число участников Олимпиады НТИ: в I этапе в 2019 году приняли участие 2 366 человек из Томской области (в 2018 г. – 339 чел.), из них 531 человек прошел во второй этап (в 2018 г. – 90 чел.). </w:t>
      </w:r>
    </w:p>
    <w:p w:rsidR="007E27CB" w:rsidRDefault="008F141F">
      <w:pPr>
        <w:spacing w:after="0" w:line="240" w:lineRule="auto"/>
        <w:ind w:firstLine="567"/>
        <w:jc w:val="both"/>
        <w:rPr>
          <w:sz w:val="24"/>
          <w:szCs w:val="24"/>
        </w:rPr>
      </w:pPr>
      <w:r>
        <w:rPr>
          <w:sz w:val="24"/>
          <w:szCs w:val="24"/>
        </w:rPr>
        <w:t xml:space="preserve">Состоялся фестиваль «CO//LAB FEST», который стал площадкой для взаимодействия технологических энтузиастов, профессионалов и начинающих изобретателей, мейкеров, направленных на популяризацию НТИ среди обучающихся общеобразовательных организаций. На фестивале были представлены все 12 рынков НТИ (50 компаний), которые провели за один день 80 мастер-классов, 120 сотрудников компаний участвовали в работе фестиваля. </w:t>
      </w:r>
    </w:p>
    <w:p w:rsidR="007E27CB" w:rsidRDefault="008F141F">
      <w:pPr>
        <w:spacing w:after="0" w:line="240" w:lineRule="auto"/>
        <w:ind w:firstLine="567"/>
        <w:jc w:val="both"/>
        <w:rPr>
          <w:sz w:val="24"/>
          <w:szCs w:val="24"/>
        </w:rPr>
      </w:pPr>
      <w:r>
        <w:rPr>
          <w:sz w:val="24"/>
          <w:szCs w:val="24"/>
        </w:rPr>
        <w:lastRenderedPageBreak/>
        <w:t xml:space="preserve">По данным ведомственного мониторинга, 30% обучающихся Томской области были вовлечены в деятельность детско-юношеских общественных объединений в рамках реализации регионального проекта «Успех каждого ребенка», в том числе реализации регионального уровня Всероссийской программы «Ученическое самоуправление», проведение конкурсов «Я – за ученическое самоуправление», «РДШ – территория самоуправления», всероссийский проект «Класс доброты», волонтерский проект «Уроки настоящего», Всероссийский конкурс «Добро не уходит на каникулы» и т.д. </w:t>
      </w:r>
    </w:p>
    <w:p w:rsidR="007E27CB" w:rsidRDefault="008F141F">
      <w:pPr>
        <w:spacing w:after="0" w:line="240" w:lineRule="auto"/>
        <w:ind w:firstLine="567"/>
        <w:jc w:val="both"/>
        <w:rPr>
          <w:sz w:val="24"/>
          <w:szCs w:val="24"/>
        </w:rPr>
      </w:pPr>
      <w:r>
        <w:rPr>
          <w:sz w:val="24"/>
          <w:szCs w:val="24"/>
        </w:rPr>
        <w:t xml:space="preserve">В 2019 году Томская область стала победителем конкурсного отбора на получение в 2020 – 2021 годах субсидии из федерального бюджета на создание 18 443 новых мест дополнительного образования детей (в 2020 г. – 4 485 мест, в 2021 г. – 13 958 мест), а также на создание мобильного технопарка «Кванториум» и создание в 2020 – 2022 годах </w:t>
      </w:r>
      <w:r>
        <w:rPr>
          <w:sz w:val="24"/>
          <w:szCs w:val="24"/>
        </w:rPr>
        <w:br/>
        <w:t>3 центров цифрового образования «IT-куб».</w:t>
      </w:r>
    </w:p>
    <w:p w:rsidR="007E27CB" w:rsidRDefault="008F141F">
      <w:pPr>
        <w:spacing w:after="0" w:line="240" w:lineRule="auto"/>
        <w:ind w:firstLine="567"/>
        <w:jc w:val="both"/>
        <w:rPr>
          <w:sz w:val="24"/>
          <w:szCs w:val="24"/>
        </w:rPr>
      </w:pPr>
      <w:r>
        <w:rPr>
          <w:sz w:val="24"/>
          <w:szCs w:val="24"/>
        </w:rPr>
        <w:t>В отчетном году ученик Томского физико-технического лицея  (далее по разделу – ТФТЛ) в составе сборной России занял первое место на мировом чемпионате профессионального мастерства «WorldSkills» в юниорской группе по компетенции «Веб-дизайн и разработка». Еще один ученик ТФТЛ завоевал серебряную медаль на XXIV Международной астрономической олимпиаде, проходившей в Румынии. В соревновании принимали участие школьники из 20 стран. Воспитанник Центра «Планирование карьеры» ученик гимназии № 29 г. Томска принял участие в российско-индийской образовательной программе в Центре «Сириус» и представил Президенту Российской Федерации Владимиру Владимировичу Путину проект по созданию робота для обработки чайных плантаций.</w:t>
      </w:r>
    </w:p>
    <w:p w:rsidR="007E27CB" w:rsidRDefault="008F141F">
      <w:pPr>
        <w:pStyle w:val="a3"/>
        <w:ind w:firstLine="567"/>
      </w:pPr>
      <w:r>
        <w:t xml:space="preserve">Заработная плата педагогических работников организаций дополнительного образования детей в 2019 году составила 36 918 рублей, что соответствует установленному целевому значению: среднемесячной заработной плате учителей в Томской области. </w:t>
      </w:r>
    </w:p>
    <w:p w:rsidR="007E27CB" w:rsidRDefault="007E27CB">
      <w:pPr>
        <w:pStyle w:val="a3"/>
        <w:rPr>
          <w:b/>
        </w:rPr>
      </w:pPr>
    </w:p>
    <w:p w:rsidR="007E27CB" w:rsidRDefault="008F141F">
      <w:pPr>
        <w:shd w:val="clear" w:color="auto" w:fill="F2F2F2" w:themeFill="background1" w:themeFillShade="F2"/>
        <w:tabs>
          <w:tab w:val="left" w:pos="4962"/>
        </w:tabs>
        <w:spacing w:after="0" w:line="240" w:lineRule="auto"/>
        <w:jc w:val="both"/>
        <w:rPr>
          <w:b/>
          <w:color w:val="000000" w:themeColor="text1"/>
          <w:sz w:val="24"/>
          <w:szCs w:val="24"/>
        </w:rPr>
      </w:pPr>
      <w:r>
        <w:rPr>
          <w:b/>
          <w:color w:val="000000" w:themeColor="text1"/>
          <w:sz w:val="24"/>
          <w:szCs w:val="24"/>
        </w:rPr>
        <w:t>Перспективные задачи</w:t>
      </w:r>
    </w:p>
    <w:p w:rsidR="007E27CB" w:rsidRDefault="007E27CB">
      <w:pPr>
        <w:tabs>
          <w:tab w:val="left" w:pos="284"/>
        </w:tabs>
        <w:spacing w:after="0" w:line="240" w:lineRule="auto"/>
        <w:jc w:val="both"/>
        <w:rPr>
          <w:b/>
          <w:sz w:val="24"/>
          <w:szCs w:val="24"/>
        </w:rPr>
      </w:pPr>
    </w:p>
    <w:p w:rsidR="007E27CB" w:rsidRDefault="008F141F">
      <w:pPr>
        <w:pStyle w:val="a6"/>
        <w:numPr>
          <w:ilvl w:val="0"/>
          <w:numId w:val="43"/>
        </w:numPr>
        <w:tabs>
          <w:tab w:val="left" w:pos="284"/>
        </w:tabs>
        <w:spacing w:after="0" w:line="240" w:lineRule="auto"/>
        <w:ind w:left="0" w:firstLine="0"/>
        <w:jc w:val="both"/>
        <w:rPr>
          <w:rFonts w:ascii="Times New Roman" w:hAnsi="Times New Roman"/>
          <w:sz w:val="24"/>
          <w:szCs w:val="24"/>
        </w:rPr>
      </w:pPr>
      <w:r>
        <w:rPr>
          <w:rFonts w:ascii="Times New Roman" w:hAnsi="Times New Roman"/>
          <w:sz w:val="24"/>
          <w:szCs w:val="24"/>
        </w:rPr>
        <w:t>Продолжение работы по выполнению Указов Президента Российской Федерации и региональной «дорожной карты» в сфере образования в части повышения заработной платы педагогическим работникам организаций дополнительного образования.</w:t>
      </w:r>
    </w:p>
    <w:p w:rsidR="007E27CB" w:rsidRDefault="007E27CB">
      <w:pPr>
        <w:tabs>
          <w:tab w:val="left" w:pos="4962"/>
        </w:tabs>
        <w:spacing w:after="0" w:line="240" w:lineRule="auto"/>
        <w:jc w:val="both"/>
        <w:rPr>
          <w:b/>
          <w:color w:val="FF0000"/>
          <w:sz w:val="24"/>
          <w:szCs w:val="24"/>
        </w:rPr>
      </w:pPr>
    </w:p>
    <w:p w:rsidR="007E27CB" w:rsidRDefault="008F141F">
      <w:pPr>
        <w:pStyle w:val="a3"/>
        <w:ind w:firstLine="567"/>
        <w:rPr>
          <w:b/>
        </w:rPr>
      </w:pPr>
      <w:r>
        <w:rPr>
          <w:b/>
        </w:rPr>
        <w:t>ПРОФЕССИОНАЛЬНОЕ ОБРАЗОВАНИЕ</w:t>
      </w:r>
    </w:p>
    <w:p w:rsidR="007E27CB" w:rsidRDefault="007E27CB">
      <w:pPr>
        <w:pStyle w:val="a3"/>
        <w:ind w:firstLine="567"/>
      </w:pPr>
    </w:p>
    <w:p w:rsidR="007E27CB" w:rsidRDefault="008F141F">
      <w:pPr>
        <w:pStyle w:val="a3"/>
        <w:ind w:firstLine="567"/>
      </w:pPr>
      <w:r>
        <w:t xml:space="preserve">В 2019 году в системе профессионального образования Томской области </w:t>
      </w:r>
      <w:r>
        <w:br/>
        <w:t xml:space="preserve">в 33 образовательных организациях, реализующих программы среднего профессионального образования (далее по разделу – СПО), обучалось 24 125 человек. </w:t>
      </w:r>
    </w:p>
    <w:p w:rsidR="007E27CB" w:rsidRDefault="008F141F">
      <w:pPr>
        <w:pStyle w:val="a3"/>
        <w:ind w:firstLine="567"/>
      </w:pPr>
      <w:r>
        <w:t>На 5 302 бюджетных места по программам СПО в организации Томской области подано более 16,5 тыс. заявлений на обучение, что на 19% больше в сравнении с прошлым годом (в 2018 г. – 13,4 тыс. заявлений на 5 302 места).</w:t>
      </w:r>
    </w:p>
    <w:p w:rsidR="007E27CB" w:rsidRDefault="008F141F">
      <w:pPr>
        <w:pStyle w:val="a3"/>
        <w:ind w:firstLine="567"/>
      </w:pPr>
      <w:r>
        <w:t xml:space="preserve">В 2019 году приоритетными для абитуриентов стали следующие профессии и специальности: туризм, дошкольное образование, информационные системы и программирование, разработка и эксплуатация нефтяных и газовых месторождений, специальное дошкольное образование (подготовка кадров для работы с детьми с ОВЗ), сестринское дело, сетевое и системное администрирование, бурение нефтяных и газовых скважин, народное и художественное творчество. Средний балл поступающих в профессиональные образовательные организации увеличился и составил 4,2 балла </w:t>
      </w:r>
      <w:r>
        <w:br/>
        <w:t xml:space="preserve">(в 2018 году – 4,0 балла). </w:t>
      </w:r>
    </w:p>
    <w:p w:rsidR="007E27CB" w:rsidRDefault="008F141F">
      <w:pPr>
        <w:pStyle w:val="a3"/>
        <w:ind w:firstLine="567"/>
      </w:pPr>
      <w:r>
        <w:t xml:space="preserve">Совместно с отраслевыми департаментами, объединениями работодателей и промышленными партнерами в 2019 году разработан перечень приоритетных профессий и специальностей для подготовки кадров под востребованные направления экономики </w:t>
      </w:r>
      <w:r>
        <w:lastRenderedPageBreak/>
        <w:t xml:space="preserve">региона. Перечень утвержден на Координационном совете по кадровому обеспечению экономики Томской области (ТОП-РЕГИОН). </w:t>
      </w:r>
    </w:p>
    <w:p w:rsidR="007E27CB" w:rsidRDefault="008F141F">
      <w:pPr>
        <w:pStyle w:val="a3"/>
        <w:ind w:firstLine="567"/>
      </w:pPr>
      <w:r>
        <w:t>В 2019 году обучение в колледжах и техникумах проводилось по 220 программам, из них:</w:t>
      </w:r>
    </w:p>
    <w:p w:rsidR="007E27CB" w:rsidRDefault="008F141F">
      <w:pPr>
        <w:pStyle w:val="a3"/>
        <w:numPr>
          <w:ilvl w:val="0"/>
          <w:numId w:val="130"/>
        </w:numPr>
        <w:tabs>
          <w:tab w:val="left" w:pos="851"/>
        </w:tabs>
        <w:ind w:left="0" w:firstLine="567"/>
      </w:pPr>
      <w:r>
        <w:t>24 программы из перечня ТОП-50 наиболее востребованных профессий и специальностей, среди которых: обеспечение информационной безопасности автоматизированных и телекоммуникационных систем; токарь на станках с ЧПУ; монтаж, техническое обслуживание и ремонт промышленного оборудования; лаборант по контролю качества сырья; мастер по ремонту и обслуживанию автомобилей и т.д.;</w:t>
      </w:r>
    </w:p>
    <w:p w:rsidR="007E27CB" w:rsidRDefault="008F141F">
      <w:pPr>
        <w:pStyle w:val="a3"/>
        <w:numPr>
          <w:ilvl w:val="0"/>
          <w:numId w:val="130"/>
        </w:numPr>
        <w:tabs>
          <w:tab w:val="left" w:pos="851"/>
        </w:tabs>
        <w:ind w:left="0" w:firstLine="567"/>
      </w:pPr>
      <w:r>
        <w:t>61 программа из перечня приоритетных профессий и специальностей для подготовки кадров под экономику региона (ТОП-РЕГИОН).</w:t>
      </w:r>
    </w:p>
    <w:p w:rsidR="007E27CB" w:rsidRDefault="008F141F">
      <w:pPr>
        <w:pStyle w:val="a3"/>
        <w:ind w:firstLine="567"/>
      </w:pPr>
      <w:r>
        <w:t>Активно развивалось сотрудничество профессиональных образовательных организаций и предприятий всех секторов экономики Томской области. Представители бизнеса участвуют в образовательном процессе:</w:t>
      </w:r>
    </w:p>
    <w:p w:rsidR="007E27CB" w:rsidRDefault="008F141F">
      <w:pPr>
        <w:pStyle w:val="a3"/>
        <w:numPr>
          <w:ilvl w:val="0"/>
          <w:numId w:val="131"/>
        </w:numPr>
        <w:tabs>
          <w:tab w:val="left" w:pos="851"/>
        </w:tabs>
        <w:ind w:left="0" w:firstLine="567"/>
      </w:pPr>
      <w:r>
        <w:t xml:space="preserve">в качестве преподавателей (160 работодателей); </w:t>
      </w:r>
    </w:p>
    <w:p w:rsidR="007E27CB" w:rsidRDefault="008F141F">
      <w:pPr>
        <w:pStyle w:val="a3"/>
        <w:numPr>
          <w:ilvl w:val="0"/>
          <w:numId w:val="131"/>
        </w:numPr>
        <w:tabs>
          <w:tab w:val="left" w:pos="851"/>
        </w:tabs>
        <w:ind w:left="0" w:firstLine="567"/>
      </w:pPr>
      <w:r>
        <w:t>экспертов демонстрационного экзамена (56 работодателей);</w:t>
      </w:r>
    </w:p>
    <w:p w:rsidR="007E27CB" w:rsidRDefault="008F141F">
      <w:pPr>
        <w:pStyle w:val="a3"/>
        <w:numPr>
          <w:ilvl w:val="0"/>
          <w:numId w:val="131"/>
        </w:numPr>
        <w:tabs>
          <w:tab w:val="left" w:pos="851"/>
        </w:tabs>
        <w:ind w:left="0" w:firstLine="567"/>
      </w:pPr>
      <w:r>
        <w:t>экспертов чемпионатного движения «Молодые профессионалы (Ворлдскиллс Россия)» (133 работодателя).</w:t>
      </w:r>
    </w:p>
    <w:p w:rsidR="007E27CB" w:rsidRDefault="008F141F">
      <w:pPr>
        <w:pStyle w:val="a3"/>
        <w:ind w:firstLine="567"/>
      </w:pPr>
      <w:r>
        <w:t>На базе предприятий создано 10 кафедр, проводится учебная и производственная практика, около 9 тыс. студентов проходили практику на 3 168 предприятиях и в организациях региона.</w:t>
      </w:r>
    </w:p>
    <w:p w:rsidR="007E27CB" w:rsidRDefault="008F141F">
      <w:pPr>
        <w:pStyle w:val="a3"/>
        <w:ind w:firstLine="567"/>
      </w:pPr>
      <w:r>
        <w:t>В 2019 году доля трудоустроенных выпускников составляет 71% по всем формам обучения, в том числе по программам среднего профессионального образования за счет бюджетных средств по очной форме обучения составила 66,3%, что на 0,8% выше по сравнению с 2018 годом (65,5%).</w:t>
      </w:r>
    </w:p>
    <w:p w:rsidR="007E27CB" w:rsidRDefault="008F141F">
      <w:pPr>
        <w:pStyle w:val="a3"/>
        <w:ind w:firstLine="567"/>
      </w:pPr>
      <w:r>
        <w:t xml:space="preserve"> В рамках реализации регионального проекта «Молодые профессионалы» в 2019 году в Томской области открыт первый  Центр опережающей профессиональной подготовки. </w:t>
      </w:r>
    </w:p>
    <w:p w:rsidR="007E27CB" w:rsidRDefault="008F141F">
      <w:pPr>
        <w:pStyle w:val="a3"/>
        <w:ind w:firstLine="567"/>
      </w:pPr>
      <w:r>
        <w:t>Созданы и оснащены современным оборудованием в соответствии с международными стандартами Ворлдскиллс 20 мастерских, среди которых мастерские для подготовки специалистов по опережающим компетенциям.</w:t>
      </w:r>
    </w:p>
    <w:p w:rsidR="007E27CB" w:rsidRDefault="008F141F">
      <w:pPr>
        <w:pStyle w:val="a3"/>
        <w:ind w:firstLine="567"/>
      </w:pPr>
      <w:r>
        <w:t xml:space="preserve">В отчетном году прошел V Региональный чемпионат «Молодые профессионалы» (WorldSkills Russia) Томской области. </w:t>
      </w:r>
    </w:p>
    <w:p w:rsidR="007E27CB" w:rsidRDefault="008F141F">
      <w:pPr>
        <w:pStyle w:val="a3"/>
        <w:ind w:firstLine="567"/>
      </w:pPr>
      <w:r>
        <w:t xml:space="preserve">В ходе реализации показателей регионального проекта «Цифровая образовательная среда»: </w:t>
      </w:r>
    </w:p>
    <w:p w:rsidR="007E27CB" w:rsidRDefault="008F141F">
      <w:pPr>
        <w:pStyle w:val="a3"/>
        <w:numPr>
          <w:ilvl w:val="0"/>
          <w:numId w:val="132"/>
        </w:numPr>
        <w:tabs>
          <w:tab w:val="left" w:pos="851"/>
        </w:tabs>
        <w:ind w:left="0" w:firstLine="567"/>
      </w:pPr>
      <w:r>
        <w:t>внедрена цифровая образовательная среда (далее по разделу – ЦОС) в Томском техникуме информационных технологий и Томском индустриальном техникуме, где оборудованы 4 лаборатории;</w:t>
      </w:r>
    </w:p>
    <w:p w:rsidR="007E27CB" w:rsidRDefault="008F141F">
      <w:pPr>
        <w:pStyle w:val="a3"/>
        <w:numPr>
          <w:ilvl w:val="0"/>
          <w:numId w:val="132"/>
        </w:numPr>
        <w:tabs>
          <w:tab w:val="left" w:pos="851"/>
        </w:tabs>
        <w:ind w:left="0" w:firstLine="567"/>
      </w:pPr>
      <w:r>
        <w:t>доля студентов, для которых формируется цифровой образовательный профиль и индивидуальный план обучения с использованием информационно-сервисной платформы ЦОС, в 2019 году составила: в Томском техникуме информационных технологий – 5,07%, в Томском индустриальном техникуме – 5,05%.</w:t>
      </w:r>
    </w:p>
    <w:p w:rsidR="007E27CB" w:rsidRDefault="008F141F">
      <w:pPr>
        <w:pStyle w:val="a3"/>
        <w:ind w:firstLine="567"/>
      </w:pPr>
      <w:r>
        <w:t>Количество педагогических работников в системе профессионального образования в 2019 году составило 1 601 человек. Средний возраст педагогических работников – 42,9 лет, что моложе среднего возраста в 2018 году (45,9 лет). Доля специалистов в возрасте до 45 лет составляет более 60% от общего количества педагогов. Данные показатели подтверждают динамику постепенного омоложения педагогических кадров.</w:t>
      </w:r>
    </w:p>
    <w:p w:rsidR="007E27CB" w:rsidRDefault="008F141F">
      <w:pPr>
        <w:pStyle w:val="a3"/>
        <w:ind w:firstLine="567"/>
      </w:pPr>
      <w:r>
        <w:t>В течение 2019 года повысили свою квалификацию более тысячи руководящих и педагогических работников профессиональных образовательных организаций Томской области, из них 182 педагогических работника прошли обучение по программам, основанным на опыте Союза Ворлдскиллс Россия в 33 городах России.</w:t>
      </w:r>
    </w:p>
    <w:p w:rsidR="007E27CB" w:rsidRDefault="008F141F">
      <w:pPr>
        <w:pStyle w:val="a3"/>
        <w:ind w:firstLine="567"/>
      </w:pPr>
      <w:r>
        <w:lastRenderedPageBreak/>
        <w:t>В рамках реализации Указа Президента Российской Федерации от 07.05.2012 № 597 в части достижения целевых показателей повышения оплаты труда преподавателей и мастеров производственного обучения профессиональных образовательных организаций целевой показатель по уровню заработной платы по итогам  2019 года составил 37 000,0 рублей (или 98,2 % к среднемесячному доходу от трудовой деятельности в Томской области).</w:t>
      </w:r>
    </w:p>
    <w:p w:rsidR="007E27CB" w:rsidRDefault="007E27CB">
      <w:pPr>
        <w:pStyle w:val="a3"/>
      </w:pPr>
    </w:p>
    <w:p w:rsidR="007E27CB" w:rsidRDefault="008F141F">
      <w:pPr>
        <w:shd w:val="clear" w:color="auto" w:fill="F2F2F2" w:themeFill="background1" w:themeFillShade="F2"/>
        <w:tabs>
          <w:tab w:val="left" w:pos="4962"/>
        </w:tabs>
        <w:spacing w:after="0" w:line="240" w:lineRule="auto"/>
        <w:jc w:val="both"/>
        <w:rPr>
          <w:b/>
          <w:color w:val="000000" w:themeColor="text1"/>
          <w:sz w:val="24"/>
          <w:szCs w:val="24"/>
        </w:rPr>
      </w:pPr>
      <w:r>
        <w:rPr>
          <w:b/>
          <w:color w:val="000000" w:themeColor="text1"/>
          <w:sz w:val="24"/>
          <w:szCs w:val="24"/>
        </w:rPr>
        <w:t>Перспективные задачи</w:t>
      </w:r>
    </w:p>
    <w:p w:rsidR="007E27CB" w:rsidRDefault="007E27CB">
      <w:pPr>
        <w:pStyle w:val="a3"/>
        <w:tabs>
          <w:tab w:val="left" w:pos="284"/>
        </w:tabs>
      </w:pPr>
    </w:p>
    <w:p w:rsidR="007E27CB" w:rsidRDefault="008F141F">
      <w:pPr>
        <w:numPr>
          <w:ilvl w:val="0"/>
          <w:numId w:val="147"/>
        </w:numPr>
        <w:tabs>
          <w:tab w:val="left" w:pos="284"/>
        </w:tabs>
        <w:spacing w:after="0" w:line="240" w:lineRule="auto"/>
        <w:ind w:left="0" w:firstLine="0"/>
        <w:jc w:val="both"/>
        <w:rPr>
          <w:sz w:val="24"/>
          <w:szCs w:val="24"/>
          <w:lang w:eastAsia="ru-RU"/>
        </w:rPr>
      </w:pPr>
      <w:r>
        <w:rPr>
          <w:sz w:val="24"/>
          <w:szCs w:val="24"/>
          <w:lang w:eastAsia="ru-RU"/>
        </w:rPr>
        <w:t>Проведение модернизации материально-технической базы профессиональных образовательных организаций – оснащение современным оборудованием не менее 5 мастерских, лабораторий.</w:t>
      </w:r>
    </w:p>
    <w:p w:rsidR="007E27CB" w:rsidRDefault="008F141F">
      <w:pPr>
        <w:numPr>
          <w:ilvl w:val="0"/>
          <w:numId w:val="147"/>
        </w:numPr>
        <w:tabs>
          <w:tab w:val="left" w:pos="284"/>
        </w:tabs>
        <w:spacing w:after="0" w:line="240" w:lineRule="auto"/>
        <w:ind w:left="0" w:firstLine="0"/>
        <w:jc w:val="both"/>
        <w:rPr>
          <w:sz w:val="24"/>
          <w:szCs w:val="24"/>
          <w:lang w:eastAsia="ru-RU"/>
        </w:rPr>
      </w:pPr>
      <w:r>
        <w:rPr>
          <w:sz w:val="24"/>
          <w:szCs w:val="24"/>
          <w:lang w:eastAsia="ru-RU"/>
        </w:rPr>
        <w:t xml:space="preserve">Внедрение в государственную итоговую аттестацию инструмента независимой оценки качества профессионального образования </w:t>
      </w:r>
      <w:r>
        <w:t>–</w:t>
      </w:r>
      <w:r>
        <w:rPr>
          <w:sz w:val="24"/>
          <w:szCs w:val="24"/>
          <w:lang w:eastAsia="ru-RU"/>
        </w:rPr>
        <w:t xml:space="preserve"> демонстрационного экзамена.</w:t>
      </w:r>
    </w:p>
    <w:p w:rsidR="007E27CB" w:rsidRDefault="008F141F">
      <w:pPr>
        <w:numPr>
          <w:ilvl w:val="0"/>
          <w:numId w:val="147"/>
        </w:numPr>
        <w:tabs>
          <w:tab w:val="left" w:pos="284"/>
        </w:tabs>
        <w:spacing w:after="0" w:line="240" w:lineRule="auto"/>
        <w:ind w:left="0" w:firstLine="0"/>
        <w:jc w:val="both"/>
        <w:rPr>
          <w:sz w:val="24"/>
          <w:szCs w:val="24"/>
          <w:lang w:eastAsia="ru-RU"/>
        </w:rPr>
      </w:pPr>
      <w:r>
        <w:rPr>
          <w:sz w:val="24"/>
          <w:szCs w:val="24"/>
          <w:lang w:eastAsia="ru-RU"/>
        </w:rPr>
        <w:t>Внедрение коротких программ по наиболее востребованным и перспективным профессиям на уровне, соответствующем стандартам Ворлдскиллс.</w:t>
      </w:r>
    </w:p>
    <w:p w:rsidR="007E27CB" w:rsidRDefault="008F141F">
      <w:pPr>
        <w:numPr>
          <w:ilvl w:val="0"/>
          <w:numId w:val="147"/>
        </w:numPr>
        <w:tabs>
          <w:tab w:val="left" w:pos="284"/>
        </w:tabs>
        <w:spacing w:after="0" w:line="240" w:lineRule="auto"/>
        <w:ind w:left="0" w:firstLine="0"/>
        <w:jc w:val="both"/>
        <w:rPr>
          <w:sz w:val="24"/>
          <w:szCs w:val="24"/>
          <w:lang w:eastAsia="ru-RU"/>
        </w:rPr>
      </w:pPr>
      <w:r>
        <w:rPr>
          <w:sz w:val="24"/>
          <w:szCs w:val="24"/>
          <w:lang w:eastAsia="ru-RU"/>
        </w:rPr>
        <w:t>Организация повышения квалификации 90 преподавателей, мастеров производственного обучения по программам, основанным на опыте Союза Ворлдскиллс Россия.</w:t>
      </w:r>
    </w:p>
    <w:p w:rsidR="007E27CB" w:rsidRDefault="008F141F">
      <w:pPr>
        <w:numPr>
          <w:ilvl w:val="0"/>
          <w:numId w:val="147"/>
        </w:numPr>
        <w:tabs>
          <w:tab w:val="left" w:pos="284"/>
        </w:tabs>
        <w:spacing w:after="0" w:line="240" w:lineRule="auto"/>
        <w:ind w:left="0" w:firstLine="0"/>
        <w:jc w:val="both"/>
        <w:rPr>
          <w:sz w:val="24"/>
          <w:szCs w:val="24"/>
          <w:lang w:eastAsia="ru-RU"/>
        </w:rPr>
      </w:pPr>
      <w:r>
        <w:rPr>
          <w:sz w:val="24"/>
          <w:szCs w:val="24"/>
          <w:lang w:eastAsia="ru-RU"/>
        </w:rPr>
        <w:t>Сертификация 2 преподавателей и мастеров в качестве экспертов Ворлдскилл.</w:t>
      </w:r>
    </w:p>
    <w:p w:rsidR="007E27CB" w:rsidRDefault="008F141F">
      <w:pPr>
        <w:numPr>
          <w:ilvl w:val="0"/>
          <w:numId w:val="147"/>
        </w:numPr>
        <w:tabs>
          <w:tab w:val="left" w:pos="284"/>
        </w:tabs>
        <w:spacing w:after="0" w:line="240" w:lineRule="auto"/>
        <w:ind w:left="0" w:firstLine="0"/>
        <w:jc w:val="both"/>
        <w:rPr>
          <w:sz w:val="24"/>
          <w:szCs w:val="24"/>
          <w:lang w:eastAsia="ru-RU"/>
        </w:rPr>
      </w:pPr>
      <w:r>
        <w:rPr>
          <w:sz w:val="24"/>
          <w:szCs w:val="24"/>
          <w:lang w:eastAsia="ru-RU"/>
        </w:rPr>
        <w:t>Внедрение цифровой образовательной среды в профессиональные образовательные организации Томской области – 4 профессиональные образовательные организации и 3 филиала.</w:t>
      </w:r>
    </w:p>
    <w:p w:rsidR="007E27CB" w:rsidRDefault="007E27CB">
      <w:pPr>
        <w:pStyle w:val="a6"/>
        <w:spacing w:after="0" w:line="240" w:lineRule="auto"/>
        <w:jc w:val="both"/>
        <w:rPr>
          <w:rFonts w:ascii="Times New Roman" w:hAnsi="Times New Roman"/>
          <w:b/>
          <w:bCs/>
          <w:sz w:val="24"/>
          <w:szCs w:val="24"/>
        </w:rPr>
      </w:pPr>
    </w:p>
    <w:p w:rsidR="007E27CB" w:rsidRDefault="008F141F">
      <w:pPr>
        <w:spacing w:after="0" w:line="240" w:lineRule="auto"/>
        <w:ind w:firstLine="567"/>
        <w:jc w:val="both"/>
        <w:rPr>
          <w:b/>
          <w:sz w:val="24"/>
          <w:szCs w:val="24"/>
        </w:rPr>
      </w:pPr>
      <w:r>
        <w:rPr>
          <w:b/>
          <w:sz w:val="24"/>
          <w:szCs w:val="24"/>
        </w:rPr>
        <w:t>ВЫСШЕЕ ОБРАЗОВАНИЕ</w:t>
      </w:r>
    </w:p>
    <w:p w:rsidR="007E27CB" w:rsidRDefault="007E27CB">
      <w:pPr>
        <w:spacing w:after="0" w:line="240" w:lineRule="auto"/>
        <w:ind w:firstLine="567"/>
        <w:jc w:val="both"/>
        <w:rPr>
          <w:sz w:val="24"/>
          <w:szCs w:val="24"/>
        </w:rPr>
      </w:pPr>
    </w:p>
    <w:p w:rsidR="007E27CB" w:rsidRDefault="008F141F">
      <w:pPr>
        <w:spacing w:after="0" w:line="240" w:lineRule="auto"/>
        <w:ind w:firstLine="567"/>
        <w:jc w:val="both"/>
        <w:rPr>
          <w:sz w:val="24"/>
          <w:szCs w:val="24"/>
        </w:rPr>
      </w:pPr>
      <w:r>
        <w:rPr>
          <w:sz w:val="24"/>
          <w:szCs w:val="24"/>
        </w:rPr>
        <w:t xml:space="preserve">По состоянию на 1 октября 2019 года в г. Томске обучалось 58 тыс. студентов из 78 регионов России и 93 стран мира, в том числе 10,9 тыс. студентов из стран ближнего и дальнего зарубежья (1,4 тыс. из стран дальнего зарубежья). Доля иностранных студентов очной формы обучения находится на уровне 22%. </w:t>
      </w:r>
    </w:p>
    <w:p w:rsidR="007E27CB" w:rsidRDefault="008F141F">
      <w:pPr>
        <w:spacing w:after="0" w:line="240" w:lineRule="auto"/>
        <w:ind w:firstLine="567"/>
        <w:jc w:val="both"/>
        <w:rPr>
          <w:sz w:val="24"/>
          <w:szCs w:val="24"/>
        </w:rPr>
      </w:pPr>
      <w:r>
        <w:rPr>
          <w:sz w:val="24"/>
          <w:szCs w:val="24"/>
        </w:rPr>
        <w:t>На 2019/2020 учебный год утверждено 9,4 тыс. бюджетных мест. Томская область сохранила место в тройке лучших в Российской Федерации регионов по качеству приема в вузы (мониторинг ВШЭ совместно с Минобрнауки России, Рособрнадзором и компанией «Яндекс») после Москвы и Санкт-Петербурга.</w:t>
      </w:r>
    </w:p>
    <w:p w:rsidR="007E27CB" w:rsidRDefault="008F141F">
      <w:pPr>
        <w:spacing w:after="0" w:line="240" w:lineRule="auto"/>
        <w:ind w:firstLine="567"/>
        <w:jc w:val="both"/>
        <w:rPr>
          <w:sz w:val="24"/>
          <w:szCs w:val="24"/>
        </w:rPr>
      </w:pPr>
      <w:r>
        <w:rPr>
          <w:sz w:val="24"/>
          <w:szCs w:val="24"/>
        </w:rPr>
        <w:t>Томская область имеет высокие показатели по количеству сотрудников вузов, имеющих ученую степень. В общей численности профессорско-преподавательского состава (далее по разделу – ППС) 74% сотрудников в 2019 году имели</w:t>
      </w:r>
      <w:r>
        <w:rPr>
          <w:color w:val="C00000"/>
          <w:sz w:val="24"/>
          <w:szCs w:val="24"/>
        </w:rPr>
        <w:t xml:space="preserve"> </w:t>
      </w:r>
      <w:r>
        <w:rPr>
          <w:sz w:val="24"/>
          <w:szCs w:val="24"/>
        </w:rPr>
        <w:t>ученую степень доктора наук и кандидата наук. Общая численность сотрудников организаций научно-образовательного комплекса (ППС и научных работников), обеспечивающих подготовку специалистов, составляет 5,6 тыс. человек, численность обучающихся в аспирантуре – 2,1 тыс. человек.</w:t>
      </w:r>
    </w:p>
    <w:p w:rsidR="007E27CB" w:rsidRDefault="008F141F">
      <w:pPr>
        <w:spacing w:after="0" w:line="240" w:lineRule="auto"/>
        <w:ind w:firstLine="567"/>
        <w:jc w:val="both"/>
        <w:rPr>
          <w:sz w:val="24"/>
          <w:szCs w:val="24"/>
        </w:rPr>
      </w:pPr>
      <w:r>
        <w:rPr>
          <w:rFonts w:eastAsia="Times New Roman"/>
          <w:sz w:val="24"/>
          <w:szCs w:val="24"/>
          <w:shd w:val="clear" w:color="auto" w:fill="FFFFFF"/>
        </w:rPr>
        <w:t xml:space="preserve">Томская область – единственный нестоличный регион, в котором сразу два университета участвуют в Проекте «5-100». Оба университета реализуют уникальные модели, оказывают значительное влияние на экономику и жизнь в регионе. </w:t>
      </w:r>
      <w:r>
        <w:rPr>
          <w:sz w:val="24"/>
          <w:szCs w:val="24"/>
        </w:rPr>
        <w:t>В 2019 году в рамках государственной поддержки ведущих университетов участников Проекта «5-100» и в целях повышения их конкурентоспособности ФГАОУ ВО «Национальный исследовательский Томский государственный университет» (далее по разделу – ТГУ) получил из федерального бюджета субсидию в размере 865,9 млн. рублей, ФГАОУ ВО «Национальный исследовательский Томский политехнический университет» (далее по разделу – ТПУ) – 478 млн. рублей. Деньги направлены на ведение текущей деятельности вуза для поддержания в рейтинге.</w:t>
      </w:r>
    </w:p>
    <w:p w:rsidR="007E27CB" w:rsidRDefault="008F141F">
      <w:pPr>
        <w:spacing w:after="0" w:line="240" w:lineRule="auto"/>
        <w:ind w:firstLine="567"/>
        <w:jc w:val="both"/>
        <w:rPr>
          <w:rFonts w:eastAsia="Times New Roman"/>
          <w:sz w:val="24"/>
          <w:szCs w:val="24"/>
        </w:rPr>
      </w:pPr>
      <w:r>
        <w:rPr>
          <w:rFonts w:eastAsia="Times New Roman"/>
          <w:sz w:val="24"/>
          <w:szCs w:val="24"/>
        </w:rPr>
        <w:lastRenderedPageBreak/>
        <w:t xml:space="preserve"> В рейтинге QS лучших вузов мира ТГУ в 2019 году занял 268-е место, улучшив прошлогодний показатель на девять пунктов. В рейтинге оцениваются шесть параметров: академическая репутация, репутация среди работодателей, индекс цитируемости научных публикаций, соотношение числа преподавателей и студентов, доля иностранных студентов и преподавателей. В этом рейтинге Россия представлена 25 вузами. Среди них ТГУ занимает четвертое место, ТПУ – 11-е (387-е место в мире). В рейтинге QS EECA за 2019 год ТГУ занимает 8-е место среди вузов Восточной Европы и Центральной Азии. </w:t>
      </w:r>
    </w:p>
    <w:p w:rsidR="007E27CB" w:rsidRDefault="008F141F">
      <w:pPr>
        <w:spacing w:after="0" w:line="240" w:lineRule="auto"/>
        <w:ind w:firstLine="567"/>
        <w:contextualSpacing/>
        <w:jc w:val="both"/>
        <w:rPr>
          <w:rFonts w:eastAsia="Times New Roman"/>
          <w:sz w:val="24"/>
          <w:szCs w:val="24"/>
        </w:rPr>
      </w:pPr>
      <w:r>
        <w:rPr>
          <w:rFonts w:eastAsia="Times New Roman"/>
          <w:sz w:val="24"/>
          <w:szCs w:val="24"/>
        </w:rPr>
        <w:t>В рейтинге лучших университетов стран БРИКС в 2019 году ТПУ занимает 39-е место (9-е место в России), продвинувшись за два года на 10 позиций. ТГУ поднялся с    26-й на 19-ю строку рейтинга, а по показателю «доля иностранных студентов» стал вторым среди сильнейших вузов стран БРИКС, опередив большинство именитых университетов Китая и Индии.</w:t>
      </w:r>
    </w:p>
    <w:p w:rsidR="007E27CB" w:rsidRDefault="008F141F">
      <w:pPr>
        <w:spacing w:after="0" w:line="240" w:lineRule="auto"/>
        <w:ind w:firstLine="567"/>
        <w:contextualSpacing/>
        <w:jc w:val="both"/>
        <w:rPr>
          <w:rFonts w:eastAsia="Times New Roman"/>
          <w:sz w:val="24"/>
          <w:szCs w:val="24"/>
        </w:rPr>
      </w:pPr>
      <w:r>
        <w:rPr>
          <w:rFonts w:eastAsia="Times New Roman"/>
          <w:sz w:val="24"/>
          <w:szCs w:val="24"/>
        </w:rPr>
        <w:t>Британская компания Times Higher Education опубликовала рейтинг самых интернациональных университетов мира. ТГУ стал лидером среди российских университетов. Эксперты оценивали число иностранных сотрудников университета и иностранных студентов, количество научных публикаций, написанных в соавторстве с иностранными учеными, и международную репутацию университета.</w:t>
      </w:r>
    </w:p>
    <w:p w:rsidR="007E27CB" w:rsidRDefault="008F141F">
      <w:pPr>
        <w:spacing w:after="0" w:line="240" w:lineRule="auto"/>
        <w:ind w:firstLine="567"/>
        <w:contextualSpacing/>
        <w:jc w:val="both"/>
        <w:rPr>
          <w:rFonts w:eastAsia="Times New Roman"/>
          <w:sz w:val="24"/>
          <w:szCs w:val="24"/>
        </w:rPr>
      </w:pPr>
      <w:r>
        <w:rPr>
          <w:rFonts w:eastAsia="Times New Roman"/>
          <w:sz w:val="24"/>
          <w:szCs w:val="24"/>
        </w:rPr>
        <w:t>В национальном рейтинге университетов за 2019 год, составленном Российским рейтинговым агентством «Интерфакс», ТГУ и ТПУ заняли 7-е и 8-е места соответственно, СибГМУ признан первым среди нестоличных медицинских вузов.</w:t>
      </w:r>
    </w:p>
    <w:p w:rsidR="007E27CB" w:rsidRDefault="008F141F">
      <w:pPr>
        <w:spacing w:after="0" w:line="240" w:lineRule="auto"/>
        <w:ind w:firstLine="567"/>
        <w:contextualSpacing/>
        <w:jc w:val="both"/>
        <w:rPr>
          <w:rFonts w:eastAsia="Times New Roman"/>
          <w:sz w:val="24"/>
          <w:szCs w:val="24"/>
        </w:rPr>
      </w:pPr>
      <w:r>
        <w:rPr>
          <w:rFonts w:eastAsia="Times New Roman"/>
          <w:sz w:val="24"/>
          <w:szCs w:val="24"/>
        </w:rPr>
        <w:t>Известный американский журнал U.S. News &amp; World Report опубликовал международный рейтинг высших учебных заведений Best Global Universities Rankings, в который вошли 1</w:t>
      </w:r>
      <w:r>
        <w:t> </w:t>
      </w:r>
      <w:r>
        <w:rPr>
          <w:rFonts w:eastAsia="Times New Roman"/>
          <w:sz w:val="24"/>
          <w:szCs w:val="24"/>
        </w:rPr>
        <w:t>500 лучших университетов мира. Томский государственный педагогический университет занял 563-е место в области «Физика» Best Global Universities for Physics среди сильнейших вузов и 14-е место в этой же области среди университетов России.</w:t>
      </w:r>
    </w:p>
    <w:p w:rsidR="007E27CB" w:rsidRDefault="008F141F">
      <w:pPr>
        <w:spacing w:after="0" w:line="240" w:lineRule="auto"/>
        <w:ind w:firstLine="567"/>
        <w:contextualSpacing/>
        <w:jc w:val="both"/>
        <w:rPr>
          <w:rFonts w:eastAsia="Times New Roman"/>
          <w:sz w:val="24"/>
          <w:szCs w:val="24"/>
        </w:rPr>
      </w:pPr>
      <w:r>
        <w:rPr>
          <w:sz w:val="24"/>
          <w:szCs w:val="24"/>
        </w:rPr>
        <w:t xml:space="preserve">Томск входит в число лучших студенческих городов мира, занимая 73-е место в 2019 году (в России – на 3-м месте). </w:t>
      </w:r>
    </w:p>
    <w:p w:rsidR="007E27CB" w:rsidRDefault="008F141F">
      <w:pPr>
        <w:spacing w:after="0" w:line="240" w:lineRule="auto"/>
        <w:ind w:firstLine="567"/>
        <w:contextualSpacing/>
        <w:jc w:val="both"/>
        <w:rPr>
          <w:sz w:val="24"/>
          <w:szCs w:val="24"/>
        </w:rPr>
      </w:pPr>
      <w:r>
        <w:rPr>
          <w:sz w:val="24"/>
          <w:szCs w:val="24"/>
        </w:rPr>
        <w:t>По итогам 2019 года заработная плата преподавателей образовательных организаций высшего профессионального образования и научных сотрудников превысила целевые значения, определенные Указом Президента Российской Федерации от 07.05.2012 № 597 и составила:</w:t>
      </w:r>
    </w:p>
    <w:p w:rsidR="007E27CB" w:rsidRDefault="008F141F">
      <w:pPr>
        <w:pStyle w:val="a6"/>
        <w:numPr>
          <w:ilvl w:val="0"/>
          <w:numId w:val="44"/>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87 144 рубля у преподавателей образовательных организаций высшего профессионального образования (231,2% среднемесячного дохода от трудовой деятельности в Томской области в 2019 году);</w:t>
      </w:r>
    </w:p>
    <w:p w:rsidR="007E27CB" w:rsidRDefault="008F141F">
      <w:pPr>
        <w:pStyle w:val="a6"/>
        <w:numPr>
          <w:ilvl w:val="0"/>
          <w:numId w:val="44"/>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94 136 рублей у научных сотрудников (249,8% среднемесячного дохода от трудовой деятельности в Томской области в 2019 году).</w:t>
      </w:r>
    </w:p>
    <w:p w:rsidR="007E27CB" w:rsidRDefault="007E27CB">
      <w:pPr>
        <w:pStyle w:val="a6"/>
        <w:tabs>
          <w:tab w:val="left" w:pos="993"/>
        </w:tabs>
        <w:spacing w:after="0" w:line="240" w:lineRule="auto"/>
        <w:ind w:left="709"/>
        <w:jc w:val="both"/>
        <w:rPr>
          <w:rFonts w:ascii="Times New Roman" w:hAnsi="Times New Roman"/>
          <w:sz w:val="24"/>
          <w:szCs w:val="24"/>
        </w:rPr>
      </w:pPr>
    </w:p>
    <w:p w:rsidR="007E27CB" w:rsidRDefault="008F141F">
      <w:pPr>
        <w:shd w:val="clear" w:color="auto" w:fill="F2F2F2" w:themeFill="background1" w:themeFillShade="F2"/>
        <w:tabs>
          <w:tab w:val="left" w:pos="4962"/>
        </w:tabs>
        <w:spacing w:after="0" w:line="240" w:lineRule="auto"/>
        <w:jc w:val="both"/>
        <w:rPr>
          <w:b/>
          <w:color w:val="000000" w:themeColor="text1"/>
          <w:sz w:val="24"/>
          <w:szCs w:val="24"/>
        </w:rPr>
      </w:pPr>
      <w:r>
        <w:rPr>
          <w:b/>
          <w:color w:val="000000" w:themeColor="text1"/>
          <w:sz w:val="24"/>
          <w:szCs w:val="24"/>
        </w:rPr>
        <w:t>Перспективные задачи</w:t>
      </w:r>
    </w:p>
    <w:p w:rsidR="007E27CB" w:rsidRDefault="007E27CB">
      <w:pPr>
        <w:pStyle w:val="a6"/>
        <w:tabs>
          <w:tab w:val="left" w:pos="284"/>
        </w:tabs>
        <w:spacing w:after="0" w:line="240" w:lineRule="auto"/>
        <w:ind w:left="0"/>
        <w:jc w:val="both"/>
        <w:rPr>
          <w:rFonts w:ascii="Times New Roman" w:hAnsi="Times New Roman"/>
          <w:b/>
          <w:sz w:val="24"/>
          <w:szCs w:val="24"/>
        </w:rPr>
      </w:pPr>
    </w:p>
    <w:p w:rsidR="007E27CB" w:rsidRDefault="008F141F">
      <w:pPr>
        <w:pStyle w:val="a6"/>
        <w:numPr>
          <w:ilvl w:val="0"/>
          <w:numId w:val="72"/>
        </w:numPr>
        <w:tabs>
          <w:tab w:val="left" w:pos="284"/>
        </w:tabs>
        <w:spacing w:before="100" w:beforeAutospacing="1" w:after="100" w:afterAutospacing="1" w:line="240" w:lineRule="auto"/>
        <w:ind w:left="0" w:firstLine="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Реализация в Томской области мероприятий, направленных на решение задач и достижение целевых показателей национальных проектов «Образование» и «Наука».</w:t>
      </w:r>
    </w:p>
    <w:p w:rsidR="007E27CB" w:rsidRDefault="008F141F">
      <w:pPr>
        <w:pStyle w:val="a6"/>
        <w:numPr>
          <w:ilvl w:val="0"/>
          <w:numId w:val="72"/>
        </w:numPr>
        <w:tabs>
          <w:tab w:val="left" w:pos="284"/>
        </w:tabs>
        <w:spacing w:after="0" w:line="240" w:lineRule="auto"/>
        <w:ind w:left="0" w:firstLine="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Содействие в реализации программ развития томских вузов, направленных на повышение их глобальной конкурентоспособности среди ведущих мировых научно-образовательных центров, и укрепление позиций в мировых рейтингах (QS, THE, ARWU).</w:t>
      </w:r>
    </w:p>
    <w:p w:rsidR="007E27CB" w:rsidRDefault="008F141F">
      <w:pPr>
        <w:pStyle w:val="a6"/>
        <w:numPr>
          <w:ilvl w:val="0"/>
          <w:numId w:val="72"/>
        </w:numPr>
        <w:tabs>
          <w:tab w:val="left" w:pos="284"/>
        </w:tabs>
        <w:spacing w:after="0" w:line="240" w:lineRule="auto"/>
        <w:ind w:left="0" w:firstLine="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Разработка Концепции развития экспорта образования Томской области.</w:t>
      </w:r>
    </w:p>
    <w:p w:rsidR="007E27CB" w:rsidRDefault="007E27CB">
      <w:pPr>
        <w:tabs>
          <w:tab w:val="left" w:pos="4962"/>
        </w:tabs>
        <w:spacing w:after="0" w:line="240" w:lineRule="auto"/>
        <w:ind w:left="567" w:hanging="567"/>
        <w:jc w:val="both"/>
        <w:rPr>
          <w:rFonts w:eastAsia="Times New Roman"/>
          <w:b/>
          <w:sz w:val="24"/>
          <w:szCs w:val="24"/>
        </w:rPr>
      </w:pPr>
    </w:p>
    <w:p w:rsidR="007E27CB" w:rsidRDefault="007E27CB">
      <w:pPr>
        <w:tabs>
          <w:tab w:val="left" w:pos="4962"/>
        </w:tabs>
        <w:spacing w:after="0" w:line="240" w:lineRule="auto"/>
        <w:ind w:left="567" w:hanging="567"/>
        <w:jc w:val="both"/>
        <w:rPr>
          <w:rFonts w:eastAsia="Times New Roman"/>
          <w:b/>
          <w:sz w:val="24"/>
          <w:szCs w:val="24"/>
        </w:rPr>
      </w:pPr>
    </w:p>
    <w:p w:rsidR="007E27CB" w:rsidRDefault="007E27CB">
      <w:pPr>
        <w:tabs>
          <w:tab w:val="left" w:pos="4962"/>
        </w:tabs>
        <w:spacing w:after="0" w:line="240" w:lineRule="auto"/>
        <w:ind w:left="567" w:hanging="567"/>
        <w:jc w:val="both"/>
        <w:rPr>
          <w:rFonts w:eastAsia="Times New Roman"/>
          <w:b/>
          <w:sz w:val="24"/>
          <w:szCs w:val="24"/>
        </w:rPr>
      </w:pPr>
    </w:p>
    <w:p w:rsidR="007E27CB" w:rsidRDefault="008F141F">
      <w:pPr>
        <w:tabs>
          <w:tab w:val="left" w:pos="4962"/>
        </w:tabs>
        <w:spacing w:after="0" w:line="240" w:lineRule="auto"/>
        <w:ind w:left="567" w:hanging="567"/>
        <w:jc w:val="both"/>
        <w:rPr>
          <w:rFonts w:eastAsia="Times New Roman"/>
          <w:b/>
          <w:sz w:val="24"/>
          <w:szCs w:val="24"/>
        </w:rPr>
      </w:pPr>
      <w:r>
        <w:rPr>
          <w:rFonts w:eastAsia="Times New Roman"/>
          <w:b/>
          <w:sz w:val="24"/>
          <w:szCs w:val="24"/>
        </w:rPr>
        <w:lastRenderedPageBreak/>
        <w:t>3.3. Содействие улучшению жилищных условий и повышению доступности жилья</w:t>
      </w:r>
      <w:r>
        <w:rPr>
          <w:rStyle w:val="af3"/>
          <w:rFonts w:eastAsia="Times New Roman"/>
          <w:b/>
          <w:sz w:val="24"/>
          <w:szCs w:val="24"/>
        </w:rPr>
        <w:footnoteReference w:id="14"/>
      </w:r>
    </w:p>
    <w:p w:rsidR="007E27CB" w:rsidRDefault="007E27CB">
      <w:pPr>
        <w:tabs>
          <w:tab w:val="left" w:pos="4962"/>
        </w:tabs>
        <w:spacing w:after="0" w:line="240" w:lineRule="auto"/>
        <w:rPr>
          <w:rFonts w:eastAsia="Times New Roman"/>
          <w:sz w:val="24"/>
          <w:szCs w:val="24"/>
        </w:rPr>
      </w:pPr>
    </w:p>
    <w:p w:rsidR="007E27CB" w:rsidRDefault="008F141F">
      <w:pPr>
        <w:widowControl w:val="0"/>
        <w:shd w:val="clear" w:color="auto" w:fill="FFFFFF"/>
        <w:spacing w:after="0" w:line="240" w:lineRule="auto"/>
        <w:ind w:firstLine="567"/>
        <w:jc w:val="both"/>
        <w:rPr>
          <w:rFonts w:eastAsia="Times New Roman"/>
          <w:sz w:val="24"/>
          <w:szCs w:val="24"/>
          <w:lang w:eastAsia="ru-RU"/>
        </w:rPr>
      </w:pPr>
      <w:r>
        <w:rPr>
          <w:sz w:val="24"/>
          <w:szCs w:val="24"/>
        </w:rPr>
        <w:t xml:space="preserve">По итогам 2019 года введено в эксплуатацию 438,6 тыс. кв. м общей площади жилых помещений, что составляет 100,4% к аналогичному периоду прошлого года. </w:t>
      </w:r>
      <w:r>
        <w:rPr>
          <w:noProof/>
          <w:sz w:val="24"/>
          <w:szCs w:val="24"/>
        </w:rPr>
        <w:t>За 2019 год отмечается снижение многоквартирного жилого строительства на 7,7%, при этом наблюдается рост ввода жилья за счет индивидуальных застройщиков на 12,8%.</w:t>
      </w:r>
      <w:r>
        <w:rPr>
          <w:rFonts w:eastAsia="Times New Roman"/>
          <w:sz w:val="24"/>
          <w:szCs w:val="24"/>
          <w:lang w:eastAsia="ru-RU"/>
        </w:rPr>
        <w:t xml:space="preserve"> </w:t>
      </w:r>
    </w:p>
    <w:p w:rsidR="007E27CB" w:rsidRDefault="008F141F">
      <w:pPr>
        <w:widowControl w:val="0"/>
        <w:shd w:val="clear" w:color="auto" w:fill="FFFFFF"/>
        <w:spacing w:after="0" w:line="240" w:lineRule="auto"/>
        <w:ind w:firstLine="567"/>
        <w:jc w:val="both"/>
        <w:rPr>
          <w:rFonts w:eastAsia="Times New Roman"/>
          <w:sz w:val="24"/>
          <w:szCs w:val="24"/>
          <w:lang w:eastAsia="ru-RU"/>
        </w:rPr>
      </w:pPr>
      <w:r>
        <w:rPr>
          <w:rFonts w:eastAsia="Times New Roman"/>
          <w:sz w:val="24"/>
          <w:szCs w:val="24"/>
          <w:lang w:eastAsia="ru-RU"/>
        </w:rPr>
        <w:t>По данным Томскстата средняя стоимость одного квадратного метра жилья на первичном рынке в 2019 году составляла 57 080 руб./кв. м, что на 12,6 % больше, чем в 2018 году.</w:t>
      </w:r>
    </w:p>
    <w:p w:rsidR="007E27CB" w:rsidRDefault="007E27CB">
      <w:pPr>
        <w:pStyle w:val="13"/>
        <w:shd w:val="clear" w:color="auto" w:fill="auto"/>
        <w:spacing w:after="0" w:line="240" w:lineRule="auto"/>
        <w:ind w:firstLine="709"/>
        <w:jc w:val="both"/>
        <w:rPr>
          <w:noProof/>
          <w:sz w:val="24"/>
          <w:szCs w:val="24"/>
        </w:rPr>
      </w:pPr>
    </w:p>
    <w:p w:rsidR="007E27CB" w:rsidRDefault="008F141F">
      <w:pPr>
        <w:pStyle w:val="13"/>
        <w:shd w:val="clear" w:color="auto" w:fill="auto"/>
        <w:spacing w:after="0" w:line="240" w:lineRule="auto"/>
        <w:ind w:firstLine="284"/>
        <w:jc w:val="both"/>
        <w:rPr>
          <w:sz w:val="24"/>
          <w:szCs w:val="24"/>
        </w:rPr>
      </w:pPr>
      <w:r>
        <w:rPr>
          <w:noProof/>
          <w:sz w:val="24"/>
          <w:szCs w:val="24"/>
          <w:lang w:eastAsia="ru-RU"/>
        </w:rPr>
        <w:drawing>
          <wp:inline distT="0" distB="0" distL="0" distR="0">
            <wp:extent cx="5523230" cy="3159125"/>
            <wp:effectExtent l="0" t="0" r="1270" b="3175"/>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7E27CB" w:rsidRDefault="008F141F">
      <w:pPr>
        <w:pStyle w:val="a6"/>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В рамках государственной программы «Обеспечение доступности жилья и улучшение качества жилищных условий населения Томской области» (далее по разделу </w:t>
      </w:r>
      <w:r>
        <w:rPr>
          <w:rFonts w:eastAsia="Times New Roman"/>
          <w:sz w:val="24"/>
          <w:szCs w:val="24"/>
          <w:lang w:eastAsia="ru-RU"/>
        </w:rPr>
        <w:t xml:space="preserve">– </w:t>
      </w:r>
      <w:r>
        <w:rPr>
          <w:rFonts w:ascii="Times New Roman" w:eastAsia="Times New Roman" w:hAnsi="Times New Roman"/>
          <w:sz w:val="24"/>
          <w:szCs w:val="24"/>
          <w:lang w:eastAsia="ru-RU"/>
        </w:rPr>
        <w:t>государственная программа</w:t>
      </w:r>
      <w:r>
        <w:rPr>
          <w:rFonts w:ascii="Times New Roman" w:hAnsi="Times New Roman"/>
        </w:rPr>
        <w:t xml:space="preserve"> </w:t>
      </w:r>
      <w:r>
        <w:rPr>
          <w:rFonts w:ascii="Times New Roman" w:hAnsi="Times New Roman"/>
          <w:sz w:val="24"/>
          <w:szCs w:val="24"/>
        </w:rPr>
        <w:t>) приобретены жилые помещения в г. Асино в рамках проекта «Бюджетный дом», 2 очереди сетей водоотведения и ул. Ахматова в Томском районе д. Кисловка МКР Северный. Произведена окончательная оплата по объекту «Улицы № 1 и № 2 в микрорайоне № 13 жилого района «Восточный» в г. Томске».</w:t>
      </w:r>
    </w:p>
    <w:p w:rsidR="007E27CB" w:rsidRDefault="008F141F">
      <w:pPr>
        <w:autoSpaceDE w:val="0"/>
        <w:autoSpaceDN w:val="0"/>
        <w:adjustRightInd w:val="0"/>
        <w:spacing w:after="0" w:line="240" w:lineRule="auto"/>
        <w:ind w:firstLine="567"/>
        <w:jc w:val="both"/>
        <w:rPr>
          <w:color w:val="000000"/>
          <w:sz w:val="24"/>
          <w:szCs w:val="24"/>
        </w:rPr>
      </w:pPr>
      <w:r>
        <w:rPr>
          <w:color w:val="000000"/>
          <w:sz w:val="24"/>
          <w:szCs w:val="24"/>
        </w:rPr>
        <w:t>В 2019 году в рамках реализации мероприятий государственной программы обеспечено жильем 466 семей.</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
        <w:gridCol w:w="6800"/>
        <w:gridCol w:w="1985"/>
      </w:tblGrid>
      <w:tr w:rsidR="007E27CB">
        <w:tc>
          <w:tcPr>
            <w:tcW w:w="679" w:type="dxa"/>
            <w:tcBorders>
              <w:top w:val="single" w:sz="4" w:space="0" w:color="auto"/>
              <w:left w:val="single" w:sz="4" w:space="0" w:color="auto"/>
              <w:bottom w:val="single" w:sz="4" w:space="0" w:color="auto"/>
              <w:right w:val="single" w:sz="4" w:space="0" w:color="auto"/>
            </w:tcBorders>
            <w:vAlign w:val="center"/>
            <w:hideMark/>
          </w:tcPr>
          <w:p w:rsidR="007E27CB" w:rsidRDefault="008F141F">
            <w:pPr>
              <w:autoSpaceDE w:val="0"/>
              <w:autoSpaceDN w:val="0"/>
              <w:adjustRightInd w:val="0"/>
              <w:spacing w:after="0" w:line="240" w:lineRule="auto"/>
              <w:ind w:right="72"/>
              <w:jc w:val="center"/>
              <w:rPr>
                <w:rFonts w:eastAsia="Times New Roman"/>
                <w:sz w:val="24"/>
                <w:szCs w:val="24"/>
                <w:lang w:eastAsia="ar-SA"/>
              </w:rPr>
            </w:pPr>
            <w:r>
              <w:rPr>
                <w:rFonts w:eastAsia="Times New Roman"/>
                <w:sz w:val="24"/>
                <w:szCs w:val="24"/>
                <w:lang w:eastAsia="ar-SA"/>
              </w:rPr>
              <w:t>№</w:t>
            </w:r>
          </w:p>
        </w:tc>
        <w:tc>
          <w:tcPr>
            <w:tcW w:w="6800" w:type="dxa"/>
            <w:tcBorders>
              <w:top w:val="single" w:sz="4" w:space="0" w:color="auto"/>
              <w:left w:val="single" w:sz="4" w:space="0" w:color="auto"/>
              <w:bottom w:val="single" w:sz="4" w:space="0" w:color="auto"/>
              <w:right w:val="single" w:sz="4" w:space="0" w:color="auto"/>
            </w:tcBorders>
            <w:vAlign w:val="center"/>
            <w:hideMark/>
          </w:tcPr>
          <w:p w:rsidR="007E27CB" w:rsidRDefault="008F141F">
            <w:pPr>
              <w:autoSpaceDE w:val="0"/>
              <w:autoSpaceDN w:val="0"/>
              <w:adjustRightInd w:val="0"/>
              <w:spacing w:after="0" w:line="240" w:lineRule="auto"/>
              <w:ind w:right="72"/>
              <w:jc w:val="center"/>
              <w:rPr>
                <w:rFonts w:eastAsia="Times New Roman"/>
                <w:sz w:val="24"/>
                <w:szCs w:val="24"/>
                <w:lang w:eastAsia="ar-SA"/>
              </w:rPr>
            </w:pPr>
            <w:r>
              <w:rPr>
                <w:rFonts w:eastAsia="Times New Roman"/>
                <w:sz w:val="24"/>
                <w:szCs w:val="24"/>
                <w:lang w:eastAsia="ar-SA"/>
              </w:rPr>
              <w:t>Наименование программы</w:t>
            </w:r>
          </w:p>
        </w:tc>
        <w:tc>
          <w:tcPr>
            <w:tcW w:w="1985" w:type="dxa"/>
            <w:tcBorders>
              <w:top w:val="single" w:sz="4" w:space="0" w:color="auto"/>
              <w:left w:val="single" w:sz="4" w:space="0" w:color="auto"/>
              <w:bottom w:val="single" w:sz="4" w:space="0" w:color="auto"/>
              <w:right w:val="single" w:sz="4" w:space="0" w:color="auto"/>
            </w:tcBorders>
            <w:vAlign w:val="center"/>
            <w:hideMark/>
          </w:tcPr>
          <w:p w:rsidR="007E27CB" w:rsidRDefault="008F141F">
            <w:pPr>
              <w:autoSpaceDE w:val="0"/>
              <w:autoSpaceDN w:val="0"/>
              <w:adjustRightInd w:val="0"/>
              <w:spacing w:after="0" w:line="240" w:lineRule="auto"/>
              <w:ind w:right="72"/>
              <w:jc w:val="center"/>
              <w:rPr>
                <w:rFonts w:eastAsia="Times New Roman"/>
                <w:sz w:val="24"/>
                <w:szCs w:val="24"/>
                <w:lang w:eastAsia="ar-SA"/>
              </w:rPr>
            </w:pPr>
            <w:r>
              <w:rPr>
                <w:rFonts w:eastAsia="Times New Roman"/>
                <w:sz w:val="24"/>
                <w:szCs w:val="24"/>
                <w:lang w:eastAsia="ar-SA"/>
              </w:rPr>
              <w:t>Обеспечено жильем, семей</w:t>
            </w:r>
          </w:p>
        </w:tc>
      </w:tr>
      <w:tr w:rsidR="007E27CB">
        <w:tc>
          <w:tcPr>
            <w:tcW w:w="679" w:type="dxa"/>
            <w:tcBorders>
              <w:top w:val="single" w:sz="4" w:space="0" w:color="auto"/>
              <w:left w:val="single" w:sz="4" w:space="0" w:color="auto"/>
              <w:bottom w:val="single" w:sz="4" w:space="0" w:color="auto"/>
              <w:right w:val="single" w:sz="4" w:space="0" w:color="auto"/>
            </w:tcBorders>
            <w:vAlign w:val="center"/>
            <w:hideMark/>
          </w:tcPr>
          <w:p w:rsidR="007E27CB" w:rsidRDefault="008F141F">
            <w:pPr>
              <w:autoSpaceDE w:val="0"/>
              <w:autoSpaceDN w:val="0"/>
              <w:adjustRightInd w:val="0"/>
              <w:spacing w:after="0" w:line="240" w:lineRule="auto"/>
              <w:ind w:right="72"/>
              <w:jc w:val="center"/>
              <w:rPr>
                <w:rFonts w:eastAsia="Times New Roman"/>
                <w:sz w:val="24"/>
                <w:szCs w:val="24"/>
                <w:lang w:eastAsia="ar-SA"/>
              </w:rPr>
            </w:pPr>
            <w:r>
              <w:rPr>
                <w:rFonts w:eastAsia="Times New Roman"/>
                <w:sz w:val="24"/>
                <w:szCs w:val="24"/>
                <w:lang w:eastAsia="ar-SA"/>
              </w:rPr>
              <w:t>1.</w:t>
            </w:r>
          </w:p>
        </w:tc>
        <w:tc>
          <w:tcPr>
            <w:tcW w:w="6800" w:type="dxa"/>
            <w:tcBorders>
              <w:top w:val="single" w:sz="4" w:space="0" w:color="auto"/>
              <w:left w:val="single" w:sz="4" w:space="0" w:color="auto"/>
              <w:bottom w:val="single" w:sz="4" w:space="0" w:color="auto"/>
              <w:right w:val="single" w:sz="4" w:space="0" w:color="auto"/>
            </w:tcBorders>
            <w:vAlign w:val="center"/>
            <w:hideMark/>
          </w:tcPr>
          <w:p w:rsidR="007E27CB" w:rsidRDefault="008F141F">
            <w:pPr>
              <w:autoSpaceDE w:val="0"/>
              <w:autoSpaceDN w:val="0"/>
              <w:adjustRightInd w:val="0"/>
              <w:spacing w:after="0" w:line="240" w:lineRule="auto"/>
              <w:ind w:right="72"/>
              <w:rPr>
                <w:rFonts w:eastAsia="Times New Roman"/>
                <w:sz w:val="24"/>
                <w:szCs w:val="24"/>
                <w:lang w:eastAsia="ar-SA"/>
              </w:rPr>
            </w:pPr>
            <w:r>
              <w:rPr>
                <w:rFonts w:eastAsia="Times New Roman"/>
                <w:sz w:val="24"/>
                <w:szCs w:val="24"/>
                <w:lang w:eastAsia="ar-SA"/>
              </w:rPr>
              <w:t xml:space="preserve">Подпрограмма «Выполнение государственных обязательств по обеспечению жильем категорий граждан, установленных федеральным законодательством» ФЦП «Жилище» на 2015 </w:t>
            </w:r>
            <w:r>
              <w:rPr>
                <w:rFonts w:eastAsia="Times New Roman"/>
                <w:sz w:val="24"/>
                <w:szCs w:val="24"/>
                <w:lang w:eastAsia="ru-RU"/>
              </w:rPr>
              <w:t xml:space="preserve">– </w:t>
            </w:r>
            <w:r>
              <w:rPr>
                <w:rFonts w:eastAsia="Times New Roman"/>
                <w:sz w:val="24"/>
                <w:szCs w:val="24"/>
                <w:lang w:eastAsia="ar-SA"/>
              </w:rPr>
              <w:t>2020 годы, в том числе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7E27CB" w:rsidRDefault="008F141F">
            <w:pPr>
              <w:spacing w:after="0" w:line="240" w:lineRule="auto"/>
              <w:jc w:val="center"/>
              <w:rPr>
                <w:rFonts w:eastAsia="Times New Roman"/>
                <w:sz w:val="24"/>
                <w:szCs w:val="24"/>
                <w:lang w:eastAsia="ar-SA"/>
              </w:rPr>
            </w:pPr>
            <w:r>
              <w:rPr>
                <w:rFonts w:eastAsia="Times New Roman"/>
                <w:sz w:val="24"/>
                <w:szCs w:val="24"/>
                <w:lang w:eastAsia="ar-SA"/>
              </w:rPr>
              <w:t>128</w:t>
            </w:r>
          </w:p>
        </w:tc>
      </w:tr>
      <w:tr w:rsidR="007E27CB">
        <w:tc>
          <w:tcPr>
            <w:tcW w:w="679" w:type="dxa"/>
            <w:tcBorders>
              <w:top w:val="single" w:sz="4" w:space="0" w:color="auto"/>
              <w:left w:val="single" w:sz="4" w:space="0" w:color="auto"/>
              <w:bottom w:val="single" w:sz="4" w:space="0" w:color="auto"/>
              <w:right w:val="single" w:sz="4" w:space="0" w:color="auto"/>
            </w:tcBorders>
            <w:vAlign w:val="center"/>
            <w:hideMark/>
          </w:tcPr>
          <w:p w:rsidR="007E27CB" w:rsidRDefault="008F141F">
            <w:pPr>
              <w:autoSpaceDE w:val="0"/>
              <w:autoSpaceDN w:val="0"/>
              <w:adjustRightInd w:val="0"/>
              <w:spacing w:after="0" w:line="240" w:lineRule="auto"/>
              <w:ind w:right="72"/>
              <w:jc w:val="center"/>
              <w:rPr>
                <w:rFonts w:eastAsia="Times New Roman"/>
                <w:sz w:val="24"/>
                <w:szCs w:val="24"/>
                <w:lang w:eastAsia="ar-SA"/>
              </w:rPr>
            </w:pPr>
            <w:r>
              <w:rPr>
                <w:rFonts w:eastAsia="Times New Roman"/>
                <w:sz w:val="24"/>
                <w:szCs w:val="24"/>
                <w:lang w:eastAsia="ar-SA"/>
              </w:rPr>
              <w:t>1.1.</w:t>
            </w:r>
          </w:p>
        </w:tc>
        <w:tc>
          <w:tcPr>
            <w:tcW w:w="6800" w:type="dxa"/>
            <w:tcBorders>
              <w:top w:val="single" w:sz="4" w:space="0" w:color="auto"/>
              <w:left w:val="single" w:sz="4" w:space="0" w:color="auto"/>
              <w:bottom w:val="single" w:sz="4" w:space="0" w:color="auto"/>
              <w:right w:val="single" w:sz="4" w:space="0" w:color="auto"/>
            </w:tcBorders>
            <w:hideMark/>
          </w:tcPr>
          <w:p w:rsidR="007E27CB" w:rsidRDefault="008F141F">
            <w:pPr>
              <w:spacing w:after="0" w:line="240" w:lineRule="auto"/>
              <w:rPr>
                <w:rFonts w:eastAsia="Times New Roman"/>
                <w:sz w:val="24"/>
                <w:szCs w:val="24"/>
                <w:lang w:eastAsia="ar-SA"/>
              </w:rPr>
            </w:pPr>
            <w:r>
              <w:rPr>
                <w:rFonts w:eastAsia="Times New Roman"/>
                <w:sz w:val="24"/>
                <w:szCs w:val="24"/>
                <w:lang w:eastAsia="ar-SA"/>
              </w:rPr>
              <w:t>Граждане, выезжающие (выехавшие) из районов Крайнего Севера и приравненных к ним местностей</w:t>
            </w:r>
          </w:p>
        </w:tc>
        <w:tc>
          <w:tcPr>
            <w:tcW w:w="1985" w:type="dxa"/>
            <w:tcBorders>
              <w:top w:val="single" w:sz="4" w:space="0" w:color="auto"/>
              <w:left w:val="single" w:sz="4" w:space="0" w:color="auto"/>
              <w:bottom w:val="single" w:sz="4" w:space="0" w:color="auto"/>
              <w:right w:val="single" w:sz="4" w:space="0" w:color="auto"/>
            </w:tcBorders>
            <w:vAlign w:val="center"/>
            <w:hideMark/>
          </w:tcPr>
          <w:p w:rsidR="007E27CB" w:rsidRDefault="008F141F">
            <w:pPr>
              <w:spacing w:after="0" w:line="240" w:lineRule="auto"/>
              <w:jc w:val="center"/>
              <w:rPr>
                <w:rFonts w:eastAsia="Times New Roman"/>
                <w:sz w:val="24"/>
                <w:szCs w:val="24"/>
                <w:lang w:eastAsia="ar-SA"/>
              </w:rPr>
            </w:pPr>
            <w:r>
              <w:rPr>
                <w:rFonts w:eastAsia="Times New Roman"/>
                <w:sz w:val="24"/>
                <w:szCs w:val="24"/>
                <w:lang w:eastAsia="ar-SA"/>
              </w:rPr>
              <w:t>123</w:t>
            </w:r>
          </w:p>
        </w:tc>
      </w:tr>
      <w:tr w:rsidR="007E27CB">
        <w:tc>
          <w:tcPr>
            <w:tcW w:w="679" w:type="dxa"/>
            <w:tcBorders>
              <w:top w:val="single" w:sz="4" w:space="0" w:color="auto"/>
              <w:left w:val="single" w:sz="4" w:space="0" w:color="auto"/>
              <w:bottom w:val="single" w:sz="4" w:space="0" w:color="auto"/>
              <w:right w:val="single" w:sz="4" w:space="0" w:color="auto"/>
            </w:tcBorders>
            <w:vAlign w:val="center"/>
            <w:hideMark/>
          </w:tcPr>
          <w:p w:rsidR="007E27CB" w:rsidRDefault="008F141F">
            <w:pPr>
              <w:autoSpaceDE w:val="0"/>
              <w:autoSpaceDN w:val="0"/>
              <w:adjustRightInd w:val="0"/>
              <w:spacing w:after="0" w:line="240" w:lineRule="auto"/>
              <w:ind w:right="72"/>
              <w:jc w:val="center"/>
              <w:rPr>
                <w:rFonts w:eastAsia="Times New Roman"/>
                <w:sz w:val="24"/>
                <w:szCs w:val="24"/>
                <w:lang w:eastAsia="ar-SA"/>
              </w:rPr>
            </w:pPr>
            <w:r>
              <w:rPr>
                <w:rFonts w:eastAsia="Times New Roman"/>
                <w:sz w:val="24"/>
                <w:szCs w:val="24"/>
                <w:lang w:eastAsia="ar-SA"/>
              </w:rPr>
              <w:t>1.2.</w:t>
            </w:r>
          </w:p>
        </w:tc>
        <w:tc>
          <w:tcPr>
            <w:tcW w:w="6800" w:type="dxa"/>
            <w:tcBorders>
              <w:top w:val="single" w:sz="4" w:space="0" w:color="auto"/>
              <w:left w:val="single" w:sz="4" w:space="0" w:color="auto"/>
              <w:bottom w:val="single" w:sz="4" w:space="0" w:color="auto"/>
              <w:right w:val="single" w:sz="4" w:space="0" w:color="auto"/>
            </w:tcBorders>
            <w:hideMark/>
          </w:tcPr>
          <w:p w:rsidR="007E27CB" w:rsidRDefault="008F141F">
            <w:pPr>
              <w:spacing w:after="0" w:line="240" w:lineRule="auto"/>
              <w:rPr>
                <w:rFonts w:eastAsia="Times New Roman"/>
                <w:sz w:val="24"/>
                <w:szCs w:val="24"/>
                <w:lang w:eastAsia="ar-SA"/>
              </w:rPr>
            </w:pPr>
            <w:r>
              <w:rPr>
                <w:rFonts w:eastAsia="Times New Roman"/>
                <w:sz w:val="24"/>
                <w:szCs w:val="24"/>
                <w:lang w:eastAsia="ar-SA"/>
              </w:rPr>
              <w:t>Граждане, признанные вынужденными переселенцами</w:t>
            </w:r>
          </w:p>
        </w:tc>
        <w:tc>
          <w:tcPr>
            <w:tcW w:w="1985" w:type="dxa"/>
            <w:tcBorders>
              <w:top w:val="single" w:sz="4" w:space="0" w:color="auto"/>
              <w:left w:val="single" w:sz="4" w:space="0" w:color="auto"/>
              <w:bottom w:val="single" w:sz="4" w:space="0" w:color="auto"/>
              <w:right w:val="single" w:sz="4" w:space="0" w:color="auto"/>
            </w:tcBorders>
            <w:vAlign w:val="center"/>
            <w:hideMark/>
          </w:tcPr>
          <w:p w:rsidR="007E27CB" w:rsidRDefault="008F141F">
            <w:pPr>
              <w:spacing w:after="0" w:line="240" w:lineRule="auto"/>
              <w:jc w:val="center"/>
              <w:rPr>
                <w:rFonts w:eastAsia="Times New Roman"/>
                <w:sz w:val="24"/>
                <w:szCs w:val="24"/>
                <w:lang w:eastAsia="ar-SA"/>
              </w:rPr>
            </w:pPr>
            <w:r>
              <w:rPr>
                <w:rFonts w:eastAsia="Times New Roman"/>
                <w:sz w:val="24"/>
                <w:szCs w:val="24"/>
                <w:lang w:eastAsia="ar-SA"/>
              </w:rPr>
              <w:t>2</w:t>
            </w:r>
          </w:p>
        </w:tc>
      </w:tr>
      <w:tr w:rsidR="007E27CB">
        <w:tc>
          <w:tcPr>
            <w:tcW w:w="679" w:type="dxa"/>
            <w:tcBorders>
              <w:top w:val="single" w:sz="4" w:space="0" w:color="auto"/>
              <w:left w:val="single" w:sz="4" w:space="0" w:color="auto"/>
              <w:bottom w:val="single" w:sz="4" w:space="0" w:color="auto"/>
              <w:right w:val="single" w:sz="4" w:space="0" w:color="auto"/>
            </w:tcBorders>
            <w:vAlign w:val="center"/>
            <w:hideMark/>
          </w:tcPr>
          <w:p w:rsidR="007E27CB" w:rsidRDefault="008F141F">
            <w:pPr>
              <w:autoSpaceDE w:val="0"/>
              <w:autoSpaceDN w:val="0"/>
              <w:adjustRightInd w:val="0"/>
              <w:spacing w:after="0" w:line="240" w:lineRule="auto"/>
              <w:ind w:right="72"/>
              <w:jc w:val="center"/>
              <w:rPr>
                <w:rFonts w:eastAsia="Times New Roman"/>
                <w:sz w:val="24"/>
                <w:szCs w:val="24"/>
                <w:lang w:eastAsia="ar-SA"/>
              </w:rPr>
            </w:pPr>
            <w:r>
              <w:rPr>
                <w:rFonts w:eastAsia="Times New Roman"/>
                <w:sz w:val="24"/>
                <w:szCs w:val="24"/>
                <w:lang w:eastAsia="ar-SA"/>
              </w:rPr>
              <w:t>1.3.</w:t>
            </w:r>
          </w:p>
        </w:tc>
        <w:tc>
          <w:tcPr>
            <w:tcW w:w="6800" w:type="dxa"/>
            <w:tcBorders>
              <w:top w:val="single" w:sz="4" w:space="0" w:color="auto"/>
              <w:left w:val="single" w:sz="4" w:space="0" w:color="auto"/>
              <w:bottom w:val="single" w:sz="4" w:space="0" w:color="auto"/>
              <w:right w:val="single" w:sz="4" w:space="0" w:color="auto"/>
            </w:tcBorders>
            <w:hideMark/>
          </w:tcPr>
          <w:p w:rsidR="007E27CB" w:rsidRDefault="008F141F">
            <w:pPr>
              <w:spacing w:after="0" w:line="240" w:lineRule="auto"/>
              <w:rPr>
                <w:rFonts w:eastAsia="Times New Roman"/>
                <w:sz w:val="24"/>
                <w:szCs w:val="24"/>
                <w:lang w:eastAsia="ar-SA"/>
              </w:rPr>
            </w:pPr>
            <w:r>
              <w:rPr>
                <w:rFonts w:eastAsia="Times New Roman"/>
                <w:sz w:val="24"/>
                <w:szCs w:val="24"/>
                <w:lang w:eastAsia="ar-SA"/>
              </w:rPr>
              <w:t>Участники ликвидации последствий радиационных аварий и катастроф</w:t>
            </w:r>
          </w:p>
        </w:tc>
        <w:tc>
          <w:tcPr>
            <w:tcW w:w="1985" w:type="dxa"/>
            <w:tcBorders>
              <w:top w:val="single" w:sz="4" w:space="0" w:color="auto"/>
              <w:left w:val="single" w:sz="4" w:space="0" w:color="auto"/>
              <w:bottom w:val="single" w:sz="4" w:space="0" w:color="auto"/>
              <w:right w:val="single" w:sz="4" w:space="0" w:color="auto"/>
            </w:tcBorders>
            <w:vAlign w:val="center"/>
            <w:hideMark/>
          </w:tcPr>
          <w:p w:rsidR="007E27CB" w:rsidRDefault="008F141F">
            <w:pPr>
              <w:spacing w:after="0" w:line="240" w:lineRule="auto"/>
              <w:jc w:val="center"/>
              <w:rPr>
                <w:rFonts w:eastAsia="Times New Roman"/>
                <w:sz w:val="24"/>
                <w:szCs w:val="24"/>
                <w:lang w:eastAsia="ar-SA"/>
              </w:rPr>
            </w:pPr>
            <w:r>
              <w:rPr>
                <w:rFonts w:eastAsia="Times New Roman"/>
                <w:sz w:val="24"/>
                <w:szCs w:val="24"/>
                <w:lang w:eastAsia="ar-SA"/>
              </w:rPr>
              <w:t>3</w:t>
            </w:r>
          </w:p>
        </w:tc>
      </w:tr>
      <w:tr w:rsidR="007E27CB">
        <w:tc>
          <w:tcPr>
            <w:tcW w:w="679" w:type="dxa"/>
            <w:tcBorders>
              <w:top w:val="single" w:sz="4" w:space="0" w:color="auto"/>
              <w:left w:val="single" w:sz="4" w:space="0" w:color="auto"/>
              <w:bottom w:val="single" w:sz="4" w:space="0" w:color="auto"/>
              <w:right w:val="single" w:sz="4" w:space="0" w:color="auto"/>
            </w:tcBorders>
            <w:hideMark/>
          </w:tcPr>
          <w:p w:rsidR="007E27CB" w:rsidRDefault="008F141F">
            <w:pPr>
              <w:spacing w:after="0" w:line="240" w:lineRule="auto"/>
              <w:jc w:val="center"/>
              <w:rPr>
                <w:rFonts w:eastAsia="Times New Roman"/>
                <w:sz w:val="24"/>
                <w:szCs w:val="24"/>
                <w:lang w:eastAsia="ar-SA"/>
              </w:rPr>
            </w:pPr>
            <w:r>
              <w:rPr>
                <w:rFonts w:eastAsia="Times New Roman"/>
                <w:sz w:val="24"/>
                <w:szCs w:val="24"/>
                <w:lang w:eastAsia="ar-SA"/>
              </w:rPr>
              <w:t>2.</w:t>
            </w:r>
          </w:p>
        </w:tc>
        <w:tc>
          <w:tcPr>
            <w:tcW w:w="6800" w:type="dxa"/>
            <w:tcBorders>
              <w:top w:val="single" w:sz="4" w:space="0" w:color="auto"/>
              <w:left w:val="single" w:sz="4" w:space="0" w:color="auto"/>
              <w:bottom w:val="single" w:sz="4" w:space="0" w:color="auto"/>
              <w:right w:val="single" w:sz="4" w:space="0" w:color="auto"/>
            </w:tcBorders>
            <w:hideMark/>
          </w:tcPr>
          <w:p w:rsidR="007E27CB" w:rsidRDefault="008F141F">
            <w:pPr>
              <w:spacing w:after="0" w:line="240" w:lineRule="auto"/>
              <w:rPr>
                <w:rFonts w:eastAsia="Times New Roman"/>
                <w:sz w:val="24"/>
                <w:szCs w:val="24"/>
                <w:lang w:eastAsia="ar-SA"/>
              </w:rPr>
            </w:pPr>
            <w:r>
              <w:rPr>
                <w:rFonts w:eastAsia="Times New Roman"/>
                <w:sz w:val="24"/>
                <w:szCs w:val="24"/>
                <w:lang w:eastAsia="ar-SA"/>
              </w:rPr>
              <w:t xml:space="preserve">Ветераны боевых действий, инвалиды и семьи, имеющие детей-инвалидов по федеральным законам «О ветеранах» и «О </w:t>
            </w:r>
            <w:r>
              <w:rPr>
                <w:rFonts w:eastAsia="Times New Roman"/>
                <w:sz w:val="24"/>
                <w:szCs w:val="24"/>
                <w:lang w:eastAsia="ar-SA"/>
              </w:rPr>
              <w:lastRenderedPageBreak/>
              <w:t>социальной защите инвалидов в Российской Федерации»</w:t>
            </w:r>
          </w:p>
        </w:tc>
        <w:tc>
          <w:tcPr>
            <w:tcW w:w="1985" w:type="dxa"/>
            <w:tcBorders>
              <w:top w:val="single" w:sz="4" w:space="0" w:color="auto"/>
              <w:left w:val="single" w:sz="4" w:space="0" w:color="auto"/>
              <w:bottom w:val="single" w:sz="4" w:space="0" w:color="auto"/>
              <w:right w:val="single" w:sz="4" w:space="0" w:color="auto"/>
            </w:tcBorders>
            <w:vAlign w:val="center"/>
            <w:hideMark/>
          </w:tcPr>
          <w:p w:rsidR="007E27CB" w:rsidRDefault="008F141F">
            <w:pPr>
              <w:spacing w:after="0" w:line="240" w:lineRule="auto"/>
              <w:jc w:val="center"/>
              <w:rPr>
                <w:rFonts w:eastAsia="Times New Roman"/>
                <w:sz w:val="24"/>
                <w:szCs w:val="24"/>
                <w:lang w:eastAsia="ar-SA"/>
              </w:rPr>
            </w:pPr>
            <w:r>
              <w:rPr>
                <w:rFonts w:eastAsia="Times New Roman"/>
                <w:sz w:val="24"/>
                <w:szCs w:val="24"/>
                <w:lang w:eastAsia="ar-SA"/>
              </w:rPr>
              <w:lastRenderedPageBreak/>
              <w:t>33</w:t>
            </w:r>
          </w:p>
        </w:tc>
      </w:tr>
      <w:tr w:rsidR="007E27CB">
        <w:tc>
          <w:tcPr>
            <w:tcW w:w="679" w:type="dxa"/>
            <w:tcBorders>
              <w:top w:val="single" w:sz="4" w:space="0" w:color="auto"/>
              <w:left w:val="single" w:sz="4" w:space="0" w:color="auto"/>
              <w:bottom w:val="single" w:sz="4" w:space="0" w:color="auto"/>
              <w:right w:val="single" w:sz="4" w:space="0" w:color="auto"/>
            </w:tcBorders>
            <w:hideMark/>
          </w:tcPr>
          <w:p w:rsidR="007E27CB" w:rsidRDefault="008F141F">
            <w:pPr>
              <w:spacing w:after="0" w:line="240" w:lineRule="auto"/>
              <w:jc w:val="center"/>
              <w:rPr>
                <w:rFonts w:eastAsia="Times New Roman"/>
                <w:sz w:val="24"/>
                <w:szCs w:val="24"/>
                <w:lang w:eastAsia="ar-SA"/>
              </w:rPr>
            </w:pPr>
            <w:r>
              <w:rPr>
                <w:rFonts w:eastAsia="Times New Roman"/>
                <w:sz w:val="24"/>
                <w:szCs w:val="24"/>
                <w:lang w:eastAsia="ar-SA"/>
              </w:rPr>
              <w:lastRenderedPageBreak/>
              <w:t>3.</w:t>
            </w:r>
          </w:p>
        </w:tc>
        <w:tc>
          <w:tcPr>
            <w:tcW w:w="6800" w:type="dxa"/>
            <w:tcBorders>
              <w:top w:val="single" w:sz="4" w:space="0" w:color="auto"/>
              <w:left w:val="single" w:sz="4" w:space="0" w:color="auto"/>
              <w:bottom w:val="single" w:sz="4" w:space="0" w:color="auto"/>
              <w:right w:val="single" w:sz="4" w:space="0" w:color="auto"/>
            </w:tcBorders>
            <w:hideMark/>
          </w:tcPr>
          <w:p w:rsidR="007E27CB" w:rsidRDefault="008F141F">
            <w:pPr>
              <w:spacing w:after="0" w:line="240" w:lineRule="auto"/>
              <w:rPr>
                <w:rFonts w:eastAsia="Times New Roman"/>
                <w:sz w:val="24"/>
                <w:szCs w:val="24"/>
                <w:lang w:eastAsia="ar-SA"/>
              </w:rPr>
            </w:pPr>
            <w:r>
              <w:rPr>
                <w:rFonts w:eastAsia="Times New Roman"/>
                <w:sz w:val="24"/>
                <w:szCs w:val="24"/>
                <w:lang w:eastAsia="ar-SA"/>
              </w:rPr>
              <w:t>Ветераны Великой Отечественной войны (Указ Президента Российской Федерации от 07.05.1998 № 714)</w:t>
            </w:r>
          </w:p>
        </w:tc>
        <w:tc>
          <w:tcPr>
            <w:tcW w:w="1985" w:type="dxa"/>
            <w:tcBorders>
              <w:top w:val="single" w:sz="4" w:space="0" w:color="auto"/>
              <w:left w:val="single" w:sz="4" w:space="0" w:color="auto"/>
              <w:bottom w:val="single" w:sz="4" w:space="0" w:color="auto"/>
              <w:right w:val="single" w:sz="4" w:space="0" w:color="auto"/>
            </w:tcBorders>
            <w:vAlign w:val="center"/>
            <w:hideMark/>
          </w:tcPr>
          <w:p w:rsidR="007E27CB" w:rsidRDefault="008F141F">
            <w:pPr>
              <w:spacing w:after="0" w:line="240" w:lineRule="auto"/>
              <w:jc w:val="center"/>
              <w:rPr>
                <w:rFonts w:eastAsia="Times New Roman"/>
                <w:sz w:val="24"/>
                <w:szCs w:val="24"/>
                <w:lang w:eastAsia="ar-SA"/>
              </w:rPr>
            </w:pPr>
            <w:r>
              <w:rPr>
                <w:rFonts w:eastAsia="Times New Roman"/>
                <w:sz w:val="24"/>
                <w:szCs w:val="24"/>
                <w:lang w:eastAsia="ar-SA"/>
              </w:rPr>
              <w:t>10</w:t>
            </w:r>
          </w:p>
        </w:tc>
      </w:tr>
      <w:tr w:rsidR="007E27CB">
        <w:tc>
          <w:tcPr>
            <w:tcW w:w="679" w:type="dxa"/>
            <w:tcBorders>
              <w:top w:val="single" w:sz="4" w:space="0" w:color="auto"/>
              <w:left w:val="single" w:sz="4" w:space="0" w:color="auto"/>
              <w:bottom w:val="single" w:sz="4" w:space="0" w:color="auto"/>
              <w:right w:val="single" w:sz="4" w:space="0" w:color="auto"/>
            </w:tcBorders>
            <w:hideMark/>
          </w:tcPr>
          <w:p w:rsidR="007E27CB" w:rsidRDefault="008F141F">
            <w:pPr>
              <w:spacing w:after="0" w:line="240" w:lineRule="auto"/>
              <w:jc w:val="center"/>
              <w:rPr>
                <w:rFonts w:eastAsia="Times New Roman"/>
                <w:sz w:val="24"/>
                <w:szCs w:val="24"/>
                <w:lang w:eastAsia="ar-SA"/>
              </w:rPr>
            </w:pPr>
            <w:r>
              <w:rPr>
                <w:rFonts w:eastAsia="Times New Roman"/>
                <w:sz w:val="24"/>
                <w:szCs w:val="24"/>
                <w:lang w:eastAsia="ar-SA"/>
              </w:rPr>
              <w:t>4.</w:t>
            </w:r>
          </w:p>
        </w:tc>
        <w:tc>
          <w:tcPr>
            <w:tcW w:w="6800" w:type="dxa"/>
            <w:tcBorders>
              <w:top w:val="single" w:sz="4" w:space="0" w:color="auto"/>
              <w:left w:val="single" w:sz="4" w:space="0" w:color="auto"/>
              <w:bottom w:val="single" w:sz="4" w:space="0" w:color="auto"/>
              <w:right w:val="single" w:sz="4" w:space="0" w:color="auto"/>
            </w:tcBorders>
            <w:hideMark/>
          </w:tcPr>
          <w:p w:rsidR="007E27CB" w:rsidRDefault="008F141F">
            <w:pPr>
              <w:spacing w:after="0" w:line="240" w:lineRule="auto"/>
              <w:rPr>
                <w:rFonts w:eastAsia="Times New Roman"/>
                <w:sz w:val="24"/>
                <w:szCs w:val="24"/>
                <w:lang w:eastAsia="ar-SA"/>
              </w:rPr>
            </w:pPr>
            <w:r>
              <w:rPr>
                <w:rFonts w:eastAsia="Times New Roman"/>
                <w:sz w:val="24"/>
                <w:szCs w:val="24"/>
                <w:lang w:eastAsia="ar-SA"/>
              </w:rPr>
              <w:t>Обеспечение жильем молодых семей в Томской области</w:t>
            </w:r>
          </w:p>
        </w:tc>
        <w:tc>
          <w:tcPr>
            <w:tcW w:w="1985" w:type="dxa"/>
            <w:tcBorders>
              <w:top w:val="single" w:sz="4" w:space="0" w:color="auto"/>
              <w:left w:val="single" w:sz="4" w:space="0" w:color="auto"/>
              <w:bottom w:val="single" w:sz="4" w:space="0" w:color="auto"/>
              <w:right w:val="single" w:sz="4" w:space="0" w:color="auto"/>
            </w:tcBorders>
            <w:vAlign w:val="center"/>
            <w:hideMark/>
          </w:tcPr>
          <w:p w:rsidR="007E27CB" w:rsidRDefault="008F141F">
            <w:pPr>
              <w:spacing w:after="0" w:line="240" w:lineRule="auto"/>
              <w:jc w:val="center"/>
              <w:rPr>
                <w:rFonts w:eastAsia="Times New Roman"/>
                <w:sz w:val="24"/>
                <w:szCs w:val="24"/>
                <w:lang w:eastAsia="ar-SA"/>
              </w:rPr>
            </w:pPr>
            <w:r>
              <w:rPr>
                <w:rFonts w:eastAsia="Times New Roman"/>
                <w:sz w:val="24"/>
                <w:szCs w:val="24"/>
                <w:lang w:eastAsia="ar-SA"/>
              </w:rPr>
              <w:t>94</w:t>
            </w:r>
          </w:p>
        </w:tc>
      </w:tr>
      <w:tr w:rsidR="007E27CB">
        <w:tc>
          <w:tcPr>
            <w:tcW w:w="679" w:type="dxa"/>
            <w:tcBorders>
              <w:top w:val="single" w:sz="4" w:space="0" w:color="auto"/>
              <w:left w:val="single" w:sz="4" w:space="0" w:color="auto"/>
              <w:bottom w:val="single" w:sz="4" w:space="0" w:color="auto"/>
              <w:right w:val="single" w:sz="4" w:space="0" w:color="auto"/>
            </w:tcBorders>
            <w:hideMark/>
          </w:tcPr>
          <w:p w:rsidR="007E27CB" w:rsidRDefault="008F141F">
            <w:pPr>
              <w:spacing w:after="0" w:line="240" w:lineRule="auto"/>
              <w:jc w:val="center"/>
              <w:rPr>
                <w:rFonts w:eastAsia="Times New Roman"/>
                <w:sz w:val="24"/>
                <w:szCs w:val="24"/>
                <w:lang w:eastAsia="ar-SA"/>
              </w:rPr>
            </w:pPr>
            <w:r>
              <w:rPr>
                <w:rFonts w:eastAsia="Times New Roman"/>
                <w:sz w:val="24"/>
                <w:szCs w:val="24"/>
                <w:lang w:eastAsia="ar-SA"/>
              </w:rPr>
              <w:t>5.</w:t>
            </w:r>
          </w:p>
        </w:tc>
        <w:tc>
          <w:tcPr>
            <w:tcW w:w="6800" w:type="dxa"/>
            <w:tcBorders>
              <w:top w:val="single" w:sz="4" w:space="0" w:color="auto"/>
              <w:left w:val="single" w:sz="4" w:space="0" w:color="auto"/>
              <w:bottom w:val="single" w:sz="4" w:space="0" w:color="auto"/>
              <w:right w:val="single" w:sz="4" w:space="0" w:color="auto"/>
            </w:tcBorders>
            <w:hideMark/>
          </w:tcPr>
          <w:p w:rsidR="007E27CB" w:rsidRDefault="008F141F">
            <w:pPr>
              <w:spacing w:after="0" w:line="240" w:lineRule="auto"/>
              <w:rPr>
                <w:rFonts w:eastAsia="Times New Roman"/>
                <w:sz w:val="24"/>
                <w:szCs w:val="24"/>
                <w:lang w:eastAsia="ar-SA"/>
              </w:rPr>
            </w:pPr>
            <w:r>
              <w:rPr>
                <w:rFonts w:eastAsia="Times New Roman"/>
                <w:sz w:val="24"/>
                <w:szCs w:val="24"/>
                <w:lang w:eastAsia="ar-SA"/>
              </w:rPr>
              <w:t>Возмещение гражданам затрат по ипотечным жилищным кредитам, взятым на строительство жилых помещений (Социальная ипотека)</w:t>
            </w:r>
          </w:p>
        </w:tc>
        <w:tc>
          <w:tcPr>
            <w:tcW w:w="1985" w:type="dxa"/>
            <w:tcBorders>
              <w:top w:val="single" w:sz="4" w:space="0" w:color="auto"/>
              <w:left w:val="single" w:sz="4" w:space="0" w:color="auto"/>
              <w:bottom w:val="single" w:sz="4" w:space="0" w:color="auto"/>
              <w:right w:val="single" w:sz="4" w:space="0" w:color="auto"/>
            </w:tcBorders>
            <w:vAlign w:val="center"/>
            <w:hideMark/>
          </w:tcPr>
          <w:p w:rsidR="007E27CB" w:rsidRDefault="008F141F">
            <w:pPr>
              <w:spacing w:after="0" w:line="240" w:lineRule="auto"/>
              <w:jc w:val="center"/>
              <w:rPr>
                <w:rFonts w:eastAsia="Times New Roman"/>
                <w:sz w:val="24"/>
                <w:szCs w:val="24"/>
                <w:lang w:eastAsia="ar-SA"/>
              </w:rPr>
            </w:pPr>
            <w:r>
              <w:rPr>
                <w:rFonts w:eastAsia="Times New Roman"/>
                <w:sz w:val="24"/>
                <w:szCs w:val="24"/>
                <w:lang w:eastAsia="ar-SA"/>
              </w:rPr>
              <w:t>118</w:t>
            </w:r>
          </w:p>
        </w:tc>
      </w:tr>
      <w:tr w:rsidR="007E27CB">
        <w:tc>
          <w:tcPr>
            <w:tcW w:w="679" w:type="dxa"/>
            <w:tcBorders>
              <w:top w:val="single" w:sz="4" w:space="0" w:color="auto"/>
              <w:left w:val="single" w:sz="4" w:space="0" w:color="auto"/>
              <w:bottom w:val="single" w:sz="4" w:space="0" w:color="auto"/>
              <w:right w:val="single" w:sz="4" w:space="0" w:color="auto"/>
            </w:tcBorders>
            <w:vAlign w:val="center"/>
            <w:hideMark/>
          </w:tcPr>
          <w:p w:rsidR="007E27CB" w:rsidRDefault="008F141F">
            <w:pPr>
              <w:autoSpaceDE w:val="0"/>
              <w:autoSpaceDN w:val="0"/>
              <w:adjustRightInd w:val="0"/>
              <w:spacing w:after="0" w:line="240" w:lineRule="auto"/>
              <w:ind w:right="72"/>
              <w:jc w:val="center"/>
              <w:rPr>
                <w:rFonts w:eastAsia="Times New Roman"/>
                <w:sz w:val="24"/>
                <w:szCs w:val="24"/>
                <w:lang w:eastAsia="ar-SA"/>
              </w:rPr>
            </w:pPr>
            <w:r>
              <w:rPr>
                <w:rFonts w:eastAsia="Times New Roman"/>
                <w:sz w:val="24"/>
                <w:szCs w:val="24"/>
                <w:lang w:eastAsia="ar-SA"/>
              </w:rPr>
              <w:t>6</w:t>
            </w:r>
          </w:p>
        </w:tc>
        <w:tc>
          <w:tcPr>
            <w:tcW w:w="6800" w:type="dxa"/>
            <w:tcBorders>
              <w:top w:val="single" w:sz="4" w:space="0" w:color="auto"/>
              <w:left w:val="single" w:sz="4" w:space="0" w:color="auto"/>
              <w:bottom w:val="single" w:sz="4" w:space="0" w:color="auto"/>
              <w:right w:val="single" w:sz="4" w:space="0" w:color="auto"/>
            </w:tcBorders>
            <w:vAlign w:val="center"/>
            <w:hideMark/>
          </w:tcPr>
          <w:p w:rsidR="007E27CB" w:rsidRDefault="008F141F">
            <w:pPr>
              <w:spacing w:after="0" w:line="240" w:lineRule="auto"/>
              <w:rPr>
                <w:rFonts w:eastAsia="Times New Roman"/>
                <w:bCs/>
                <w:sz w:val="24"/>
                <w:szCs w:val="24"/>
                <w:lang w:eastAsia="ar-SA"/>
              </w:rPr>
            </w:pPr>
            <w:r>
              <w:rPr>
                <w:rFonts w:eastAsia="Times New Roman"/>
                <w:bCs/>
                <w:sz w:val="24"/>
                <w:szCs w:val="24"/>
                <w:lang w:eastAsia="ar-SA"/>
              </w:rPr>
              <w:t>Реализация проекта «Губернаторская ипотека на территории Томской области»</w:t>
            </w:r>
          </w:p>
        </w:tc>
        <w:tc>
          <w:tcPr>
            <w:tcW w:w="1985" w:type="dxa"/>
            <w:tcBorders>
              <w:top w:val="single" w:sz="4" w:space="0" w:color="auto"/>
              <w:left w:val="single" w:sz="4" w:space="0" w:color="auto"/>
              <w:bottom w:val="single" w:sz="4" w:space="0" w:color="auto"/>
              <w:right w:val="single" w:sz="4" w:space="0" w:color="auto"/>
            </w:tcBorders>
            <w:vAlign w:val="center"/>
            <w:hideMark/>
          </w:tcPr>
          <w:p w:rsidR="007E27CB" w:rsidRDefault="008F141F">
            <w:pPr>
              <w:spacing w:after="0" w:line="240" w:lineRule="auto"/>
              <w:jc w:val="center"/>
              <w:rPr>
                <w:rFonts w:eastAsia="Times New Roman"/>
                <w:bCs/>
                <w:sz w:val="24"/>
                <w:szCs w:val="24"/>
                <w:lang w:eastAsia="ar-SA"/>
              </w:rPr>
            </w:pPr>
            <w:r>
              <w:rPr>
                <w:rFonts w:eastAsia="Times New Roman"/>
                <w:bCs/>
                <w:sz w:val="24"/>
                <w:szCs w:val="24"/>
                <w:lang w:eastAsia="ar-SA"/>
              </w:rPr>
              <w:t>83</w:t>
            </w:r>
          </w:p>
        </w:tc>
      </w:tr>
      <w:tr w:rsidR="007E27CB">
        <w:tc>
          <w:tcPr>
            <w:tcW w:w="679" w:type="dxa"/>
            <w:tcBorders>
              <w:top w:val="single" w:sz="4" w:space="0" w:color="auto"/>
              <w:left w:val="single" w:sz="4" w:space="0" w:color="auto"/>
              <w:bottom w:val="single" w:sz="4" w:space="0" w:color="auto"/>
              <w:right w:val="single" w:sz="4" w:space="0" w:color="auto"/>
            </w:tcBorders>
            <w:vAlign w:val="center"/>
          </w:tcPr>
          <w:p w:rsidR="007E27CB" w:rsidRDefault="007E27CB">
            <w:pPr>
              <w:autoSpaceDE w:val="0"/>
              <w:autoSpaceDN w:val="0"/>
              <w:adjustRightInd w:val="0"/>
              <w:spacing w:after="0" w:line="240" w:lineRule="auto"/>
              <w:ind w:right="72"/>
              <w:jc w:val="center"/>
              <w:rPr>
                <w:rFonts w:eastAsia="Times New Roman"/>
                <w:sz w:val="24"/>
                <w:szCs w:val="24"/>
                <w:lang w:eastAsia="ar-SA"/>
              </w:rPr>
            </w:pPr>
          </w:p>
        </w:tc>
        <w:tc>
          <w:tcPr>
            <w:tcW w:w="6800" w:type="dxa"/>
            <w:tcBorders>
              <w:top w:val="single" w:sz="4" w:space="0" w:color="auto"/>
              <w:left w:val="single" w:sz="4" w:space="0" w:color="auto"/>
              <w:bottom w:val="single" w:sz="4" w:space="0" w:color="auto"/>
              <w:right w:val="single" w:sz="4" w:space="0" w:color="auto"/>
            </w:tcBorders>
            <w:vAlign w:val="center"/>
            <w:hideMark/>
          </w:tcPr>
          <w:p w:rsidR="007E27CB" w:rsidRDefault="008F141F">
            <w:pPr>
              <w:spacing w:after="0" w:line="240" w:lineRule="auto"/>
              <w:jc w:val="right"/>
              <w:rPr>
                <w:rFonts w:eastAsia="Times New Roman"/>
                <w:b/>
                <w:bCs/>
                <w:sz w:val="24"/>
                <w:szCs w:val="24"/>
                <w:lang w:eastAsia="ar-SA"/>
              </w:rPr>
            </w:pPr>
            <w:r>
              <w:rPr>
                <w:rFonts w:eastAsia="Times New Roman"/>
                <w:b/>
                <w:bCs/>
                <w:sz w:val="24"/>
                <w:szCs w:val="24"/>
                <w:lang w:eastAsia="ar-SA"/>
              </w:rPr>
              <w:t>Итого:</w:t>
            </w:r>
          </w:p>
        </w:tc>
        <w:tc>
          <w:tcPr>
            <w:tcW w:w="1985" w:type="dxa"/>
            <w:tcBorders>
              <w:top w:val="single" w:sz="4" w:space="0" w:color="auto"/>
              <w:left w:val="single" w:sz="4" w:space="0" w:color="auto"/>
              <w:bottom w:val="single" w:sz="4" w:space="0" w:color="auto"/>
              <w:right w:val="single" w:sz="4" w:space="0" w:color="auto"/>
            </w:tcBorders>
            <w:vAlign w:val="center"/>
            <w:hideMark/>
          </w:tcPr>
          <w:p w:rsidR="007E27CB" w:rsidRDefault="008F141F">
            <w:pPr>
              <w:spacing w:after="0" w:line="240" w:lineRule="auto"/>
              <w:jc w:val="center"/>
              <w:rPr>
                <w:rFonts w:eastAsia="Times New Roman"/>
                <w:b/>
                <w:bCs/>
                <w:sz w:val="24"/>
                <w:szCs w:val="24"/>
                <w:lang w:eastAsia="ar-SA"/>
              </w:rPr>
            </w:pPr>
            <w:r>
              <w:rPr>
                <w:rFonts w:eastAsia="Times New Roman"/>
                <w:b/>
                <w:bCs/>
                <w:sz w:val="24"/>
                <w:szCs w:val="24"/>
                <w:lang w:eastAsia="ar-SA"/>
              </w:rPr>
              <w:t xml:space="preserve"> 466</w:t>
            </w:r>
          </w:p>
        </w:tc>
      </w:tr>
    </w:tbl>
    <w:p w:rsidR="007E27CB" w:rsidRDefault="007E27CB">
      <w:pPr>
        <w:autoSpaceDE w:val="0"/>
        <w:autoSpaceDN w:val="0"/>
        <w:adjustRightInd w:val="0"/>
        <w:spacing w:after="0" w:line="240" w:lineRule="auto"/>
        <w:ind w:firstLine="709"/>
        <w:jc w:val="both"/>
        <w:rPr>
          <w:rFonts w:eastAsia="Times New Roman"/>
          <w:b/>
          <w:sz w:val="24"/>
          <w:szCs w:val="24"/>
          <w:lang w:eastAsia="ru-RU"/>
        </w:rPr>
      </w:pPr>
    </w:p>
    <w:p w:rsidR="007E27CB" w:rsidRDefault="008F141F">
      <w:pPr>
        <w:autoSpaceDE w:val="0"/>
        <w:autoSpaceDN w:val="0"/>
        <w:adjustRightInd w:val="0"/>
        <w:spacing w:after="0" w:line="240" w:lineRule="auto"/>
        <w:ind w:firstLine="567"/>
        <w:jc w:val="both"/>
        <w:rPr>
          <w:rFonts w:eastAsia="Times New Roman"/>
          <w:b/>
          <w:sz w:val="24"/>
          <w:szCs w:val="24"/>
          <w:lang w:eastAsia="ru-RU"/>
        </w:rPr>
      </w:pPr>
      <w:r>
        <w:rPr>
          <w:rFonts w:eastAsia="Times New Roman"/>
          <w:b/>
          <w:sz w:val="24"/>
          <w:szCs w:val="24"/>
          <w:lang w:eastAsia="ru-RU"/>
        </w:rPr>
        <w:t>ДОЛЕВОЕ СТРОИТЕЛЬСТВО</w:t>
      </w:r>
    </w:p>
    <w:p w:rsidR="007E27CB" w:rsidRDefault="007E27CB">
      <w:pPr>
        <w:suppressAutoHyphens/>
        <w:spacing w:after="0" w:line="240" w:lineRule="auto"/>
        <w:ind w:firstLine="567"/>
        <w:jc w:val="both"/>
        <w:rPr>
          <w:rFonts w:eastAsia="Times New Roman"/>
          <w:b/>
          <w:sz w:val="24"/>
          <w:szCs w:val="24"/>
          <w:lang w:eastAsia="ru-RU"/>
        </w:rPr>
      </w:pPr>
    </w:p>
    <w:p w:rsidR="007E27CB" w:rsidRDefault="008F141F">
      <w:pPr>
        <w:suppressAutoHyphens/>
        <w:spacing w:after="0" w:line="240" w:lineRule="auto"/>
        <w:ind w:firstLine="567"/>
        <w:jc w:val="both"/>
        <w:rPr>
          <w:rFonts w:eastAsia="Times New Roman"/>
          <w:sz w:val="24"/>
          <w:szCs w:val="24"/>
          <w:lang w:eastAsia="ru-RU"/>
        </w:rPr>
      </w:pPr>
      <w:r>
        <w:rPr>
          <w:rFonts w:eastAsia="Times New Roman"/>
          <w:sz w:val="24"/>
          <w:szCs w:val="24"/>
          <w:lang w:eastAsia="ru-RU"/>
        </w:rPr>
        <w:t>На территории Томской области в Едином реестре проблемных объектов значится 22 объекта,  строящихся с привлечением денежных средств граждан, в отношении которых строительство не начато в течение шести месяцев с момента выдачи разрешения на строительство либо строительство которых приостановлено на срок более шести месяцев.</w:t>
      </w:r>
    </w:p>
    <w:p w:rsidR="007E27CB" w:rsidRDefault="008F141F">
      <w:pPr>
        <w:suppressAutoHyphens/>
        <w:spacing w:after="0" w:line="240" w:lineRule="auto"/>
        <w:ind w:firstLine="567"/>
        <w:jc w:val="both"/>
        <w:rPr>
          <w:rFonts w:eastAsia="Times New Roman"/>
          <w:sz w:val="24"/>
          <w:szCs w:val="24"/>
          <w:lang w:eastAsia="ru-RU"/>
        </w:rPr>
      </w:pPr>
      <w:r>
        <w:rPr>
          <w:rFonts w:eastAsia="Times New Roman"/>
          <w:sz w:val="24"/>
          <w:szCs w:val="24"/>
          <w:lang w:eastAsia="ru-RU"/>
        </w:rPr>
        <w:t xml:space="preserve">В целях восстановления прав пострадавших граждан в регионе распоряжением Губернатора Томской области от 31.07.2017 № 178-р утвержден план-график по осуществлению мер по решению проблем граждан, включенных в реестр граждан, чьи денежные средства привлечены для строительства многоквартирных домов и чьи права нарушены. </w:t>
      </w:r>
    </w:p>
    <w:p w:rsidR="007E27CB" w:rsidRDefault="008F141F">
      <w:pPr>
        <w:pStyle w:val="a6"/>
        <w:tabs>
          <w:tab w:val="left" w:pos="1134"/>
        </w:tabs>
        <w:spacing w:after="0" w:line="240" w:lineRule="auto"/>
        <w:ind w:left="0" w:firstLine="567"/>
        <w:jc w:val="both"/>
        <w:rPr>
          <w:rFonts w:ascii="Times New Roman" w:eastAsia="Times New Roman" w:hAnsi="Times New Roman"/>
          <w:sz w:val="24"/>
          <w:szCs w:val="24"/>
          <w:lang w:eastAsia="ru-RU"/>
        </w:rPr>
      </w:pPr>
      <w:r>
        <w:rPr>
          <w:rFonts w:ascii="Times New Roman" w:hAnsi="Times New Roman"/>
          <w:sz w:val="24"/>
          <w:szCs w:val="24"/>
        </w:rPr>
        <w:t>В 2019 году из областного бюджета выделено 136 млн. рублей для завершения строительства многоквартирных домов, включенных в региональный реестр, что позволило продолжить работы по завершению строительства проблемных объектов по адресам: ул. Нефтяная, 15 (введен 1-й этап), пер. Нижний, 49 (строительство продолжается), ул.Большая Подгорная, 46 (строительство продолжается) в г. Томске. В многоквартирном доме по адресу: г. Томск, ул. Нефтяная, 15 планируется предоставление квартир гражданам – участникам строительства проблемных объектов по ул. Нефтяная, 5, ул. Макрушина, 9  в г. Томске.</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В 2019 году оказана государственная поддержка:</w:t>
      </w:r>
    </w:p>
    <w:p w:rsidR="007E27CB" w:rsidRDefault="008F141F">
      <w:pPr>
        <w:pStyle w:val="a6"/>
        <w:numPr>
          <w:ilvl w:val="0"/>
          <w:numId w:val="203"/>
        </w:numPr>
        <w:tabs>
          <w:tab w:val="left" w:pos="851"/>
        </w:tabs>
        <w:spacing w:after="0" w:line="240" w:lineRule="auto"/>
        <w:ind w:left="0"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 гражданину в сумме 12,9 тыс. рублей на погашение части процентной ставки по кредитам, полученным гражданами </w:t>
      </w:r>
      <w:r>
        <w:rPr>
          <w:rFonts w:eastAsia="Times New Roman"/>
          <w:sz w:val="24"/>
          <w:szCs w:val="24"/>
          <w:lang w:eastAsia="ru-RU"/>
        </w:rPr>
        <w:t>–</w:t>
      </w:r>
      <w:r>
        <w:rPr>
          <w:rFonts w:ascii="Times New Roman" w:eastAsia="Times New Roman" w:hAnsi="Times New Roman"/>
          <w:sz w:val="24"/>
          <w:szCs w:val="24"/>
          <w:lang w:eastAsia="ru-RU"/>
        </w:rPr>
        <w:t xml:space="preserve"> участниками долевого строительства на окончание строительства жилых помещений в многоквартирных домах; </w:t>
      </w:r>
    </w:p>
    <w:p w:rsidR="007E27CB" w:rsidRDefault="008F141F">
      <w:pPr>
        <w:pStyle w:val="a6"/>
        <w:numPr>
          <w:ilvl w:val="0"/>
          <w:numId w:val="203"/>
        </w:numPr>
        <w:tabs>
          <w:tab w:val="left" w:pos="851"/>
        </w:tabs>
        <w:spacing w:after="0" w:line="240" w:lineRule="auto"/>
        <w:ind w:left="0"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19 гражданам в сумме 2 105,7 тыс. рублей на частичную компенсацию   гражданам </w:t>
      </w:r>
      <w:r>
        <w:rPr>
          <w:rFonts w:eastAsia="Times New Roman"/>
          <w:sz w:val="24"/>
          <w:szCs w:val="24"/>
          <w:lang w:eastAsia="ru-RU"/>
        </w:rPr>
        <w:t>–</w:t>
      </w:r>
      <w:r>
        <w:rPr>
          <w:rFonts w:ascii="Times New Roman" w:eastAsia="Times New Roman" w:hAnsi="Times New Roman"/>
          <w:sz w:val="24"/>
          <w:szCs w:val="24"/>
          <w:lang w:eastAsia="ru-RU"/>
        </w:rPr>
        <w:t xml:space="preserve"> участникам долевого строительства затрат, связанных с наймом (арендой) жилых помещений.</w:t>
      </w:r>
    </w:p>
    <w:p w:rsidR="007E27CB" w:rsidRDefault="008F141F">
      <w:pPr>
        <w:suppressAutoHyphens/>
        <w:spacing w:after="0" w:line="240" w:lineRule="auto"/>
        <w:ind w:firstLine="567"/>
        <w:jc w:val="both"/>
        <w:rPr>
          <w:rFonts w:eastAsia="Times New Roman"/>
          <w:sz w:val="24"/>
          <w:szCs w:val="24"/>
          <w:lang w:eastAsia="ru-RU"/>
        </w:rPr>
      </w:pPr>
      <w:r>
        <w:rPr>
          <w:rFonts w:eastAsia="Times New Roman"/>
          <w:sz w:val="24"/>
          <w:szCs w:val="24"/>
          <w:lang w:eastAsia="ru-RU"/>
        </w:rPr>
        <w:t>Согласно утвержденному плану-графику решение вопроса пострадавших граждан запланировано в 2020 – 2021 годах.</w:t>
      </w:r>
    </w:p>
    <w:p w:rsidR="007E27CB" w:rsidRDefault="007E27CB">
      <w:pPr>
        <w:autoSpaceDE w:val="0"/>
        <w:autoSpaceDN w:val="0"/>
        <w:adjustRightInd w:val="0"/>
        <w:spacing w:after="0" w:line="240" w:lineRule="auto"/>
        <w:ind w:firstLine="567"/>
        <w:jc w:val="center"/>
        <w:rPr>
          <w:rFonts w:eastAsia="Times New Roman"/>
          <w:b/>
          <w:sz w:val="24"/>
          <w:szCs w:val="24"/>
          <w:u w:val="single"/>
          <w:lang w:eastAsia="ru-RU"/>
        </w:rPr>
      </w:pPr>
    </w:p>
    <w:p w:rsidR="007E27CB" w:rsidRDefault="008F141F">
      <w:pPr>
        <w:autoSpaceDE w:val="0"/>
        <w:autoSpaceDN w:val="0"/>
        <w:adjustRightInd w:val="0"/>
        <w:spacing w:after="0" w:line="240" w:lineRule="auto"/>
        <w:ind w:firstLine="567"/>
        <w:jc w:val="both"/>
        <w:rPr>
          <w:rFonts w:eastAsia="Times New Roman"/>
          <w:b/>
          <w:sz w:val="24"/>
          <w:szCs w:val="24"/>
          <w:lang w:eastAsia="ru-RU"/>
        </w:rPr>
      </w:pPr>
      <w:r>
        <w:rPr>
          <w:rFonts w:eastAsia="Times New Roman"/>
          <w:b/>
          <w:sz w:val="24"/>
          <w:szCs w:val="24"/>
          <w:lang w:eastAsia="ru-RU"/>
        </w:rPr>
        <w:t>ФОРМИРОВАНИЕ КОМФОРТНОЙ ГОРОДСКОЙ СРЕДЫ</w:t>
      </w:r>
    </w:p>
    <w:p w:rsidR="007E27CB" w:rsidRDefault="007E27CB">
      <w:pPr>
        <w:pStyle w:val="60"/>
        <w:shd w:val="clear" w:color="auto" w:fill="auto"/>
        <w:spacing w:line="240" w:lineRule="auto"/>
        <w:ind w:firstLine="567"/>
        <w:jc w:val="left"/>
        <w:rPr>
          <w:b w:val="0"/>
          <w:sz w:val="24"/>
          <w:szCs w:val="24"/>
        </w:rPr>
      </w:pPr>
    </w:p>
    <w:p w:rsidR="007E27CB" w:rsidRDefault="008F141F">
      <w:pPr>
        <w:spacing w:after="0" w:line="240" w:lineRule="auto"/>
        <w:ind w:firstLine="567"/>
        <w:jc w:val="both"/>
        <w:rPr>
          <w:sz w:val="24"/>
          <w:szCs w:val="24"/>
        </w:rPr>
      </w:pPr>
      <w:r>
        <w:rPr>
          <w:rFonts w:eastAsia="Times New Roman"/>
          <w:sz w:val="24"/>
          <w:szCs w:val="24"/>
          <w:lang w:eastAsia="ru-RU"/>
        </w:rPr>
        <w:t>В 2019 году региональный проект «Формирование комфортной городской среды» реализовался на территории 20 муниципальных образований Томской области, заключено 280 муниципальных контрактов (договоров). Запланированные работы завершены в полном объеме на 67 общественных территориях (благоустройство</w:t>
      </w:r>
      <w:r>
        <w:rPr>
          <w:sz w:val="24"/>
          <w:szCs w:val="24"/>
        </w:rPr>
        <w:t xml:space="preserve"> пешеходно-тропиночной сети, установка малых архитектурных форм, озеленение) в 20 муниципальных образованиях. </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lastRenderedPageBreak/>
        <w:t xml:space="preserve">Финансирование благоустроительных работ составило 422,8 млн. рублей, в том числе за счет федерального бюджета – 410,5 млн. рублей, областного бюджета – 12,3 млн. рублей. </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В 2019 году г. Кедровый участвовал во Всероссийском конкурсе малых городов и исторических поселений. Распоряжением Правительства Российской Федерации от 26.04.2019 № 843-р по итогам конкурса победителю конкурса из Томской области выделено 40 млн. рублей на реализацию проекта в муниципальном образовании «Город Кедровый». 22.12.2019 заключен муниципальный контракт на выполнение работ по благоустройству единого общественного пространства «ЭКОКЕДР».</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 xml:space="preserve">В рейтинговом голосовании по отбору территорий на 2020 год приняло участие 124 тысячи человек. </w:t>
      </w:r>
    </w:p>
    <w:p w:rsidR="007E27CB" w:rsidRDefault="007E27CB">
      <w:pPr>
        <w:tabs>
          <w:tab w:val="left" w:pos="4962"/>
        </w:tabs>
        <w:spacing w:after="0" w:line="240" w:lineRule="auto"/>
        <w:ind w:firstLine="567"/>
        <w:jc w:val="both"/>
        <w:rPr>
          <w:rFonts w:eastAsia="Times New Roman"/>
          <w:b/>
          <w:sz w:val="24"/>
          <w:szCs w:val="24"/>
          <w:lang w:eastAsia="ar-SA"/>
        </w:rPr>
      </w:pPr>
    </w:p>
    <w:p w:rsidR="007E27CB" w:rsidRDefault="008F141F">
      <w:pPr>
        <w:shd w:val="clear" w:color="auto" w:fill="F2F2F2" w:themeFill="background1" w:themeFillShade="F2"/>
        <w:tabs>
          <w:tab w:val="left" w:pos="4962"/>
        </w:tabs>
        <w:spacing w:after="0" w:line="240" w:lineRule="auto"/>
        <w:jc w:val="both"/>
        <w:rPr>
          <w:b/>
          <w:color w:val="000000" w:themeColor="text1"/>
          <w:sz w:val="24"/>
          <w:szCs w:val="24"/>
        </w:rPr>
      </w:pPr>
      <w:r>
        <w:rPr>
          <w:b/>
          <w:color w:val="000000" w:themeColor="text1"/>
          <w:sz w:val="24"/>
          <w:szCs w:val="24"/>
        </w:rPr>
        <w:t>Перспективные задачи:</w:t>
      </w:r>
    </w:p>
    <w:p w:rsidR="007E27CB" w:rsidRDefault="007E27CB">
      <w:pPr>
        <w:pStyle w:val="Pa2"/>
        <w:tabs>
          <w:tab w:val="left" w:pos="284"/>
        </w:tabs>
        <w:spacing w:line="240" w:lineRule="auto"/>
        <w:jc w:val="both"/>
        <w:rPr>
          <w:rFonts w:ascii="Times New Roman" w:hAnsi="Times New Roman" w:cs="Times New Roman"/>
          <w:color w:val="000000"/>
        </w:rPr>
      </w:pPr>
    </w:p>
    <w:p w:rsidR="007E27CB" w:rsidRDefault="008F141F">
      <w:pPr>
        <w:pStyle w:val="Pa2"/>
        <w:numPr>
          <w:ilvl w:val="0"/>
          <w:numId w:val="100"/>
        </w:numPr>
        <w:tabs>
          <w:tab w:val="left" w:pos="284"/>
        </w:tabs>
        <w:spacing w:line="240" w:lineRule="auto"/>
        <w:ind w:left="0" w:firstLine="0"/>
        <w:jc w:val="both"/>
        <w:rPr>
          <w:rFonts w:ascii="Times New Roman" w:hAnsi="Times New Roman" w:cs="Times New Roman"/>
          <w:color w:val="000000"/>
        </w:rPr>
      </w:pPr>
      <w:r>
        <w:rPr>
          <w:rFonts w:ascii="Times New Roman" w:hAnsi="Times New Roman" w:cs="Times New Roman"/>
          <w:color w:val="000000"/>
        </w:rPr>
        <w:t xml:space="preserve">Обеспечение участия Томской области во всех федеральных программах, привлечение внебюджетных инвестиционных ресурсов на цели стимулирования развития жилищного строительства, в том числе на инфраструктуру, и помощь гражданам в приобретении жилья. </w:t>
      </w:r>
    </w:p>
    <w:p w:rsidR="007E27CB" w:rsidRDefault="008F141F">
      <w:pPr>
        <w:pStyle w:val="Pa2"/>
        <w:numPr>
          <w:ilvl w:val="0"/>
          <w:numId w:val="100"/>
        </w:numPr>
        <w:tabs>
          <w:tab w:val="left" w:pos="284"/>
        </w:tabs>
        <w:spacing w:line="240" w:lineRule="auto"/>
        <w:ind w:left="0" w:firstLine="0"/>
        <w:jc w:val="both"/>
        <w:rPr>
          <w:rFonts w:ascii="Times New Roman" w:hAnsi="Times New Roman" w:cs="Times New Roman"/>
          <w:color w:val="000000"/>
        </w:rPr>
      </w:pPr>
      <w:r>
        <w:rPr>
          <w:rFonts w:ascii="Times New Roman" w:hAnsi="Times New Roman" w:cs="Times New Roman"/>
          <w:color w:val="000000"/>
        </w:rPr>
        <w:t xml:space="preserve">Снижение административной нагрузки на застройщиков, совершенствование нормативно-правовой базы и порядка регулирования в сфере жилищного строительства, механизмов государственной поддержки строительства стандартного жилья. </w:t>
      </w:r>
    </w:p>
    <w:p w:rsidR="007E27CB" w:rsidRDefault="008F141F">
      <w:pPr>
        <w:pStyle w:val="Pa2"/>
        <w:numPr>
          <w:ilvl w:val="0"/>
          <w:numId w:val="100"/>
        </w:numPr>
        <w:tabs>
          <w:tab w:val="left" w:pos="284"/>
        </w:tabs>
        <w:spacing w:line="240" w:lineRule="auto"/>
        <w:ind w:left="0" w:firstLine="0"/>
        <w:jc w:val="both"/>
        <w:rPr>
          <w:rFonts w:ascii="Times New Roman" w:hAnsi="Times New Roman" w:cs="Times New Roman"/>
          <w:color w:val="000000"/>
        </w:rPr>
      </w:pPr>
      <w:r>
        <w:rPr>
          <w:rFonts w:ascii="Times New Roman" w:hAnsi="Times New Roman" w:cs="Times New Roman"/>
          <w:color w:val="000000"/>
        </w:rPr>
        <w:t xml:space="preserve">Реализация государственной программы Томской области «Жилье и городская среда». </w:t>
      </w:r>
    </w:p>
    <w:p w:rsidR="007E27CB" w:rsidRDefault="008F141F">
      <w:pPr>
        <w:pStyle w:val="Pa2"/>
        <w:numPr>
          <w:ilvl w:val="0"/>
          <w:numId w:val="100"/>
        </w:numPr>
        <w:tabs>
          <w:tab w:val="left" w:pos="284"/>
        </w:tabs>
        <w:spacing w:line="240" w:lineRule="auto"/>
        <w:ind w:left="0" w:firstLine="0"/>
        <w:jc w:val="both"/>
        <w:rPr>
          <w:rFonts w:ascii="Times New Roman" w:hAnsi="Times New Roman" w:cs="Times New Roman"/>
          <w:color w:val="000000"/>
        </w:rPr>
      </w:pPr>
      <w:r>
        <w:rPr>
          <w:rFonts w:ascii="Times New Roman" w:hAnsi="Times New Roman" w:cs="Times New Roman"/>
          <w:color w:val="000000"/>
        </w:rPr>
        <w:t xml:space="preserve">Реализация проекта «Губернаторская ипотека на территории Томской области». </w:t>
      </w:r>
    </w:p>
    <w:p w:rsidR="007E27CB" w:rsidRDefault="008F141F">
      <w:pPr>
        <w:pStyle w:val="Pa2"/>
        <w:numPr>
          <w:ilvl w:val="0"/>
          <w:numId w:val="100"/>
        </w:numPr>
        <w:tabs>
          <w:tab w:val="left" w:pos="284"/>
        </w:tabs>
        <w:spacing w:line="240" w:lineRule="auto"/>
        <w:ind w:left="0" w:firstLine="0"/>
        <w:jc w:val="both"/>
        <w:rPr>
          <w:rFonts w:ascii="Times New Roman" w:hAnsi="Times New Roman" w:cs="Times New Roman"/>
          <w:color w:val="000000"/>
        </w:rPr>
      </w:pPr>
      <w:r>
        <w:rPr>
          <w:rFonts w:ascii="Times New Roman" w:hAnsi="Times New Roman" w:cs="Times New Roman"/>
          <w:color w:val="000000"/>
        </w:rPr>
        <w:t xml:space="preserve">Завершение строительства «проблемных» объектов согласно утвержденному плану-графику. </w:t>
      </w:r>
    </w:p>
    <w:p w:rsidR="007E27CB" w:rsidRDefault="008F141F">
      <w:pPr>
        <w:pStyle w:val="Pa2"/>
        <w:numPr>
          <w:ilvl w:val="0"/>
          <w:numId w:val="100"/>
        </w:numPr>
        <w:tabs>
          <w:tab w:val="left" w:pos="284"/>
        </w:tabs>
        <w:spacing w:line="240" w:lineRule="auto"/>
        <w:ind w:left="0" w:firstLine="0"/>
        <w:jc w:val="both"/>
        <w:rPr>
          <w:rFonts w:ascii="Times New Roman" w:hAnsi="Times New Roman" w:cs="Times New Roman"/>
          <w:color w:val="000000"/>
        </w:rPr>
      </w:pPr>
      <w:r>
        <w:rPr>
          <w:rFonts w:ascii="Times New Roman" w:hAnsi="Times New Roman" w:cs="Times New Roman"/>
          <w:color w:val="000000"/>
        </w:rPr>
        <w:t xml:space="preserve">Создание механизмов развития комфортной городской среды, комплексного развития городов и других населенных пунктов с учетом индекса качества городской среды и увеличения доли граждан, принимающих участие в решении вопросов развития городской среды. </w:t>
      </w:r>
    </w:p>
    <w:p w:rsidR="007E27CB" w:rsidRDefault="008F141F">
      <w:pPr>
        <w:pStyle w:val="Pa2"/>
        <w:numPr>
          <w:ilvl w:val="0"/>
          <w:numId w:val="100"/>
        </w:numPr>
        <w:tabs>
          <w:tab w:val="left" w:pos="284"/>
        </w:tabs>
        <w:spacing w:line="240" w:lineRule="auto"/>
        <w:ind w:left="0" w:firstLine="0"/>
        <w:jc w:val="both"/>
        <w:rPr>
          <w:rFonts w:ascii="Times New Roman" w:hAnsi="Times New Roman" w:cs="Times New Roman"/>
          <w:color w:val="000000"/>
        </w:rPr>
      </w:pPr>
      <w:r>
        <w:rPr>
          <w:rFonts w:ascii="Times New Roman" w:hAnsi="Times New Roman" w:cs="Times New Roman"/>
          <w:color w:val="000000"/>
        </w:rPr>
        <w:t>Реализация программы «Обеспечение устойчивого сокращения непригодного для проживания жилищного фонда».</w:t>
      </w:r>
    </w:p>
    <w:p w:rsidR="007E27CB" w:rsidRDefault="007E27CB">
      <w:pPr>
        <w:pStyle w:val="Pa2"/>
        <w:tabs>
          <w:tab w:val="left" w:pos="284"/>
          <w:tab w:val="left" w:pos="4962"/>
        </w:tabs>
        <w:spacing w:line="240" w:lineRule="auto"/>
        <w:ind w:left="567"/>
        <w:jc w:val="both"/>
        <w:rPr>
          <w:rFonts w:eastAsia="Times New Roman"/>
          <w:b/>
        </w:rPr>
      </w:pPr>
    </w:p>
    <w:p w:rsidR="007E27CB" w:rsidRDefault="008F141F">
      <w:pPr>
        <w:tabs>
          <w:tab w:val="left" w:pos="4962"/>
        </w:tabs>
        <w:spacing w:after="0" w:line="240" w:lineRule="auto"/>
        <w:ind w:left="567" w:hanging="567"/>
        <w:jc w:val="both"/>
        <w:rPr>
          <w:rFonts w:eastAsia="Times New Roman"/>
          <w:b/>
          <w:sz w:val="24"/>
          <w:szCs w:val="24"/>
        </w:rPr>
      </w:pPr>
      <w:r>
        <w:rPr>
          <w:rFonts w:eastAsia="Times New Roman"/>
          <w:b/>
          <w:sz w:val="24"/>
          <w:szCs w:val="24"/>
        </w:rPr>
        <w:t>3.4. Обеспечение повышения безопасности жизнедеятельности населения</w:t>
      </w:r>
    </w:p>
    <w:p w:rsidR="007E27CB" w:rsidRDefault="007E27CB">
      <w:pPr>
        <w:pStyle w:val="Default"/>
        <w:shd w:val="clear" w:color="auto" w:fill="FFFFFF" w:themeFill="background1"/>
        <w:tabs>
          <w:tab w:val="left" w:pos="4962"/>
        </w:tabs>
        <w:ind w:firstLine="709"/>
        <w:jc w:val="both"/>
        <w:rPr>
          <w:color w:val="auto"/>
        </w:rPr>
      </w:pPr>
    </w:p>
    <w:p w:rsidR="007E27CB" w:rsidRDefault="008F141F">
      <w:pPr>
        <w:pStyle w:val="Default"/>
        <w:tabs>
          <w:tab w:val="left" w:pos="4962"/>
        </w:tabs>
        <w:ind w:firstLine="567"/>
        <w:jc w:val="both"/>
        <w:rPr>
          <w:b/>
        </w:rPr>
      </w:pPr>
      <w:r>
        <w:rPr>
          <w:b/>
        </w:rPr>
        <w:t>ОБЩЕСТВЕННАЯ БЕЗОПАСНОСТЬ</w:t>
      </w:r>
    </w:p>
    <w:p w:rsidR="007E27CB" w:rsidRDefault="007E27CB">
      <w:pPr>
        <w:pStyle w:val="Default"/>
        <w:tabs>
          <w:tab w:val="left" w:pos="4962"/>
        </w:tabs>
        <w:ind w:firstLine="567"/>
        <w:jc w:val="both"/>
        <w:rPr>
          <w:b/>
        </w:rPr>
      </w:pPr>
    </w:p>
    <w:p w:rsidR="007E27CB" w:rsidRDefault="008F141F">
      <w:pPr>
        <w:spacing w:after="0" w:line="240" w:lineRule="auto"/>
        <w:ind w:firstLine="567"/>
        <w:jc w:val="both"/>
        <w:rPr>
          <w:sz w:val="24"/>
          <w:szCs w:val="24"/>
        </w:rPr>
      </w:pPr>
      <w:r>
        <w:rPr>
          <w:sz w:val="24"/>
          <w:szCs w:val="24"/>
        </w:rPr>
        <w:t>Безопасность жителей региона – безусловный приоритет Администрации Томской области. Совместными действиями правоохранительных, надзорных и региональных органов государственной власти в регионе сохранялась экономическая и социальная стабильность, не были допущены этнические и религиозные конфликты. Томская область благодаря снижению количества преступлений позиционируется как стабильный, благополучный для экономического развития регион.</w:t>
      </w:r>
    </w:p>
    <w:p w:rsidR="007E27CB" w:rsidRDefault="008F141F">
      <w:pPr>
        <w:spacing w:after="0" w:line="240" w:lineRule="auto"/>
        <w:ind w:firstLine="567"/>
        <w:jc w:val="both"/>
        <w:rPr>
          <w:sz w:val="24"/>
          <w:szCs w:val="24"/>
        </w:rPr>
      </w:pPr>
      <w:r>
        <w:rPr>
          <w:sz w:val="24"/>
          <w:szCs w:val="24"/>
        </w:rPr>
        <w:t xml:space="preserve">По итогам 2019 года задача снижения преступности выполнена </w:t>
      </w:r>
      <w:r>
        <w:rPr>
          <w:rFonts w:eastAsia="Times New Roman"/>
          <w:sz w:val="24"/>
          <w:szCs w:val="24"/>
          <w:lang w:eastAsia="ru-RU"/>
        </w:rPr>
        <w:t>–</w:t>
      </w:r>
      <w:r>
        <w:rPr>
          <w:sz w:val="24"/>
          <w:szCs w:val="24"/>
        </w:rPr>
        <w:t xml:space="preserve"> число зарегистрированных преступлений снизилось на 1,1% до 17,6 тыс. (в СФО – на 0,04%; в России – на 1,65%).</w:t>
      </w:r>
    </w:p>
    <w:p w:rsidR="007E27CB" w:rsidRDefault="008F141F">
      <w:pPr>
        <w:spacing w:after="0" w:line="240" w:lineRule="auto"/>
        <w:ind w:firstLine="567"/>
        <w:jc w:val="both"/>
        <w:rPr>
          <w:sz w:val="24"/>
          <w:szCs w:val="24"/>
        </w:rPr>
      </w:pPr>
      <w:r>
        <w:rPr>
          <w:sz w:val="24"/>
          <w:szCs w:val="24"/>
        </w:rPr>
        <w:t>Основные задачи органов государственной власти Томской области в сфере обеспечения общественной безопасности (снижение преступности, профилактика наркомании, повышение безопасности дорожного движения) выполняются в рамках реализации государственной программы «Обеспечение безопасности населения Томской области».</w:t>
      </w:r>
    </w:p>
    <w:p w:rsidR="007E27CB" w:rsidRDefault="008F141F">
      <w:pPr>
        <w:pStyle w:val="a6"/>
        <w:tabs>
          <w:tab w:val="left" w:pos="993"/>
        </w:tabs>
        <w:spacing w:after="0" w:line="240" w:lineRule="auto"/>
        <w:ind w:left="0" w:firstLine="567"/>
        <w:jc w:val="both"/>
        <w:rPr>
          <w:rFonts w:ascii="Times New Roman" w:hAnsi="Times New Roman"/>
          <w:sz w:val="24"/>
          <w:szCs w:val="24"/>
        </w:rPr>
      </w:pPr>
      <w:r>
        <w:rPr>
          <w:rFonts w:ascii="Times New Roman" w:hAnsi="Times New Roman"/>
          <w:sz w:val="24"/>
          <w:szCs w:val="24"/>
        </w:rPr>
        <w:t>Количество преступлений в расчете на 100 тыс. чел. населения снизилось относительно 2018 года на 1,3% и составило 1 639.</w:t>
      </w:r>
    </w:p>
    <w:p w:rsidR="007E27CB" w:rsidRDefault="008F141F">
      <w:pPr>
        <w:pStyle w:val="a6"/>
        <w:tabs>
          <w:tab w:val="left" w:pos="993"/>
        </w:tabs>
        <w:spacing w:after="0" w:line="240" w:lineRule="auto"/>
        <w:ind w:left="0" w:firstLine="567"/>
        <w:jc w:val="both"/>
        <w:rPr>
          <w:rFonts w:ascii="Times New Roman" w:hAnsi="Times New Roman"/>
          <w:sz w:val="24"/>
          <w:szCs w:val="24"/>
        </w:rPr>
      </w:pPr>
      <w:r>
        <w:rPr>
          <w:rFonts w:ascii="Times New Roman" w:hAnsi="Times New Roman"/>
          <w:sz w:val="24"/>
          <w:szCs w:val="24"/>
        </w:rPr>
        <w:lastRenderedPageBreak/>
        <w:t>Смертность от дорожно-транспортных происшествий увеличилась на 29,5% (с 78 в 2018 г. до 101 в 2019 г. или с 7,2 до 9,4 на 100 тыс. человек населения по данным УМВД России по Томской области).</w:t>
      </w:r>
    </w:p>
    <w:p w:rsidR="007E27CB" w:rsidRDefault="008F141F">
      <w:pPr>
        <w:spacing w:after="0" w:line="240" w:lineRule="auto"/>
        <w:ind w:firstLine="567"/>
        <w:jc w:val="both"/>
        <w:rPr>
          <w:sz w:val="24"/>
          <w:szCs w:val="24"/>
        </w:rPr>
      </w:pPr>
      <w:r>
        <w:rPr>
          <w:sz w:val="24"/>
          <w:szCs w:val="24"/>
        </w:rPr>
        <w:t>Основные причины ДТП:</w:t>
      </w:r>
    </w:p>
    <w:p w:rsidR="007E27CB" w:rsidRDefault="008F141F">
      <w:pPr>
        <w:pStyle w:val="Default"/>
        <w:numPr>
          <w:ilvl w:val="0"/>
          <w:numId w:val="140"/>
        </w:numPr>
        <w:tabs>
          <w:tab w:val="left" w:pos="851"/>
        </w:tabs>
        <w:ind w:left="0" w:firstLine="567"/>
        <w:jc w:val="both"/>
      </w:pPr>
      <w:r>
        <w:t xml:space="preserve">не отвечающая в полной мере требованиям безопасности дорожная инфраструктура (отсутствие освещения, разделительных полос встречных потоков движения, дорожной разметки и т.д.); </w:t>
      </w:r>
    </w:p>
    <w:p w:rsidR="007E27CB" w:rsidRDefault="008F141F">
      <w:pPr>
        <w:pStyle w:val="Default"/>
        <w:numPr>
          <w:ilvl w:val="0"/>
          <w:numId w:val="140"/>
        </w:numPr>
        <w:tabs>
          <w:tab w:val="left" w:pos="851"/>
        </w:tabs>
        <w:ind w:left="0" w:firstLine="567"/>
        <w:jc w:val="both"/>
      </w:pPr>
      <w:r>
        <w:t xml:space="preserve">повышение уровня автомобилизации населения (в 2017 году в области состояло на учете 402 921 единица транспортных средств, в 2019 году – 430 737 единиц (+6,9%); </w:t>
      </w:r>
    </w:p>
    <w:p w:rsidR="007E27CB" w:rsidRDefault="008F141F">
      <w:pPr>
        <w:pStyle w:val="1b"/>
        <w:numPr>
          <w:ilvl w:val="0"/>
          <w:numId w:val="140"/>
        </w:numPr>
        <w:tabs>
          <w:tab w:val="left" w:pos="851"/>
          <w:tab w:val="left" w:pos="1134"/>
        </w:tabs>
        <w:spacing w:line="240" w:lineRule="auto"/>
        <w:ind w:left="0" w:right="77" w:firstLine="567"/>
        <w:rPr>
          <w:szCs w:val="24"/>
        </w:rPr>
      </w:pPr>
      <w:r>
        <w:rPr>
          <w:szCs w:val="24"/>
        </w:rPr>
        <w:t xml:space="preserve">недостаточное количество комплексов фотовидеофиксации нарушений правил дорожного движения на загородных трассах. </w:t>
      </w:r>
    </w:p>
    <w:p w:rsidR="007E27CB" w:rsidRDefault="008F141F">
      <w:pPr>
        <w:pStyle w:val="1b"/>
        <w:tabs>
          <w:tab w:val="left" w:pos="851"/>
          <w:tab w:val="left" w:pos="1134"/>
        </w:tabs>
        <w:spacing w:line="240" w:lineRule="auto"/>
        <w:ind w:right="77" w:firstLine="567"/>
        <w:rPr>
          <w:szCs w:val="24"/>
        </w:rPr>
      </w:pPr>
      <w:r>
        <w:rPr>
          <w:szCs w:val="24"/>
        </w:rPr>
        <w:t>В местах установки стационарных комплексов фотовидеофиксации нарушений правил дорожного движения ДТП с пострадавшими не зарегистрированы.</w:t>
      </w:r>
    </w:p>
    <w:p w:rsidR="007E27CB" w:rsidRDefault="008F141F">
      <w:pPr>
        <w:pStyle w:val="Default"/>
        <w:ind w:firstLine="567"/>
        <w:jc w:val="both"/>
      </w:pPr>
      <w:r>
        <w:t xml:space="preserve">Приоритетным направлением в части принятия мер, направленных на обеспечение безопасности населения Томской области на ближайшие 3 года является развитие аппаратно-программного комплекса «Безопасный город» (далее по разделу – АПК «Безопасный город»). </w:t>
      </w:r>
    </w:p>
    <w:p w:rsidR="007E27CB" w:rsidRDefault="008F141F">
      <w:pPr>
        <w:pStyle w:val="Default"/>
        <w:ind w:firstLine="567"/>
        <w:jc w:val="both"/>
      </w:pPr>
      <w:r>
        <w:t>В конце 2017 года реализован первый этап АПК «Безопасный город» - запущена в работу подсистема автоматической системы фотовидеофиксации нарушений правил дорожного движения.</w:t>
      </w:r>
    </w:p>
    <w:p w:rsidR="007E27CB" w:rsidRDefault="008F141F">
      <w:pPr>
        <w:pStyle w:val="a6"/>
        <w:tabs>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В настоящее время введено в эксплуатацию 28 стационарных комплексов автоматической фиксации нарушений правил дорожного движения (из них в г. Томске </w:t>
      </w:r>
      <w:r>
        <w:rPr>
          <w:rFonts w:eastAsia="Times New Roman"/>
          <w:sz w:val="24"/>
          <w:szCs w:val="24"/>
          <w:lang w:eastAsia="ru-RU"/>
        </w:rPr>
        <w:t>–</w:t>
      </w:r>
      <w:r>
        <w:rPr>
          <w:rFonts w:ascii="Times New Roman" w:hAnsi="Times New Roman"/>
          <w:sz w:val="24"/>
          <w:szCs w:val="24"/>
        </w:rPr>
        <w:t xml:space="preserve"> 27, в г. Стрежевом – 1). Приобретено 7 передвижных и 1 мобильный комплекс фотовидеофиксации нарушений ПДД.</w:t>
      </w:r>
    </w:p>
    <w:p w:rsidR="007E27CB" w:rsidRDefault="008F141F">
      <w:pPr>
        <w:spacing w:after="0" w:line="240" w:lineRule="auto"/>
        <w:ind w:firstLine="567"/>
        <w:jc w:val="both"/>
        <w:rPr>
          <w:sz w:val="24"/>
          <w:szCs w:val="24"/>
        </w:rPr>
      </w:pPr>
      <w:r>
        <w:rPr>
          <w:sz w:val="24"/>
          <w:szCs w:val="24"/>
        </w:rPr>
        <w:t>В 2019 году снизилось на 9% (с 6</w:t>
      </w:r>
      <w:r>
        <w:rPr>
          <w:sz w:val="24"/>
          <w:szCs w:val="24"/>
          <w:lang w:val="en-US"/>
        </w:rPr>
        <w:t> </w:t>
      </w:r>
      <w:r>
        <w:rPr>
          <w:sz w:val="24"/>
          <w:szCs w:val="24"/>
        </w:rPr>
        <w:t>169 до 5</w:t>
      </w:r>
      <w:r>
        <w:rPr>
          <w:sz w:val="24"/>
          <w:szCs w:val="24"/>
          <w:lang w:val="en-US"/>
        </w:rPr>
        <w:t> </w:t>
      </w:r>
      <w:r>
        <w:rPr>
          <w:sz w:val="24"/>
          <w:szCs w:val="24"/>
        </w:rPr>
        <w:t>614) число преступлений, совершенных в общественных местах, в том числе уличная преступность сократилась на 5%.</w:t>
      </w:r>
    </w:p>
    <w:p w:rsidR="007E27CB" w:rsidRDefault="008F141F">
      <w:pPr>
        <w:spacing w:after="0" w:line="240" w:lineRule="auto"/>
        <w:ind w:firstLine="567"/>
        <w:jc w:val="both"/>
        <w:rPr>
          <w:sz w:val="24"/>
          <w:szCs w:val="24"/>
        </w:rPr>
      </w:pPr>
      <w:r>
        <w:rPr>
          <w:sz w:val="24"/>
          <w:szCs w:val="24"/>
        </w:rPr>
        <w:t xml:space="preserve">В связи с активизацией деятельности правоохранительных органов в сфере  незаконного оборота наркотиков увеличилось количество выявленных преступлений  </w:t>
      </w:r>
      <w:r>
        <w:rPr>
          <w:rFonts w:eastAsia="Times New Roman"/>
          <w:sz w:val="24"/>
          <w:szCs w:val="24"/>
          <w:lang w:eastAsia="ru-RU"/>
        </w:rPr>
        <w:t xml:space="preserve">– </w:t>
      </w:r>
      <w:r>
        <w:rPr>
          <w:sz w:val="24"/>
          <w:szCs w:val="24"/>
        </w:rPr>
        <w:t xml:space="preserve">1 814 (+26,1%), фактов сбыта наркотических средств на 50% (с 906 до 1 359; в СФО снизилось на 4,9%; в России на 0,8%). </w:t>
      </w:r>
    </w:p>
    <w:p w:rsidR="007E27CB" w:rsidRDefault="008F141F">
      <w:pPr>
        <w:pStyle w:val="Default"/>
        <w:shd w:val="clear" w:color="auto" w:fill="FFFFFF"/>
        <w:tabs>
          <w:tab w:val="left" w:pos="4962"/>
        </w:tabs>
        <w:ind w:firstLine="567"/>
        <w:jc w:val="both"/>
        <w:rPr>
          <w:color w:val="auto"/>
        </w:rPr>
      </w:pPr>
      <w:r>
        <w:rPr>
          <w:color w:val="auto"/>
        </w:rPr>
        <w:t xml:space="preserve">В рамках реализации подпрограммы «Профилактика правонарушений и наркомании» в 2019 г. поощрено 144 народных дружинника, проведен конкурс «Лучший народный дружинник Томской области 2019». С их участием проведено 1 951 рейдовое мероприятие, пресечено 31 преступление и более 2 тыс. административных правонарушений. </w:t>
      </w:r>
    </w:p>
    <w:p w:rsidR="007E27CB" w:rsidRDefault="008F141F">
      <w:pPr>
        <w:pStyle w:val="Default"/>
        <w:shd w:val="clear" w:color="auto" w:fill="FFFFFF"/>
        <w:tabs>
          <w:tab w:val="left" w:pos="4962"/>
        </w:tabs>
        <w:ind w:firstLine="567"/>
        <w:jc w:val="both"/>
        <w:rPr>
          <w:color w:val="auto"/>
        </w:rPr>
      </w:pPr>
      <w:r>
        <w:rPr>
          <w:color w:val="auto"/>
        </w:rPr>
        <w:t xml:space="preserve">Реализованы мероприятия, направленные на создание условий для социальной адаптации и реабилитации лиц, больных наркоманией, лиц, отбывших наказание в местах лишения свободы, в рамках которых 196 лицам оказана материальная помощь, 14 человек прошли социальную реабилитацию, 125 граждан с алкогольной зависимостью, воспитывающих несовершеннолетних детей, получили услуги по социально-медицинской реабилитации. </w:t>
      </w:r>
    </w:p>
    <w:p w:rsidR="007E27CB" w:rsidRDefault="008F141F">
      <w:pPr>
        <w:pStyle w:val="Default"/>
        <w:shd w:val="clear" w:color="auto" w:fill="FFFFFF"/>
        <w:tabs>
          <w:tab w:val="left" w:pos="4962"/>
        </w:tabs>
        <w:ind w:firstLine="567"/>
        <w:jc w:val="both"/>
        <w:rPr>
          <w:color w:val="auto"/>
        </w:rPr>
      </w:pPr>
      <w:r>
        <w:rPr>
          <w:color w:val="auto"/>
        </w:rPr>
        <w:t>Выполнены мероприятия, направленные на сокращение уровня потребления психоактивных веществ, а именно: проведено социологическое исследование (охвачено 800 чел.), обучено 60 студентов-волонтеров, проведен ежегодный областной слет волонтеров, издано 267,5 тыс. экземпляров печатной продукции по профилактике наркомании, алкоголизма и табакокурения для распространения среди молодежи. Трудоустроено 722 подростка, стоящих на учете в комиссии по делам несовершеннолетних, на внутришкольном учете.</w:t>
      </w:r>
    </w:p>
    <w:p w:rsidR="007E27CB" w:rsidRDefault="008F141F">
      <w:pPr>
        <w:tabs>
          <w:tab w:val="left" w:pos="4962"/>
        </w:tabs>
        <w:spacing w:after="0" w:line="240" w:lineRule="auto"/>
        <w:ind w:firstLine="567"/>
        <w:jc w:val="both"/>
        <w:rPr>
          <w:sz w:val="24"/>
          <w:szCs w:val="24"/>
        </w:rPr>
      </w:pPr>
      <w:r>
        <w:rPr>
          <w:sz w:val="24"/>
          <w:szCs w:val="24"/>
        </w:rPr>
        <w:t>Реализация данных профилактических мероприятий позволила достичь положительных результатов в работе, способствовала поддержанию правопорядка и созданию комфортных условия для проживания граждан.</w:t>
      </w:r>
    </w:p>
    <w:p w:rsidR="007E27CB" w:rsidRDefault="007E27CB">
      <w:pPr>
        <w:spacing w:after="0" w:line="240" w:lineRule="auto"/>
        <w:ind w:firstLine="709"/>
        <w:jc w:val="both"/>
        <w:rPr>
          <w:sz w:val="24"/>
          <w:szCs w:val="24"/>
        </w:rPr>
      </w:pPr>
    </w:p>
    <w:p w:rsidR="007E27CB" w:rsidRDefault="008F141F">
      <w:pPr>
        <w:spacing w:after="0" w:line="240" w:lineRule="auto"/>
        <w:ind w:firstLine="567"/>
        <w:jc w:val="both"/>
        <w:rPr>
          <w:b/>
          <w:sz w:val="24"/>
          <w:szCs w:val="24"/>
        </w:rPr>
      </w:pPr>
      <w:r>
        <w:rPr>
          <w:b/>
          <w:sz w:val="24"/>
          <w:szCs w:val="24"/>
        </w:rPr>
        <w:lastRenderedPageBreak/>
        <w:t>ЗАЩИТА ОТ ЧРЕЗВЫЧАЙНЫХ СИТУАЦИЙ</w:t>
      </w:r>
    </w:p>
    <w:p w:rsidR="007E27CB" w:rsidRDefault="007E27CB">
      <w:pPr>
        <w:spacing w:after="0" w:line="240" w:lineRule="auto"/>
        <w:ind w:firstLine="567"/>
        <w:jc w:val="both"/>
        <w:rPr>
          <w:b/>
          <w:sz w:val="24"/>
          <w:szCs w:val="24"/>
        </w:rPr>
      </w:pPr>
    </w:p>
    <w:p w:rsidR="007E27CB" w:rsidRDefault="008F141F">
      <w:pPr>
        <w:spacing w:after="0" w:line="240" w:lineRule="auto"/>
        <w:ind w:firstLine="567"/>
        <w:jc w:val="both"/>
        <w:rPr>
          <w:sz w:val="24"/>
          <w:szCs w:val="24"/>
        </w:rPr>
      </w:pPr>
      <w:r>
        <w:rPr>
          <w:sz w:val="24"/>
          <w:szCs w:val="24"/>
        </w:rPr>
        <w:t xml:space="preserve">Важными задачами по защите населения и территории Томской области от чрезвычайных ситуаций природного и техногенного характера являются снижение риска чрезвычайных ситуаций, максимальная готовность к ликвидации их последствий, создание эффективной системы безопасности на водных объектах и системы пожарной безопасности. </w:t>
      </w:r>
    </w:p>
    <w:p w:rsidR="007E27CB" w:rsidRDefault="008F141F">
      <w:pPr>
        <w:pStyle w:val="Default"/>
        <w:shd w:val="clear" w:color="auto" w:fill="FFFFFF"/>
        <w:ind w:firstLine="567"/>
        <w:jc w:val="both"/>
        <w:rPr>
          <w:color w:val="auto"/>
        </w:rPr>
      </w:pPr>
      <w:r>
        <w:rPr>
          <w:color w:val="auto"/>
        </w:rPr>
        <w:t xml:space="preserve">В 2019 году на территории Томской области произошло 17 чрезвычайных ситуаций. По сравнению с прошлым годом количество чрезвычайных ситуаций увеличилось на 21,4% (в 2018 году </w:t>
      </w:r>
      <w:r>
        <w:rPr>
          <w:rFonts w:eastAsia="Times New Roman"/>
          <w:lang w:eastAsia="ru-RU"/>
        </w:rPr>
        <w:t>–</w:t>
      </w:r>
      <w:r>
        <w:rPr>
          <w:color w:val="auto"/>
        </w:rPr>
        <w:t xml:space="preserve"> 14), что обусловлено произошедшими чрезвычайными ситуациями биолого-социального характера, связанными с повреждением посевов рапса сельхозпредприятий районов области из-за массового развития численности капустной моли. В чрезвычайных ситуациях никто не погиб, пострадало – 12 человек.</w:t>
      </w:r>
    </w:p>
    <w:p w:rsidR="007E27CB" w:rsidRDefault="008F141F">
      <w:pPr>
        <w:pStyle w:val="Default"/>
        <w:shd w:val="clear" w:color="auto" w:fill="FFFFFF"/>
        <w:ind w:firstLine="567"/>
        <w:jc w:val="both"/>
        <w:rPr>
          <w:color w:val="auto"/>
        </w:rPr>
      </w:pPr>
      <w:r>
        <w:rPr>
          <w:color w:val="auto"/>
        </w:rPr>
        <w:t xml:space="preserve">В 2019 году зарегистрировано 3 447 пожаров (на 9,5 % больше, чем за 2018 г.), при пожарах погиб 61 человек (2018 г. </w:t>
      </w:r>
      <w:r>
        <w:rPr>
          <w:rFonts w:eastAsia="Times New Roman"/>
          <w:lang w:eastAsia="ru-RU"/>
        </w:rPr>
        <w:t>–</w:t>
      </w:r>
      <w:r>
        <w:rPr>
          <w:color w:val="auto"/>
        </w:rPr>
        <w:t xml:space="preserve"> 72), 734 человека спасено на пожарах (+ 45,1%).</w:t>
      </w:r>
    </w:p>
    <w:p w:rsidR="007E27CB" w:rsidRDefault="008F141F">
      <w:pPr>
        <w:pStyle w:val="Default"/>
        <w:shd w:val="clear" w:color="auto" w:fill="FFFFFF"/>
        <w:ind w:firstLine="567"/>
        <w:jc w:val="both"/>
        <w:rPr>
          <w:color w:val="auto"/>
        </w:rPr>
      </w:pPr>
      <w:r>
        <w:rPr>
          <w:color w:val="auto"/>
        </w:rPr>
        <w:t xml:space="preserve">На водных объектах в 2019 году произошло 49 происшествий, погибло 36 человек (в 2018 г. </w:t>
      </w:r>
      <w:r>
        <w:rPr>
          <w:rFonts w:eastAsia="Times New Roman"/>
          <w:lang w:eastAsia="ru-RU"/>
        </w:rPr>
        <w:t>–</w:t>
      </w:r>
      <w:r>
        <w:rPr>
          <w:color w:val="auto"/>
        </w:rPr>
        <w:t xml:space="preserve"> 37), спасено на водных объектах 29 человек.</w:t>
      </w:r>
    </w:p>
    <w:p w:rsidR="007E27CB" w:rsidRDefault="008F141F">
      <w:pPr>
        <w:pStyle w:val="Default"/>
        <w:shd w:val="clear" w:color="auto" w:fill="FFFFFF"/>
        <w:ind w:firstLine="567"/>
        <w:jc w:val="both"/>
        <w:rPr>
          <w:color w:val="auto"/>
        </w:rPr>
      </w:pPr>
      <w:r>
        <w:rPr>
          <w:color w:val="auto"/>
        </w:rPr>
        <w:t>В рамках выполнения Указа Президента Российской Федерации от 13.11.2012          № 1522 в 2019 году установили оборудование дистанционного запуска оконечных средств оповещения по радиоканалу в Тегульдетском районе (1 базовая станция и 2 устройства запуска электросирен).</w:t>
      </w:r>
    </w:p>
    <w:p w:rsidR="007E27CB" w:rsidRDefault="008F141F">
      <w:pPr>
        <w:pStyle w:val="Default"/>
        <w:shd w:val="clear" w:color="auto" w:fill="FFFFFF"/>
        <w:ind w:firstLine="567"/>
        <w:jc w:val="both"/>
        <w:rPr>
          <w:color w:val="auto"/>
        </w:rPr>
      </w:pPr>
      <w:r>
        <w:rPr>
          <w:color w:val="auto"/>
        </w:rPr>
        <w:t xml:space="preserve">Сформирован и утвержден перечень из 152 субъектов, подлежащих региональному государственному надзору в области защиты населения и территорий от чрезвычайных ситуаций природного и техногенного характера, из них 132 </w:t>
      </w:r>
      <w:r>
        <w:rPr>
          <w:rFonts w:eastAsia="Times New Roman"/>
          <w:lang w:eastAsia="ru-RU"/>
        </w:rPr>
        <w:t>–</w:t>
      </w:r>
      <w:r>
        <w:rPr>
          <w:color w:val="auto"/>
        </w:rPr>
        <w:t xml:space="preserve"> опасные производственные объекты 3-го класса опасности, аварии на которых могут являться источниками возникновения чрезвычайных ситуаций.</w:t>
      </w:r>
    </w:p>
    <w:p w:rsidR="007E27CB" w:rsidRDefault="008F141F">
      <w:pPr>
        <w:pStyle w:val="Default"/>
        <w:shd w:val="clear" w:color="auto" w:fill="FFFFFF"/>
        <w:ind w:firstLine="567"/>
        <w:jc w:val="both"/>
        <w:rPr>
          <w:color w:val="auto"/>
        </w:rPr>
      </w:pPr>
      <w:r>
        <w:rPr>
          <w:color w:val="auto"/>
        </w:rPr>
        <w:t xml:space="preserve">В рамках выполнения Указа Президента Российской Федерации от 28.12.2010         № 1632 «О совершенствовании системы обеспечения вызова экстренных оперативных служб на территории Российской Федерации» за счет средств областного бюджета в августе 2019 года запущена опытная эксплуатация единого номера «112» на территории 5 муниципальных образований (Шегарский, Колпашевский, Кожевниковский, Парабельский районы и городской округ Стрежевой). </w:t>
      </w:r>
    </w:p>
    <w:p w:rsidR="007E27CB" w:rsidRDefault="008F141F">
      <w:pPr>
        <w:pStyle w:val="Default"/>
        <w:shd w:val="clear" w:color="auto" w:fill="FFFFFF"/>
        <w:ind w:firstLine="567"/>
        <w:jc w:val="both"/>
        <w:rPr>
          <w:color w:val="auto"/>
        </w:rPr>
      </w:pPr>
      <w:r>
        <w:rPr>
          <w:color w:val="auto"/>
        </w:rPr>
        <w:t>С учетом ранее подключенных к эксплуатации единого номера «112» территорий 3 муниципальных образований (г.Т омск, Томский район и Городской округ ЗАТО Северск) охват населения региона этой государственной услугой составляет 80%.</w:t>
      </w:r>
    </w:p>
    <w:p w:rsidR="007E27CB" w:rsidRDefault="007E27CB">
      <w:pPr>
        <w:spacing w:after="0" w:line="240" w:lineRule="auto"/>
        <w:ind w:firstLine="567"/>
        <w:jc w:val="both"/>
        <w:rPr>
          <w:sz w:val="24"/>
          <w:szCs w:val="24"/>
        </w:rPr>
      </w:pPr>
    </w:p>
    <w:p w:rsidR="007E27CB" w:rsidRDefault="008F141F">
      <w:pPr>
        <w:shd w:val="clear" w:color="auto" w:fill="F2F2F2" w:themeFill="background1" w:themeFillShade="F2"/>
        <w:tabs>
          <w:tab w:val="left" w:pos="4962"/>
        </w:tabs>
        <w:spacing w:after="0" w:line="240" w:lineRule="auto"/>
        <w:jc w:val="both"/>
        <w:rPr>
          <w:b/>
          <w:color w:val="000000" w:themeColor="text1"/>
          <w:sz w:val="24"/>
          <w:szCs w:val="24"/>
        </w:rPr>
      </w:pPr>
      <w:r>
        <w:rPr>
          <w:b/>
          <w:color w:val="000000" w:themeColor="text1"/>
          <w:sz w:val="24"/>
          <w:szCs w:val="24"/>
        </w:rPr>
        <w:t xml:space="preserve">Перспективные задачи </w:t>
      </w:r>
    </w:p>
    <w:p w:rsidR="007E27CB" w:rsidRDefault="007E27CB">
      <w:pPr>
        <w:spacing w:after="0" w:line="240" w:lineRule="auto"/>
        <w:jc w:val="both"/>
        <w:rPr>
          <w:sz w:val="24"/>
          <w:szCs w:val="24"/>
        </w:rPr>
      </w:pPr>
    </w:p>
    <w:p w:rsidR="007E27CB" w:rsidRDefault="008F141F">
      <w:pPr>
        <w:spacing w:after="0" w:line="240" w:lineRule="auto"/>
        <w:jc w:val="both"/>
        <w:rPr>
          <w:sz w:val="24"/>
          <w:szCs w:val="24"/>
        </w:rPr>
      </w:pPr>
      <w:r>
        <w:rPr>
          <w:sz w:val="24"/>
          <w:szCs w:val="24"/>
        </w:rPr>
        <w:t xml:space="preserve">1. Повышение уровня безопасности населения через профилактику правонарушений и привлечение общественных объединений правоохранительной направленности к охране правопорядка, внедрение технических средств по обеспечению правопорядка. </w:t>
      </w:r>
    </w:p>
    <w:p w:rsidR="007E27CB" w:rsidRDefault="008F141F">
      <w:pPr>
        <w:spacing w:after="0" w:line="240" w:lineRule="auto"/>
        <w:jc w:val="both"/>
        <w:rPr>
          <w:sz w:val="24"/>
          <w:szCs w:val="24"/>
        </w:rPr>
      </w:pPr>
      <w:r>
        <w:rPr>
          <w:sz w:val="24"/>
          <w:szCs w:val="24"/>
        </w:rPr>
        <w:t xml:space="preserve">2. Завершение построения аппаратно-программного комплекса технических средств «Безопасный город». </w:t>
      </w:r>
    </w:p>
    <w:p w:rsidR="007E27CB" w:rsidRDefault="008F141F">
      <w:pPr>
        <w:spacing w:after="0" w:line="240" w:lineRule="auto"/>
        <w:jc w:val="both"/>
        <w:rPr>
          <w:sz w:val="24"/>
          <w:szCs w:val="24"/>
        </w:rPr>
      </w:pPr>
      <w:r>
        <w:rPr>
          <w:sz w:val="24"/>
          <w:szCs w:val="24"/>
        </w:rPr>
        <w:t xml:space="preserve">3. Выполнение показателя по уровню преступности (не более 1 663 на 100 тыс. населения). </w:t>
      </w:r>
    </w:p>
    <w:p w:rsidR="007E27CB" w:rsidRDefault="008F141F">
      <w:pPr>
        <w:spacing w:after="0" w:line="240" w:lineRule="auto"/>
        <w:jc w:val="both"/>
        <w:rPr>
          <w:sz w:val="24"/>
          <w:szCs w:val="24"/>
        </w:rPr>
      </w:pPr>
      <w:r>
        <w:rPr>
          <w:sz w:val="24"/>
          <w:szCs w:val="24"/>
        </w:rPr>
        <w:t xml:space="preserve">4. Проведение предварительных испытаний и ввод в опытную эксплуатацию       «Системы </w:t>
      </w:r>
      <w:r>
        <w:rPr>
          <w:rFonts w:eastAsia="Times New Roman"/>
          <w:sz w:val="24"/>
          <w:szCs w:val="24"/>
          <w:lang w:eastAsia="ru-RU"/>
        </w:rPr>
        <w:t xml:space="preserve">– </w:t>
      </w:r>
      <w:r>
        <w:rPr>
          <w:sz w:val="24"/>
          <w:szCs w:val="24"/>
        </w:rPr>
        <w:t>112» на территории 12 муниципальных образований.</w:t>
      </w:r>
    </w:p>
    <w:p w:rsidR="007E27CB" w:rsidRDefault="008F141F">
      <w:pPr>
        <w:spacing w:after="0" w:line="240" w:lineRule="auto"/>
        <w:jc w:val="both"/>
        <w:rPr>
          <w:sz w:val="24"/>
          <w:szCs w:val="24"/>
        </w:rPr>
      </w:pPr>
      <w:r>
        <w:rPr>
          <w:sz w:val="24"/>
          <w:szCs w:val="24"/>
        </w:rPr>
        <w:t>5. Проведение государственных приемочных испытаний «Системы-112», развернутой на территории всей Томской области.</w:t>
      </w:r>
    </w:p>
    <w:p w:rsidR="007E27CB" w:rsidRDefault="007E27CB">
      <w:pPr>
        <w:tabs>
          <w:tab w:val="left" w:pos="4962"/>
        </w:tabs>
        <w:spacing w:after="0" w:line="240" w:lineRule="auto"/>
        <w:jc w:val="both"/>
        <w:rPr>
          <w:rFonts w:eastAsia="Times New Roman"/>
          <w:b/>
          <w:sz w:val="24"/>
          <w:szCs w:val="24"/>
        </w:rPr>
      </w:pPr>
    </w:p>
    <w:p w:rsidR="007E27CB" w:rsidRDefault="007E27CB">
      <w:pPr>
        <w:tabs>
          <w:tab w:val="left" w:pos="4962"/>
        </w:tabs>
        <w:spacing w:after="0" w:line="240" w:lineRule="auto"/>
        <w:jc w:val="both"/>
        <w:rPr>
          <w:rFonts w:eastAsia="Times New Roman"/>
          <w:b/>
          <w:sz w:val="24"/>
          <w:szCs w:val="24"/>
        </w:rPr>
      </w:pPr>
    </w:p>
    <w:p w:rsidR="007E27CB" w:rsidRDefault="007E27CB">
      <w:pPr>
        <w:tabs>
          <w:tab w:val="left" w:pos="4962"/>
        </w:tabs>
        <w:spacing w:after="0" w:line="240" w:lineRule="auto"/>
        <w:jc w:val="both"/>
        <w:rPr>
          <w:rFonts w:eastAsia="Times New Roman"/>
          <w:b/>
          <w:sz w:val="24"/>
          <w:szCs w:val="24"/>
        </w:rPr>
      </w:pPr>
    </w:p>
    <w:p w:rsidR="007E27CB" w:rsidRDefault="008F141F">
      <w:pPr>
        <w:tabs>
          <w:tab w:val="left" w:pos="4962"/>
        </w:tabs>
        <w:spacing w:after="0" w:line="240" w:lineRule="auto"/>
        <w:jc w:val="both"/>
        <w:rPr>
          <w:rFonts w:eastAsia="Times New Roman"/>
          <w:b/>
          <w:sz w:val="24"/>
          <w:szCs w:val="24"/>
        </w:rPr>
      </w:pPr>
      <w:r>
        <w:rPr>
          <w:rFonts w:eastAsia="Times New Roman"/>
          <w:b/>
          <w:sz w:val="24"/>
          <w:szCs w:val="24"/>
        </w:rPr>
        <w:lastRenderedPageBreak/>
        <w:t xml:space="preserve">3.5. Обеспечение развития физической культуры и спорта, проведения эффективной молодежной политики </w:t>
      </w:r>
    </w:p>
    <w:p w:rsidR="007E27CB" w:rsidRDefault="007E27CB">
      <w:pPr>
        <w:tabs>
          <w:tab w:val="left" w:pos="4962"/>
        </w:tabs>
        <w:spacing w:after="0" w:line="240" w:lineRule="auto"/>
        <w:rPr>
          <w:rFonts w:eastAsia="Times New Roman"/>
          <w:sz w:val="24"/>
          <w:szCs w:val="24"/>
        </w:rPr>
      </w:pPr>
    </w:p>
    <w:p w:rsidR="007E27CB" w:rsidRDefault="008F141F">
      <w:pPr>
        <w:tabs>
          <w:tab w:val="left" w:pos="0"/>
        </w:tabs>
        <w:spacing w:after="0" w:line="240" w:lineRule="auto"/>
        <w:ind w:firstLine="709"/>
        <w:jc w:val="both"/>
        <w:rPr>
          <w:b/>
          <w:sz w:val="24"/>
          <w:szCs w:val="24"/>
        </w:rPr>
      </w:pPr>
      <w:r>
        <w:rPr>
          <w:b/>
          <w:sz w:val="24"/>
          <w:szCs w:val="24"/>
        </w:rPr>
        <w:t>ФИЗИЧЕСКАЯ КУЛЬТУРА И СПОРТ</w:t>
      </w:r>
      <w:r>
        <w:rPr>
          <w:rStyle w:val="af3"/>
          <w:b/>
          <w:sz w:val="24"/>
          <w:szCs w:val="24"/>
        </w:rPr>
        <w:footnoteReference w:id="15"/>
      </w:r>
    </w:p>
    <w:p w:rsidR="007E27CB" w:rsidRDefault="007E27CB">
      <w:pPr>
        <w:tabs>
          <w:tab w:val="left" w:pos="4962"/>
        </w:tabs>
        <w:spacing w:after="0" w:line="240" w:lineRule="auto"/>
        <w:ind w:firstLine="567"/>
        <w:jc w:val="both"/>
        <w:rPr>
          <w:sz w:val="24"/>
          <w:szCs w:val="24"/>
        </w:rPr>
      </w:pPr>
    </w:p>
    <w:p w:rsidR="007E27CB" w:rsidRDefault="008F141F">
      <w:pPr>
        <w:pStyle w:val="Default"/>
        <w:ind w:firstLine="708"/>
        <w:jc w:val="both"/>
      </w:pPr>
      <w:r>
        <w:t>Развитие физической культуры и спорта в регионе осуществляется в рамках государственной программы «Развитие молодежной политики, физической культуры и спорта в Томской области», регионального проекта «Спорт – норма жизни» национального проекта «Демография», а также Стратегии развития социальной сферы Томской области до 2022 года.</w:t>
      </w:r>
    </w:p>
    <w:p w:rsidR="007E27CB" w:rsidRDefault="008F141F">
      <w:pPr>
        <w:pStyle w:val="Default"/>
        <w:ind w:firstLine="708"/>
        <w:jc w:val="both"/>
      </w:pPr>
      <w:r>
        <w:t>Положительные тенденции в сфере физической культуры и спорта подтверждает ежегодный рост доли населения региона, систематически занимающегося спортом. По итогам 2019 года данный показатель увеличился на 3,6% относительно уровня 2018 года и составил 39,7%.</w:t>
      </w:r>
    </w:p>
    <w:p w:rsidR="007E27CB" w:rsidRDefault="008F141F">
      <w:pPr>
        <w:pStyle w:val="Default"/>
        <w:ind w:firstLine="708"/>
        <w:jc w:val="both"/>
      </w:pPr>
      <w:r>
        <w:t>Одной из главных задач в сфере физической культуры и спорта является создание равных возможностей для занятия спортом вне зависимости от территориальной расположенности населенного пункта. В целях реализации указанной задачи в 2019 году на территории Томской области в рамках реализации регионального проекта «Спорт – норма жизни» национального проекта «Демография» проведен капитальный ремонт 5 муниципальных объектов спорта, построены 5 универсальных спортивных площадок на территории трех муниципальных образований, созданы 7 спортивных площадок для муниципальных центров тестирования Всероссийского физкультурно-спортивного комплекса «Готов к труду и обороне» (далее по разделу – ГТО) (г. Томск, г. Северск,        г. Асино, г. Стрежевой, г. Колпашево и в Томском районе), созданы 30 малобюджетных спортивных площадок по месту жительства и учебы в 18 муниципальных образованиях.</w:t>
      </w:r>
    </w:p>
    <w:p w:rsidR="007E27CB" w:rsidRDefault="008F141F">
      <w:pPr>
        <w:pStyle w:val="Default"/>
        <w:ind w:firstLine="709"/>
        <w:jc w:val="both"/>
      </w:pPr>
      <w:r>
        <w:t>В 2019 году из областного бюджета бюджетам муниципальных образований на исполнение полномочий в сфере физической культуры и спорта предоставлены субсидии в объеме 127,6 млн. рублей на:</w:t>
      </w:r>
    </w:p>
    <w:p w:rsidR="007E27CB" w:rsidRDefault="008F141F">
      <w:pPr>
        <w:pStyle w:val="a6"/>
        <w:numPr>
          <w:ilvl w:val="0"/>
          <w:numId w:val="201"/>
        </w:numPr>
        <w:tabs>
          <w:tab w:val="left" w:pos="993"/>
        </w:tabs>
        <w:autoSpaceDE w:val="0"/>
        <w:autoSpaceDN w:val="0"/>
        <w:adjustRightInd w:val="0"/>
        <w:spacing w:after="0" w:line="240" w:lineRule="auto"/>
        <w:ind w:left="0" w:firstLine="709"/>
        <w:jc w:val="both"/>
        <w:rPr>
          <w:rFonts w:ascii="Times New Roman" w:hAnsi="Times New Roman"/>
          <w:color w:val="000000"/>
          <w:sz w:val="24"/>
          <w:szCs w:val="24"/>
        </w:rPr>
      </w:pPr>
      <w:r>
        <w:rPr>
          <w:rFonts w:ascii="Times New Roman" w:hAnsi="Times New Roman"/>
          <w:color w:val="000000"/>
          <w:sz w:val="24"/>
          <w:szCs w:val="24"/>
        </w:rPr>
        <w:t>оснащение объектов спортивной инфраструктуры спортивно-технологическим оборудованием (созданы 7 спортивных площадок для муниципальных центров тестирования ГТО);</w:t>
      </w:r>
    </w:p>
    <w:p w:rsidR="007E27CB" w:rsidRDefault="008F141F">
      <w:pPr>
        <w:pStyle w:val="Default"/>
        <w:numPr>
          <w:ilvl w:val="0"/>
          <w:numId w:val="201"/>
        </w:numPr>
        <w:tabs>
          <w:tab w:val="left" w:pos="993"/>
        </w:tabs>
        <w:adjustRightInd/>
        <w:ind w:left="0" w:firstLine="709"/>
        <w:jc w:val="both"/>
      </w:pPr>
      <w:r>
        <w:t>приобретение оборудования для малобюджетных спортивных площадок по месту жительства и учебы в муниципальных образованиях Томской области (созданы 30 спортивных площадок по месту жительства и учебы в 18 муниципальных образованиях);</w:t>
      </w:r>
    </w:p>
    <w:p w:rsidR="007E27CB" w:rsidRDefault="008F141F">
      <w:pPr>
        <w:pStyle w:val="Default"/>
        <w:numPr>
          <w:ilvl w:val="0"/>
          <w:numId w:val="201"/>
        </w:numPr>
        <w:tabs>
          <w:tab w:val="left" w:pos="993"/>
        </w:tabs>
        <w:adjustRightInd/>
        <w:ind w:left="0" w:firstLine="709"/>
        <w:jc w:val="both"/>
      </w:pPr>
      <w:r>
        <w:t>обеспечение участия спортивных сборных команд муниципальных образований в официальных региональных спортивных, физкультурных мероприятиях (приняли участие 2 687 спортсменов сборных команд муниципальных образований);</w:t>
      </w:r>
    </w:p>
    <w:p w:rsidR="007E27CB" w:rsidRDefault="008F141F">
      <w:pPr>
        <w:pStyle w:val="Default"/>
        <w:numPr>
          <w:ilvl w:val="0"/>
          <w:numId w:val="201"/>
        </w:numPr>
        <w:tabs>
          <w:tab w:val="left" w:pos="993"/>
        </w:tabs>
        <w:adjustRightInd/>
        <w:ind w:left="0" w:firstLine="709"/>
        <w:jc w:val="both"/>
      </w:pPr>
      <w:r>
        <w:t>приобретение спортивного инвентаря и оборудования, спортивной экипировки для спортивных школ (закуплены в 43 спортивные школы);</w:t>
      </w:r>
    </w:p>
    <w:p w:rsidR="007E27CB" w:rsidRDefault="008F141F">
      <w:pPr>
        <w:pStyle w:val="Default"/>
        <w:numPr>
          <w:ilvl w:val="0"/>
          <w:numId w:val="201"/>
        </w:numPr>
        <w:tabs>
          <w:tab w:val="left" w:pos="993"/>
        </w:tabs>
        <w:adjustRightInd/>
        <w:ind w:left="0" w:firstLine="709"/>
        <w:jc w:val="both"/>
      </w:pPr>
      <w:r>
        <w:t>обеспечение условий для развития физической культуры и массового спорта (во всех муниципальных образованиях проводят занятия по месту жительства 449 инструкторов по спорту, у которых занимаются 26 377 человек).</w:t>
      </w:r>
    </w:p>
    <w:p w:rsidR="007E27CB" w:rsidRDefault="008F141F">
      <w:pPr>
        <w:pStyle w:val="Default"/>
        <w:ind w:firstLine="567"/>
        <w:jc w:val="both"/>
      </w:pPr>
      <w:r>
        <w:t xml:space="preserve">В 2019 году в регионе продолжалось внедрение комплекса ГТО. По состоянию </w:t>
      </w:r>
      <w:r>
        <w:br/>
        <w:t>на 31 декабря 2019 года количество зарегистрированных жителей Томской области на сайте www.gto.ru составило 58 623 человека, 14 087 из них приняли участие в мероприятиях по выполнению норм комплекса ГТО, 6 490 человек награждены знаками отличия ГТО различного достоинства.</w:t>
      </w:r>
    </w:p>
    <w:p w:rsidR="007E27CB" w:rsidRDefault="008F141F">
      <w:pPr>
        <w:pStyle w:val="Default"/>
        <w:ind w:firstLine="567"/>
        <w:jc w:val="both"/>
      </w:pPr>
      <w:r>
        <w:t>В рамках Календарного плана официальных физкультурных мероприятий и спортивных  мероприятий Томской области в 2019 год проведены:</w:t>
      </w:r>
    </w:p>
    <w:p w:rsidR="007E27CB" w:rsidRDefault="008F141F">
      <w:pPr>
        <w:pStyle w:val="Default"/>
        <w:numPr>
          <w:ilvl w:val="0"/>
          <w:numId w:val="46"/>
        </w:numPr>
        <w:tabs>
          <w:tab w:val="left" w:pos="993"/>
        </w:tabs>
        <w:ind w:left="0" w:firstLine="709"/>
        <w:jc w:val="both"/>
      </w:pPr>
      <w:r>
        <w:t>254 официальных соревнования, участниками которых стали более 32 000 спортсменов из Томской области и других регионов страны;</w:t>
      </w:r>
    </w:p>
    <w:p w:rsidR="007E27CB" w:rsidRDefault="008F141F">
      <w:pPr>
        <w:pStyle w:val="Default"/>
        <w:numPr>
          <w:ilvl w:val="0"/>
          <w:numId w:val="46"/>
        </w:numPr>
        <w:tabs>
          <w:tab w:val="left" w:pos="993"/>
        </w:tabs>
        <w:ind w:left="0" w:firstLine="709"/>
        <w:jc w:val="both"/>
      </w:pPr>
      <w:r>
        <w:t>79 официальных физкультурных мероприятий для различных категорий граждан Томской области, в том числе детей, инвалидов и лиц старшего возраста, в них приняли участие 30 404 жителя Томской области.</w:t>
      </w:r>
    </w:p>
    <w:p w:rsidR="007E27CB" w:rsidRDefault="008F141F">
      <w:pPr>
        <w:pStyle w:val="Default"/>
        <w:ind w:firstLine="567"/>
        <w:jc w:val="both"/>
      </w:pPr>
      <w:r>
        <w:t xml:space="preserve">В 2019 были реализованы следующие значимые спортивные мероприятия: Всероссийские соревнования по подводному спорту «Снежные ласты» (322 спортсмена) по фристайлу памяти Д.Г.Карташева (105 спортсменов), по спортивной гимнастике «В краю кедровом» (111 спортсменов), по спортивной аэробике «Ритмы весны» (187 спортсменов), по спортивной борьбе памяти А.Д.Афанасьева (85 спортсменов), по баскетболу «Кубок С.А.Белова» (900 спортсменов), по спортивному ориентированию (241 человек), по спортивной борьбе памяти И.М.Селетникова среди юношей до 18 лет (220 человек), Всероссийский турнир по самбо памяти Героя СССР, ветерана Великой Отечественной войны Г.Н.Ворошилова (182 спортсмена), чемпионат России по подводному спорту (244 спортсмена), кубок России по гиревому спорту (160 спортсменов). </w:t>
      </w:r>
    </w:p>
    <w:p w:rsidR="007E27CB" w:rsidRDefault="008F141F">
      <w:pPr>
        <w:pStyle w:val="Default"/>
        <w:tabs>
          <w:tab w:val="left" w:pos="0"/>
        </w:tabs>
        <w:ind w:firstLine="567"/>
        <w:jc w:val="both"/>
      </w:pPr>
      <w:r>
        <w:t>В целях содействия развитию спорта высших достижений осуществляется материальная поддержка ведущих спортсменов Томской области и их тренеров. В 2019 году ежемесячную стипендию Губернатора Томской области получали 25 спортсменов и 15 тренеров на общую сумму 7,1 млн. рублей. Единовременные вознаграждения спортсменам Томской области и их тренерам за победы и призовые места на официальных всероссийских и международных соревнованиях получили 135 человек по 20 видам спорта на общую сумму 5,9 млн. рублей. Дополнительное материальное обеспечение за выдающиеся достижения и особые заслуги перед Российской Федерацией в сфере физической культуры и спорта получили 51 человек.</w:t>
      </w:r>
    </w:p>
    <w:p w:rsidR="007E27CB" w:rsidRDefault="008F141F">
      <w:pPr>
        <w:pStyle w:val="Default"/>
        <w:tabs>
          <w:tab w:val="left" w:pos="0"/>
        </w:tabs>
        <w:ind w:firstLine="567"/>
        <w:jc w:val="both"/>
      </w:pPr>
      <w:r>
        <w:t xml:space="preserve">Спортсмены Томской области приняли участие в 309 спортивных соревнованиях межрегионального, всероссийского и международного уровней за пределами Томской области, где завоевали 798 медалей. Для членов сборной команды Томской области проведено 116 тренировочных мероприятий. </w:t>
      </w:r>
    </w:p>
    <w:p w:rsidR="007E27CB" w:rsidRDefault="008F141F">
      <w:pPr>
        <w:pStyle w:val="Default"/>
        <w:tabs>
          <w:tab w:val="left" w:pos="0"/>
        </w:tabs>
        <w:ind w:firstLine="567"/>
        <w:jc w:val="both"/>
      </w:pPr>
      <w:r>
        <w:t xml:space="preserve">В состав кандидатов в спортивные сборные команды Российской Федерации на 2019 год зачислены 129 спортсменов Томской области. </w:t>
      </w:r>
    </w:p>
    <w:p w:rsidR="007E27CB" w:rsidRDefault="008F141F">
      <w:pPr>
        <w:pStyle w:val="Default"/>
        <w:tabs>
          <w:tab w:val="left" w:pos="0"/>
        </w:tabs>
        <w:ind w:firstLine="567"/>
        <w:jc w:val="both"/>
      </w:pPr>
      <w:r>
        <w:t xml:space="preserve">За 2019 год Министерством спорта Российской Федерации присвоены следующие спортивные звания и судейские категории: </w:t>
      </w:r>
    </w:p>
    <w:p w:rsidR="007E27CB" w:rsidRDefault="008F141F">
      <w:pPr>
        <w:pStyle w:val="Default"/>
        <w:numPr>
          <w:ilvl w:val="0"/>
          <w:numId w:val="47"/>
        </w:numPr>
        <w:tabs>
          <w:tab w:val="left" w:pos="0"/>
          <w:tab w:val="left" w:pos="851"/>
        </w:tabs>
        <w:ind w:left="0" w:firstLine="567"/>
        <w:jc w:val="both"/>
      </w:pPr>
      <w:r>
        <w:t xml:space="preserve">2 спортсменам – спортивное звание «Мастер спорта России международного класса»; </w:t>
      </w:r>
    </w:p>
    <w:p w:rsidR="007E27CB" w:rsidRDefault="008F141F">
      <w:pPr>
        <w:pStyle w:val="Default"/>
        <w:numPr>
          <w:ilvl w:val="0"/>
          <w:numId w:val="47"/>
        </w:numPr>
        <w:tabs>
          <w:tab w:val="left" w:pos="0"/>
          <w:tab w:val="left" w:pos="851"/>
        </w:tabs>
        <w:ind w:left="0" w:firstLine="567"/>
        <w:jc w:val="both"/>
      </w:pPr>
      <w:r>
        <w:t xml:space="preserve">55 спортсменам – спортивное звание «Мастер спорта России»; </w:t>
      </w:r>
    </w:p>
    <w:p w:rsidR="007E27CB" w:rsidRDefault="008F141F">
      <w:pPr>
        <w:pStyle w:val="Default"/>
        <w:numPr>
          <w:ilvl w:val="0"/>
          <w:numId w:val="47"/>
        </w:numPr>
        <w:tabs>
          <w:tab w:val="left" w:pos="0"/>
          <w:tab w:val="left" w:pos="851"/>
        </w:tabs>
        <w:ind w:left="0" w:firstLine="567"/>
        <w:jc w:val="both"/>
      </w:pPr>
      <w:r>
        <w:t>14 спортивным судьям – категория «Спортивный судья всероссийской категории».</w:t>
      </w:r>
    </w:p>
    <w:p w:rsidR="007E27CB" w:rsidRDefault="007E27CB">
      <w:pPr>
        <w:pStyle w:val="Default"/>
        <w:tabs>
          <w:tab w:val="left" w:pos="0"/>
          <w:tab w:val="left" w:pos="851"/>
        </w:tabs>
        <w:ind w:firstLine="567"/>
        <w:jc w:val="both"/>
      </w:pPr>
    </w:p>
    <w:p w:rsidR="007E27CB" w:rsidRDefault="008F141F">
      <w:pPr>
        <w:shd w:val="clear" w:color="auto" w:fill="F2F2F2" w:themeFill="background1" w:themeFillShade="F2"/>
        <w:tabs>
          <w:tab w:val="left" w:pos="4962"/>
        </w:tabs>
        <w:spacing w:after="0" w:line="240" w:lineRule="auto"/>
        <w:jc w:val="both"/>
        <w:rPr>
          <w:b/>
          <w:color w:val="000000" w:themeColor="text1"/>
          <w:sz w:val="24"/>
          <w:szCs w:val="24"/>
        </w:rPr>
      </w:pPr>
      <w:r>
        <w:rPr>
          <w:b/>
          <w:color w:val="000000" w:themeColor="text1"/>
          <w:sz w:val="24"/>
          <w:szCs w:val="24"/>
        </w:rPr>
        <w:t>Перспективные задачи</w:t>
      </w:r>
    </w:p>
    <w:p w:rsidR="007E27CB" w:rsidRDefault="007E27CB">
      <w:pPr>
        <w:pStyle w:val="Default"/>
        <w:tabs>
          <w:tab w:val="left" w:pos="0"/>
        </w:tabs>
        <w:jc w:val="both"/>
        <w:rPr>
          <w:b/>
        </w:rPr>
      </w:pPr>
    </w:p>
    <w:p w:rsidR="007E27CB" w:rsidRDefault="008F141F">
      <w:pPr>
        <w:pStyle w:val="Default"/>
        <w:numPr>
          <w:ilvl w:val="0"/>
          <w:numId w:val="45"/>
        </w:numPr>
        <w:tabs>
          <w:tab w:val="left" w:pos="0"/>
          <w:tab w:val="left" w:pos="142"/>
          <w:tab w:val="left" w:pos="284"/>
        </w:tabs>
        <w:ind w:left="0" w:firstLine="0"/>
        <w:jc w:val="both"/>
      </w:pPr>
      <w:r>
        <w:t>Проведение в 2020 году значимых спортивных мероприятий всероссийского и международного уровня: Кубок России по подводному спорту, Чемпионат мира по подводному спорту, Первенство России по волейболу и тяжелой атлетике.</w:t>
      </w:r>
    </w:p>
    <w:p w:rsidR="007E27CB" w:rsidRDefault="008F141F">
      <w:pPr>
        <w:pStyle w:val="a6"/>
        <w:numPr>
          <w:ilvl w:val="0"/>
          <w:numId w:val="45"/>
        </w:numPr>
        <w:tabs>
          <w:tab w:val="left" w:pos="142"/>
          <w:tab w:val="left" w:pos="284"/>
        </w:tabs>
        <w:ind w:left="0" w:firstLine="0"/>
        <w:jc w:val="both"/>
        <w:rPr>
          <w:rFonts w:ascii="Times New Roman" w:hAnsi="Times New Roman"/>
          <w:sz w:val="24"/>
          <w:szCs w:val="24"/>
        </w:rPr>
      </w:pPr>
      <w:r>
        <w:rPr>
          <w:rFonts w:ascii="Times New Roman" w:hAnsi="Times New Roman"/>
          <w:sz w:val="24"/>
          <w:szCs w:val="24"/>
        </w:rPr>
        <w:t>Привлечение некоммерческих организаций и частного бизнеса в сферу физической культуры и спорта.</w:t>
      </w:r>
    </w:p>
    <w:p w:rsidR="007E27CB" w:rsidRDefault="007E27CB">
      <w:pPr>
        <w:pStyle w:val="a6"/>
        <w:tabs>
          <w:tab w:val="left" w:pos="4962"/>
        </w:tabs>
        <w:spacing w:after="0" w:line="240" w:lineRule="auto"/>
        <w:jc w:val="both"/>
        <w:rPr>
          <w:rFonts w:ascii="Times New Roman" w:hAnsi="Times New Roman"/>
          <w:sz w:val="24"/>
          <w:szCs w:val="24"/>
          <w:u w:val="single"/>
        </w:rPr>
      </w:pPr>
    </w:p>
    <w:p w:rsidR="007E27CB" w:rsidRDefault="008F141F">
      <w:pPr>
        <w:tabs>
          <w:tab w:val="left" w:pos="0"/>
        </w:tabs>
        <w:spacing w:after="0" w:line="240" w:lineRule="auto"/>
        <w:ind w:firstLine="567"/>
        <w:jc w:val="both"/>
        <w:rPr>
          <w:b/>
          <w:sz w:val="24"/>
          <w:szCs w:val="24"/>
        </w:rPr>
      </w:pPr>
      <w:r>
        <w:rPr>
          <w:b/>
          <w:sz w:val="24"/>
          <w:szCs w:val="24"/>
        </w:rPr>
        <w:t>МОЛОДЕЖНАЯ ПОЛИТИКА</w:t>
      </w:r>
    </w:p>
    <w:p w:rsidR="007E27CB" w:rsidRDefault="007E27CB">
      <w:pPr>
        <w:tabs>
          <w:tab w:val="left" w:pos="4962"/>
        </w:tabs>
        <w:spacing w:after="0" w:line="240" w:lineRule="auto"/>
        <w:ind w:firstLine="567"/>
        <w:jc w:val="both"/>
        <w:rPr>
          <w:b/>
          <w:sz w:val="24"/>
          <w:szCs w:val="24"/>
        </w:rPr>
      </w:pPr>
    </w:p>
    <w:p w:rsidR="007E27CB" w:rsidRDefault="008F141F">
      <w:pPr>
        <w:tabs>
          <w:tab w:val="left" w:pos="6237"/>
          <w:tab w:val="left" w:pos="6804"/>
        </w:tabs>
        <w:spacing w:after="0" w:line="240" w:lineRule="auto"/>
        <w:ind w:right="-1" w:firstLine="567"/>
        <w:jc w:val="both"/>
        <w:rPr>
          <w:sz w:val="24"/>
          <w:szCs w:val="24"/>
        </w:rPr>
      </w:pPr>
      <w:r>
        <w:rPr>
          <w:rFonts w:eastAsia="Calibri"/>
          <w:sz w:val="24"/>
          <w:szCs w:val="24"/>
        </w:rPr>
        <w:t xml:space="preserve">Специфика Томской области заключается в том, что Томск </w:t>
      </w:r>
      <w:r>
        <w:t>–</w:t>
      </w:r>
      <w:r>
        <w:rPr>
          <w:rFonts w:eastAsia="Calibri"/>
          <w:sz w:val="24"/>
          <w:szCs w:val="24"/>
        </w:rPr>
        <w:t xml:space="preserve"> это центр образования и науки, привлекающий большое количество иногородних и иностранных студентов. Наше общество </w:t>
      </w:r>
      <w:r>
        <w:rPr>
          <w:sz w:val="24"/>
          <w:szCs w:val="24"/>
        </w:rPr>
        <w:t>заинтересовано в формировании и развитии гражданской и социальной активности молодых людей, создании для них условий для самореализации и личностного роста. Это актуализирует необходимость проведения эффективной молодежной политики на региональном уровне, основным инструментом которой является реализация мероприятий государственной программы «Развитие молодежной политики, физической культуры и спорта в Томской области».</w:t>
      </w:r>
    </w:p>
    <w:p w:rsidR="007E27CB" w:rsidRDefault="008F141F">
      <w:pPr>
        <w:spacing w:after="0" w:line="240" w:lineRule="auto"/>
        <w:ind w:firstLine="567"/>
        <w:jc w:val="both"/>
        <w:rPr>
          <w:sz w:val="24"/>
          <w:szCs w:val="24"/>
        </w:rPr>
      </w:pPr>
      <w:r>
        <w:rPr>
          <w:sz w:val="24"/>
          <w:szCs w:val="24"/>
        </w:rPr>
        <w:t>В 2019 году мероприятиями в сфере молодежной политики, проводимыми на территории Томской области, было охвачено более 49 тысяч жителей в возрасте от 14 до 30 лет. Около 16 тысяч человек стали участниками программ молодежных и детских общественных объединений.</w:t>
      </w:r>
    </w:p>
    <w:p w:rsidR="007E27CB" w:rsidRDefault="008F141F">
      <w:pPr>
        <w:spacing w:after="0" w:line="240" w:lineRule="auto"/>
        <w:ind w:firstLine="567"/>
        <w:jc w:val="both"/>
        <w:rPr>
          <w:sz w:val="24"/>
          <w:szCs w:val="24"/>
        </w:rPr>
      </w:pPr>
      <w:r>
        <w:rPr>
          <w:sz w:val="24"/>
          <w:szCs w:val="24"/>
        </w:rPr>
        <w:t>По данным Всероссийского итогового рейтинга реализации государственной молодежной политики за 2019 год, составленного Федеральным агентством по делам молодежи, Томская область поднялась за год на 11 пунктов и заняла 36-е место по России и 4-е место среди регионов СФО.</w:t>
      </w:r>
    </w:p>
    <w:p w:rsidR="007E27CB" w:rsidRDefault="008F141F">
      <w:pPr>
        <w:spacing w:after="0" w:line="240" w:lineRule="auto"/>
        <w:ind w:firstLine="567"/>
        <w:jc w:val="both"/>
        <w:rPr>
          <w:sz w:val="24"/>
          <w:szCs w:val="24"/>
        </w:rPr>
      </w:pPr>
      <w:r>
        <w:rPr>
          <w:sz w:val="24"/>
          <w:szCs w:val="24"/>
        </w:rPr>
        <w:t>Продолжена активная работа по вовлечению молодежи в волонтерское движение. Более 700 волонтеров регионального и муниципальных штабов оказали помощь почти 5 тысячам семей в подключении цифровых приставок при переходе региона на цифровое телевидение.</w:t>
      </w:r>
    </w:p>
    <w:p w:rsidR="007E27CB" w:rsidRDefault="008F141F">
      <w:pPr>
        <w:spacing w:after="0" w:line="240" w:lineRule="auto"/>
        <w:ind w:firstLine="567"/>
        <w:jc w:val="both"/>
        <w:rPr>
          <w:sz w:val="24"/>
          <w:szCs w:val="24"/>
        </w:rPr>
      </w:pPr>
      <w:r>
        <w:rPr>
          <w:sz w:val="24"/>
          <w:szCs w:val="24"/>
        </w:rPr>
        <w:t>В июле 2019 года Томская область впервые победила во Всероссийском конкурсе лучших региональных практик поддержки волонтерства «Регион добрых дел» и получила субсидию из федерального бюджета в размере 7 983,1 тыс. рублей на создание ресурсного центра развития добровольчества Томской области «#БумерангДобра70». Данный центр будет открыт в апреле 2020 года в Томске и объединит под своей крышей волонтеров разных направлений: Волонтеров Победы, Волонтеров-медиков, Волонтеров культуры, серебряных добровольцев, школьников и студентов.</w:t>
      </w:r>
    </w:p>
    <w:p w:rsidR="007E27CB" w:rsidRDefault="008F141F">
      <w:pPr>
        <w:spacing w:after="0" w:line="240" w:lineRule="auto"/>
        <w:ind w:firstLine="567"/>
        <w:jc w:val="both"/>
        <w:rPr>
          <w:sz w:val="24"/>
          <w:szCs w:val="24"/>
        </w:rPr>
      </w:pPr>
      <w:r>
        <w:rPr>
          <w:sz w:val="24"/>
          <w:szCs w:val="24"/>
        </w:rPr>
        <w:t>В 2019 году в ряды волонтеров вступили 24 536 человек (в 2018 году – около 15 тысяч человек).  По итогам года региональное отделение ВОД «Волонтёры-медики» заняло 2-е место в рейтинге по стране. Проект волонтеров культуры из Томска «Раскрась Томск» признан одним из лучших и принят к тиражированию Ассоциацией волонтёрских центров.</w:t>
      </w:r>
    </w:p>
    <w:p w:rsidR="007E27CB" w:rsidRDefault="008F141F">
      <w:pPr>
        <w:spacing w:after="0" w:line="240" w:lineRule="auto"/>
        <w:ind w:firstLine="567"/>
        <w:jc w:val="both"/>
        <w:rPr>
          <w:sz w:val="24"/>
          <w:szCs w:val="24"/>
        </w:rPr>
      </w:pPr>
      <w:r>
        <w:rPr>
          <w:sz w:val="24"/>
          <w:szCs w:val="24"/>
        </w:rPr>
        <w:t xml:space="preserve">Особое внимание уделено развитию молодежной политики в районах Томской области. Летом впервые был организован Молодежный форум «Смородина» для молодых людей из районов Томской области. Форум проходил по трем направлениям: «Добровольчество», «Молодежные медиа», «Творчество» и собрал свыше 150 активных школьников, студентов техникумов и колледжей, лидеров и руководителей молодежных сообществ, а также авторов социальных проектов. </w:t>
      </w:r>
    </w:p>
    <w:p w:rsidR="007E27CB" w:rsidRDefault="008F141F">
      <w:pPr>
        <w:spacing w:after="0" w:line="240" w:lineRule="auto"/>
        <w:ind w:firstLine="567"/>
        <w:jc w:val="both"/>
        <w:rPr>
          <w:sz w:val="24"/>
          <w:szCs w:val="24"/>
        </w:rPr>
      </w:pPr>
      <w:r>
        <w:rPr>
          <w:sz w:val="24"/>
          <w:szCs w:val="24"/>
        </w:rPr>
        <w:t xml:space="preserve">В большинстве районных центров Томской области были проведены флагманские проекты «Бумеранг добра» (добровольчество), «Область творчества» и «Технология жизни» (ЗОЖ, профилактика наркомании и алкоголизма). С целью повышения эффективности в сфере молодежной политики впервые в 2019 году было проведено обучение специалистов по молодежной политике из муниципальных образований по программе «Организация работы с молодежью» на базе Томского регионального ресурсного центра. </w:t>
      </w:r>
    </w:p>
    <w:p w:rsidR="007E27CB" w:rsidRDefault="008F141F">
      <w:pPr>
        <w:spacing w:after="0" w:line="240" w:lineRule="auto"/>
        <w:ind w:firstLine="567"/>
        <w:jc w:val="both"/>
        <w:rPr>
          <w:sz w:val="24"/>
          <w:szCs w:val="24"/>
        </w:rPr>
      </w:pPr>
      <w:r>
        <w:rPr>
          <w:sz w:val="24"/>
          <w:szCs w:val="24"/>
        </w:rPr>
        <w:t>В 2019 году в Томской области впервые сформирован молодежный кадровый резерв. В ходе конкурса были отобраны 15 человек – представители и активисты молодежных общественных и волонтерских организаций, студенты высших учебных заведений.</w:t>
      </w:r>
    </w:p>
    <w:p w:rsidR="007E27CB" w:rsidRDefault="008F141F">
      <w:pPr>
        <w:spacing w:after="0" w:line="240" w:lineRule="auto"/>
        <w:ind w:firstLine="567"/>
        <w:jc w:val="both"/>
        <w:rPr>
          <w:sz w:val="24"/>
          <w:szCs w:val="24"/>
        </w:rPr>
      </w:pPr>
      <w:r>
        <w:rPr>
          <w:sz w:val="24"/>
          <w:szCs w:val="24"/>
        </w:rPr>
        <w:t xml:space="preserve">Молодежный кадровый резерв должен стать востребованной площадкой для всех, кому интересно развиваться и работать в Томской области в любой сфере. В ближайшее время команда молодежного резерва познакомится с работой региональных органов власти и сможет участвовать в федеральных программах. </w:t>
      </w:r>
    </w:p>
    <w:p w:rsidR="007E27CB" w:rsidRDefault="008F141F">
      <w:pPr>
        <w:spacing w:after="0" w:line="240" w:lineRule="auto"/>
        <w:ind w:firstLine="567"/>
        <w:jc w:val="both"/>
        <w:rPr>
          <w:sz w:val="24"/>
          <w:szCs w:val="24"/>
        </w:rPr>
      </w:pPr>
      <w:r>
        <w:rPr>
          <w:sz w:val="24"/>
          <w:szCs w:val="24"/>
        </w:rPr>
        <w:t>В 2019 году во всероссийских и международных мероприятиях, в том числе форумной кампании: «Таврида 5.0.», «Территория смыслов на Клязьме», «Алтай. Территория развития», «Выше крыши», «Байкал», «Ростов» приняли участие 257 человек (в 2018 году – 186 человек).</w:t>
      </w:r>
    </w:p>
    <w:p w:rsidR="007E27CB" w:rsidRDefault="008F141F">
      <w:pPr>
        <w:spacing w:after="0" w:line="240" w:lineRule="auto"/>
        <w:ind w:firstLine="567"/>
        <w:jc w:val="both"/>
        <w:rPr>
          <w:sz w:val="24"/>
          <w:szCs w:val="24"/>
        </w:rPr>
      </w:pPr>
      <w:r>
        <w:rPr>
          <w:sz w:val="24"/>
          <w:szCs w:val="24"/>
        </w:rPr>
        <w:t>В отчетном году прошел первый фестиваль творческих сообществ «Таврида – АРТ», в состав делегации Томской области вошли 15 человек – представители молодежных общественных организаций и благотворительных фондов, киноиндустрии, художники и дизайнеры, архитекторы, урбанисты, волонтеры. Томичи представили на фестивале свой павильон.</w:t>
      </w:r>
    </w:p>
    <w:p w:rsidR="007E27CB" w:rsidRDefault="008F141F">
      <w:pPr>
        <w:shd w:val="clear" w:color="auto" w:fill="FFFFFF" w:themeFill="background1"/>
        <w:spacing w:after="0" w:line="240" w:lineRule="auto"/>
        <w:ind w:firstLine="567"/>
        <w:jc w:val="both"/>
        <w:rPr>
          <w:sz w:val="24"/>
          <w:szCs w:val="24"/>
        </w:rPr>
      </w:pPr>
      <w:r>
        <w:rPr>
          <w:sz w:val="24"/>
          <w:szCs w:val="24"/>
          <w:shd w:val="clear" w:color="auto" w:fill="FFFFFF" w:themeFill="background1"/>
        </w:rPr>
        <w:t>В 2019 году молодежные и детские общественные объединения получили грантовую поддержку на различных уровнях. На региональном уровне сумма грантовой поддержки составила 4 696,1 тыс. рублей. Кроме этого, организации, работающие по направлению молодежной политики, смогли за 2019 год привлечь в регион из федерального бюджета финансирование на реализацию своих проектов в размере более 10 млн. рублей путем участия в конкурсах Фонда президентских грантов и грантов Росмолодежи.</w:t>
      </w:r>
    </w:p>
    <w:p w:rsidR="007E27CB" w:rsidRDefault="008F141F">
      <w:pPr>
        <w:spacing w:after="0" w:line="240" w:lineRule="auto"/>
        <w:ind w:firstLine="567"/>
        <w:jc w:val="both"/>
        <w:rPr>
          <w:sz w:val="24"/>
          <w:szCs w:val="24"/>
        </w:rPr>
      </w:pPr>
      <w:r>
        <w:rPr>
          <w:sz w:val="24"/>
          <w:szCs w:val="24"/>
        </w:rPr>
        <w:t>Патриотическое воспитание молодежи по-прежнему базируется в первую очередь на мероприятиях, связанных с памятью и благодарностью героям Великой Отечественной войны. Поэтому неизменными остаются такие мероприятия как Всероссийская акция «Георгиевская ленточка», квесты «Сталинградская битва», «Память поколений», «Герои», Всероссийская акция «Красная гвоздика». Общее количество участников всех акций и квестов в 2019 году составило более 30 тысяч человек.</w:t>
      </w:r>
    </w:p>
    <w:p w:rsidR="007E27CB" w:rsidRDefault="008F141F">
      <w:pPr>
        <w:spacing w:after="0" w:line="240" w:lineRule="auto"/>
        <w:ind w:firstLine="567"/>
        <w:jc w:val="both"/>
        <w:rPr>
          <w:sz w:val="24"/>
          <w:szCs w:val="24"/>
        </w:rPr>
      </w:pPr>
      <w:r>
        <w:rPr>
          <w:sz w:val="24"/>
          <w:szCs w:val="24"/>
        </w:rPr>
        <w:t xml:space="preserve">Впервые команда из </w:t>
      </w:r>
      <w:r>
        <w:rPr>
          <w:sz w:val="24"/>
          <w:szCs w:val="24"/>
          <w:shd w:val="clear" w:color="auto" w:fill="FFFFFF" w:themeFill="background1"/>
        </w:rPr>
        <w:t>Томской области заняла 3-е место в финале</w:t>
      </w:r>
      <w:r>
        <w:rPr>
          <w:sz w:val="24"/>
          <w:szCs w:val="24"/>
        </w:rPr>
        <w:t xml:space="preserve"> Всероссийской военно-патриотической игры «Зарница». </w:t>
      </w:r>
    </w:p>
    <w:p w:rsidR="007E27CB" w:rsidRDefault="008F141F">
      <w:pPr>
        <w:spacing w:after="0" w:line="240" w:lineRule="auto"/>
        <w:ind w:firstLine="567"/>
        <w:jc w:val="both"/>
        <w:rPr>
          <w:sz w:val="24"/>
          <w:szCs w:val="24"/>
        </w:rPr>
      </w:pPr>
      <w:r>
        <w:rPr>
          <w:sz w:val="24"/>
          <w:szCs w:val="24"/>
        </w:rPr>
        <w:t>В 2019 году было усилено информационное сопровождение молодежной политики в социальных сетях, а также продвижение молодежных трендов в онлайн-пространстве для увеличения охвата молодежной аудитории и ускорения коммуникаций с молодежью.</w:t>
      </w:r>
    </w:p>
    <w:p w:rsidR="007E27CB" w:rsidRDefault="008F141F">
      <w:pPr>
        <w:spacing w:after="0" w:line="240" w:lineRule="auto"/>
        <w:ind w:firstLine="567"/>
        <w:jc w:val="both"/>
        <w:rPr>
          <w:sz w:val="24"/>
          <w:szCs w:val="24"/>
        </w:rPr>
      </w:pPr>
      <w:r>
        <w:rPr>
          <w:sz w:val="24"/>
          <w:szCs w:val="24"/>
        </w:rPr>
        <w:t xml:space="preserve">В рамках регионального проекта «Социальная активность» начата реализация федерального проекта студенческих дискуссионных клубов «Диалог на равных». В 12 встречах с известными творческими, политическими и общественными деятелями приняли участие более 2,5 тысячи студентов Томска и области. На волонтёрской платформе «Добро.университет» прошли обучение 300 организаторов добровольческой деятельности, проведена информационная и рекламная кампания в целях популяризации добровольчества, в творческую деятельность вовлечены более 73 тысяч молодых людей.  </w:t>
      </w:r>
    </w:p>
    <w:p w:rsidR="007E27CB" w:rsidRDefault="007E27CB">
      <w:pPr>
        <w:shd w:val="clear" w:color="auto" w:fill="FFFFFF" w:themeFill="background1"/>
        <w:spacing w:after="0" w:line="240" w:lineRule="auto"/>
        <w:rPr>
          <w:b/>
          <w:sz w:val="24"/>
          <w:szCs w:val="24"/>
        </w:rPr>
      </w:pPr>
    </w:p>
    <w:p w:rsidR="007E27CB" w:rsidRDefault="008F141F">
      <w:pPr>
        <w:shd w:val="clear" w:color="auto" w:fill="F2F2F2" w:themeFill="background1" w:themeFillShade="F2"/>
        <w:tabs>
          <w:tab w:val="left" w:pos="4962"/>
        </w:tabs>
        <w:spacing w:after="0" w:line="240" w:lineRule="auto"/>
        <w:jc w:val="both"/>
        <w:rPr>
          <w:b/>
          <w:color w:val="000000" w:themeColor="text1"/>
          <w:sz w:val="24"/>
          <w:szCs w:val="24"/>
        </w:rPr>
      </w:pPr>
      <w:r>
        <w:rPr>
          <w:b/>
          <w:color w:val="000000" w:themeColor="text1"/>
          <w:sz w:val="24"/>
          <w:szCs w:val="24"/>
        </w:rPr>
        <w:t>Перспективные задачи</w:t>
      </w:r>
    </w:p>
    <w:p w:rsidR="007E27CB" w:rsidRDefault="007E27CB">
      <w:pPr>
        <w:shd w:val="clear" w:color="auto" w:fill="FFFFFF" w:themeFill="background1"/>
        <w:tabs>
          <w:tab w:val="left" w:pos="284"/>
        </w:tabs>
        <w:spacing w:after="0" w:line="240" w:lineRule="auto"/>
        <w:rPr>
          <w:b/>
          <w:sz w:val="24"/>
          <w:szCs w:val="24"/>
        </w:rPr>
      </w:pPr>
    </w:p>
    <w:p w:rsidR="007E27CB" w:rsidRDefault="008F141F">
      <w:pPr>
        <w:pStyle w:val="a6"/>
        <w:numPr>
          <w:ilvl w:val="0"/>
          <w:numId w:val="50"/>
        </w:numPr>
        <w:shd w:val="clear" w:color="auto" w:fill="FFFFFF" w:themeFill="background1"/>
        <w:tabs>
          <w:tab w:val="left" w:pos="284"/>
        </w:tabs>
        <w:spacing w:after="0" w:line="240" w:lineRule="auto"/>
        <w:ind w:left="0" w:firstLine="0"/>
        <w:jc w:val="both"/>
        <w:rPr>
          <w:rFonts w:ascii="Times New Roman" w:hAnsi="Times New Roman"/>
          <w:sz w:val="24"/>
          <w:szCs w:val="24"/>
        </w:rPr>
      </w:pPr>
      <w:r>
        <w:rPr>
          <w:rFonts w:ascii="Times New Roman" w:hAnsi="Times New Roman"/>
          <w:sz w:val="24"/>
          <w:szCs w:val="24"/>
        </w:rPr>
        <w:t>Увеличение количества волонтеров на территории Томской области путем создания волонтерского центра, цель которого – объединить добровольцев, добровольческие некомерческие организации и благополучателей на единой площадке.</w:t>
      </w:r>
    </w:p>
    <w:p w:rsidR="007E27CB" w:rsidRDefault="008F141F">
      <w:pPr>
        <w:pStyle w:val="a6"/>
        <w:numPr>
          <w:ilvl w:val="0"/>
          <w:numId w:val="50"/>
        </w:numPr>
        <w:shd w:val="clear" w:color="auto" w:fill="FFFFFF" w:themeFill="background1"/>
        <w:tabs>
          <w:tab w:val="left" w:pos="284"/>
        </w:tabs>
        <w:spacing w:after="0" w:line="240" w:lineRule="auto"/>
        <w:ind w:left="0" w:firstLine="0"/>
        <w:jc w:val="both"/>
        <w:rPr>
          <w:rFonts w:ascii="Times New Roman" w:hAnsi="Times New Roman"/>
          <w:sz w:val="24"/>
          <w:szCs w:val="24"/>
        </w:rPr>
      </w:pPr>
      <w:r>
        <w:rPr>
          <w:rFonts w:ascii="Times New Roman" w:hAnsi="Times New Roman"/>
          <w:sz w:val="24"/>
          <w:szCs w:val="24"/>
        </w:rPr>
        <w:t>Увеличение численности патриотически настроенной молодежи путем массового вовлечения молодых людей в проекты и мероприятия Года памяти и славы.</w:t>
      </w:r>
    </w:p>
    <w:p w:rsidR="007E27CB" w:rsidRDefault="008F141F">
      <w:pPr>
        <w:pStyle w:val="a6"/>
        <w:numPr>
          <w:ilvl w:val="0"/>
          <w:numId w:val="50"/>
        </w:numPr>
        <w:shd w:val="clear" w:color="auto" w:fill="FFFFFF" w:themeFill="background1"/>
        <w:tabs>
          <w:tab w:val="left" w:pos="284"/>
        </w:tabs>
        <w:spacing w:after="0" w:line="240" w:lineRule="auto"/>
        <w:ind w:left="0" w:firstLine="0"/>
        <w:jc w:val="both"/>
        <w:rPr>
          <w:rFonts w:ascii="Times New Roman" w:hAnsi="Times New Roman"/>
          <w:sz w:val="24"/>
          <w:szCs w:val="24"/>
        </w:rPr>
      </w:pPr>
      <w:r>
        <w:rPr>
          <w:rFonts w:ascii="Times New Roman" w:hAnsi="Times New Roman"/>
          <w:sz w:val="24"/>
          <w:szCs w:val="24"/>
        </w:rPr>
        <w:t>Привлечение федеральных грантовых средств для реализации молодежной политики на территории региона путем усиления методической и экспертной поддержки молодых людей, участвующих в конкурсах Фонда президентских грантов и Росмолодёжи.</w:t>
      </w:r>
    </w:p>
    <w:p w:rsidR="007E27CB" w:rsidRDefault="007E27CB">
      <w:pPr>
        <w:tabs>
          <w:tab w:val="left" w:pos="4962"/>
        </w:tabs>
        <w:spacing w:after="0" w:line="240" w:lineRule="auto"/>
        <w:ind w:left="567" w:hanging="567"/>
        <w:jc w:val="both"/>
        <w:rPr>
          <w:rFonts w:eastAsia="Times New Roman"/>
          <w:b/>
          <w:sz w:val="24"/>
          <w:szCs w:val="24"/>
        </w:rPr>
      </w:pPr>
    </w:p>
    <w:p w:rsidR="007E27CB" w:rsidRDefault="008F141F">
      <w:pPr>
        <w:tabs>
          <w:tab w:val="left" w:pos="4962"/>
        </w:tabs>
        <w:spacing w:after="0" w:line="240" w:lineRule="auto"/>
        <w:ind w:left="567" w:hanging="567"/>
        <w:jc w:val="both"/>
        <w:rPr>
          <w:rFonts w:eastAsia="Times New Roman"/>
          <w:b/>
          <w:sz w:val="24"/>
          <w:szCs w:val="24"/>
        </w:rPr>
      </w:pPr>
      <w:r>
        <w:rPr>
          <w:rFonts w:eastAsia="Times New Roman"/>
          <w:b/>
          <w:sz w:val="24"/>
          <w:szCs w:val="24"/>
        </w:rPr>
        <w:t>3.6. Содействие развитию эффективного рынка труда</w:t>
      </w:r>
      <w:r>
        <w:rPr>
          <w:rStyle w:val="af3"/>
          <w:rFonts w:eastAsia="Times New Roman"/>
          <w:b/>
          <w:sz w:val="24"/>
          <w:szCs w:val="24"/>
        </w:rPr>
        <w:footnoteReference w:id="16"/>
      </w:r>
    </w:p>
    <w:p w:rsidR="007E27CB" w:rsidRDefault="007E27CB">
      <w:pPr>
        <w:tabs>
          <w:tab w:val="left" w:pos="4962"/>
        </w:tabs>
        <w:spacing w:after="0" w:line="240" w:lineRule="auto"/>
        <w:ind w:left="567" w:hanging="567"/>
        <w:jc w:val="both"/>
        <w:rPr>
          <w:rFonts w:eastAsia="Times New Roman"/>
          <w:b/>
          <w:sz w:val="24"/>
          <w:szCs w:val="24"/>
        </w:rPr>
      </w:pPr>
    </w:p>
    <w:p w:rsidR="007E27CB" w:rsidRDefault="008F141F">
      <w:pPr>
        <w:spacing w:after="0" w:line="240" w:lineRule="auto"/>
        <w:ind w:firstLine="567"/>
        <w:jc w:val="both"/>
        <w:rPr>
          <w:bCs/>
          <w:sz w:val="24"/>
          <w:szCs w:val="24"/>
        </w:rPr>
      </w:pPr>
      <w:r>
        <w:rPr>
          <w:sz w:val="24"/>
          <w:szCs w:val="24"/>
        </w:rPr>
        <w:t xml:space="preserve">Задачами органов государственной власти при регулировании рынка труда являются: </w:t>
      </w:r>
      <w:r>
        <w:rPr>
          <w:bCs/>
          <w:sz w:val="24"/>
          <w:szCs w:val="24"/>
        </w:rPr>
        <w:t>эффективная занятость населения и развитие трудовых ресурсов, высокий уровень обеспечения трудовых прав и социальных гарантий граждан в области труда и занятости населения.</w:t>
      </w:r>
    </w:p>
    <w:p w:rsidR="007E27CB" w:rsidRDefault="008F141F">
      <w:pPr>
        <w:spacing w:after="0" w:line="240" w:lineRule="auto"/>
        <w:ind w:firstLine="567"/>
        <w:jc w:val="both"/>
        <w:rPr>
          <w:sz w:val="24"/>
          <w:szCs w:val="24"/>
        </w:rPr>
      </w:pPr>
      <w:r>
        <w:rPr>
          <w:sz w:val="24"/>
          <w:szCs w:val="24"/>
        </w:rPr>
        <w:t>Реализация мероприятий на рынке труда Томской области осуществлялась в соответствии с государственной программой «Развитие рынка труда в Томской области», в рамках которой в 2019 году:</w:t>
      </w:r>
    </w:p>
    <w:p w:rsidR="007E27CB" w:rsidRDefault="008F141F">
      <w:pPr>
        <w:pStyle w:val="a6"/>
        <w:numPr>
          <w:ilvl w:val="0"/>
          <w:numId w:val="51"/>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к профессиональному обучению приступили 1,6 тыс. безработных граждан; </w:t>
      </w:r>
    </w:p>
    <w:p w:rsidR="007E27CB" w:rsidRDefault="008F141F">
      <w:pPr>
        <w:pStyle w:val="a6"/>
        <w:numPr>
          <w:ilvl w:val="0"/>
          <w:numId w:val="51"/>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приняли участие в общественных работах 0,8 тыс. человек; </w:t>
      </w:r>
    </w:p>
    <w:p w:rsidR="007E27CB" w:rsidRDefault="008F141F">
      <w:pPr>
        <w:pStyle w:val="a6"/>
        <w:numPr>
          <w:ilvl w:val="0"/>
          <w:numId w:val="51"/>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на временные работы в свободное от учебы время трудоустроены 5 тысяч несовершеннолетних граждан в возрасте 14 </w:t>
      </w:r>
      <w:r>
        <w:t xml:space="preserve">– </w:t>
      </w:r>
      <w:r>
        <w:rPr>
          <w:rFonts w:ascii="Times New Roman" w:hAnsi="Times New Roman"/>
          <w:sz w:val="24"/>
          <w:szCs w:val="24"/>
        </w:rPr>
        <w:t xml:space="preserve">17 лет; </w:t>
      </w:r>
    </w:p>
    <w:p w:rsidR="007E27CB" w:rsidRDefault="008F141F">
      <w:pPr>
        <w:pStyle w:val="a6"/>
        <w:numPr>
          <w:ilvl w:val="0"/>
          <w:numId w:val="51"/>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трудоустроены 690 инвалидов (56,1% общей численности инвалидов, обратившихся в органы службы занятости);</w:t>
      </w:r>
    </w:p>
    <w:p w:rsidR="007E27CB" w:rsidRDefault="008F141F">
      <w:pPr>
        <w:pStyle w:val="a6"/>
        <w:numPr>
          <w:ilvl w:val="0"/>
          <w:numId w:val="51"/>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обеспечены социальными выплатами 23,5 тыс. человек (пособия, стипендии, материальная помощь, пенсии, назначенные досрочно).</w:t>
      </w:r>
    </w:p>
    <w:p w:rsidR="007E27CB" w:rsidRDefault="008F141F">
      <w:pPr>
        <w:spacing w:after="0" w:line="240" w:lineRule="auto"/>
        <w:ind w:firstLine="567"/>
        <w:jc w:val="both"/>
        <w:rPr>
          <w:sz w:val="24"/>
          <w:szCs w:val="24"/>
        </w:rPr>
      </w:pPr>
      <w:r>
        <w:rPr>
          <w:sz w:val="24"/>
          <w:szCs w:val="24"/>
        </w:rPr>
        <w:t xml:space="preserve">В 2019 году в органы службы занятости населения за содействием в поиске подходящей работы обратились 27,6 тыс. человек, из них 15,9 тыс. человек были трудоустроены. </w:t>
      </w:r>
    </w:p>
    <w:p w:rsidR="007E27CB" w:rsidRDefault="008F141F">
      <w:pPr>
        <w:spacing w:after="0" w:line="240" w:lineRule="auto"/>
        <w:ind w:firstLine="567"/>
        <w:jc w:val="both"/>
        <w:rPr>
          <w:sz w:val="24"/>
          <w:szCs w:val="24"/>
        </w:rPr>
      </w:pPr>
      <w:r>
        <w:rPr>
          <w:sz w:val="24"/>
          <w:szCs w:val="24"/>
        </w:rPr>
        <w:t xml:space="preserve">К началу 2020 года достигнуты все целевые показатели, характеризующие изменение ситуации на рынке труда Томской области, предусмотренные планами мероприятий по реализации Стратегии социально-экономического развития Томской области до 2030 года, Концепции действий на рынке труда Томской области до 2020 года, Стратегии развития социальной сферы Томской области на 2013 – 2022 годы: </w:t>
      </w:r>
    </w:p>
    <w:p w:rsidR="007E27CB" w:rsidRDefault="008F141F">
      <w:pPr>
        <w:pStyle w:val="a6"/>
        <w:numPr>
          <w:ilvl w:val="0"/>
          <w:numId w:val="52"/>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уровень общей безработицы (по методологии МОТ) составил 5,5%, т.е. </w:t>
      </w:r>
      <w:r>
        <w:rPr>
          <w:rFonts w:ascii="Times New Roman" w:hAnsi="Times New Roman"/>
          <w:sz w:val="24"/>
          <w:szCs w:val="24"/>
        </w:rPr>
        <w:br/>
        <w:t xml:space="preserve">не превысил плановые 7% численности рабочей силы; </w:t>
      </w:r>
    </w:p>
    <w:p w:rsidR="007E27CB" w:rsidRDefault="008F141F">
      <w:pPr>
        <w:pStyle w:val="a6"/>
        <w:numPr>
          <w:ilvl w:val="0"/>
          <w:numId w:val="52"/>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коэффициент напряженности на регистрируемом рынке труда (численность безработных граждан, зарегистрированных в органах службы занятости, в расчете на одно вакантное рабочее место) составил 0,5 (план – 0,7);</w:t>
      </w:r>
    </w:p>
    <w:p w:rsidR="007E27CB" w:rsidRDefault="008F141F">
      <w:pPr>
        <w:pStyle w:val="a6"/>
        <w:numPr>
          <w:ilvl w:val="0"/>
          <w:numId w:val="52"/>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размер выплат в расчете на одного безработного гражданина в среднем за 2019 год составил 6 792 рубля в месяц, что выше запланированного показателя на 36%.</w:t>
      </w:r>
    </w:p>
    <w:p w:rsidR="007E27CB" w:rsidRDefault="008F141F">
      <w:pPr>
        <w:spacing w:after="0" w:line="240" w:lineRule="auto"/>
        <w:ind w:firstLine="567"/>
        <w:jc w:val="both"/>
        <w:rPr>
          <w:sz w:val="24"/>
          <w:szCs w:val="24"/>
        </w:rPr>
      </w:pPr>
      <w:r>
        <w:rPr>
          <w:sz w:val="24"/>
          <w:szCs w:val="24"/>
        </w:rPr>
        <w:t>Повышение эффективности функционирования рынка труда подтверждают показатели уровня регистрируемой безработицы: за 2019 год численность зарегистрированных безработных граждан уменьшилась на 927 человек и на начало 2020 года составила 6 120 человек, уровень регистрируемой безработицы снизился с 1,32% (2018 г.) до 1,12% численности рабочей силы.</w:t>
      </w:r>
    </w:p>
    <w:p w:rsidR="007E27CB" w:rsidRDefault="008F141F">
      <w:pPr>
        <w:spacing w:after="0" w:line="240" w:lineRule="auto"/>
        <w:ind w:firstLine="567"/>
        <w:jc w:val="both"/>
        <w:rPr>
          <w:sz w:val="24"/>
          <w:szCs w:val="24"/>
        </w:rPr>
      </w:pPr>
      <w:r>
        <w:rPr>
          <w:sz w:val="24"/>
          <w:szCs w:val="24"/>
        </w:rPr>
        <w:t>В целях снижения безработицы и повышения уровня трудоустройства органами службы занятости привлекается к сотрудничеству максимальное количество работодателей, развиваются партнерские отношения с кадровыми службами предприятий.</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В 2019 году службой занятости населения Томской области и АО «Сибирская Аграрная Группа Мясопереработка» подписан план совместных действий («дорожная карта») на 2019 – 2020 годы по трудоустройству квалифицированных кадров в АО «Сибирская Аграрная Группа Мясопереработка». Реализованы мероприятия аналогичных планов совместных действий, подписанных в 2018 году с ООО «Швейная фабрика «Тайга», ООО «Лантана», ООО «Газпром трансгаз Томск».</w:t>
      </w:r>
    </w:p>
    <w:p w:rsidR="007E27CB" w:rsidRDefault="008F141F">
      <w:pPr>
        <w:spacing w:after="0" w:line="240" w:lineRule="auto"/>
        <w:ind w:firstLine="567"/>
        <w:jc w:val="both"/>
        <w:rPr>
          <w:rFonts w:eastAsia="Times New Roman"/>
          <w:sz w:val="24"/>
          <w:szCs w:val="24"/>
          <w:lang w:eastAsia="ru-RU"/>
        </w:rPr>
      </w:pPr>
      <w:r>
        <w:rPr>
          <w:sz w:val="24"/>
          <w:szCs w:val="24"/>
        </w:rPr>
        <w:t xml:space="preserve">Работодатели привлекаются к электронному взаимодействию со службой занятости посредством электронных сервисов информационно-аналитической системы Общероссийская база вакансий «Работа в России» и Интерактивного портала службы занятости населения Томской области (далее по разделу – Интерактивный портал). В </w:t>
      </w:r>
      <w:r>
        <w:rPr>
          <w:rFonts w:eastAsia="Times New Roman"/>
          <w:sz w:val="24"/>
          <w:szCs w:val="24"/>
          <w:lang w:eastAsia="ru-RU"/>
        </w:rPr>
        <w:t>2019 году через электронные сервисы заявлены 67,8% вакансий. На начало 2020 года на Интерактивном портале зарегистрировано 8,3 тыс. личных кабинетов работодателей и 7,0 тыс. личных кабинетов соискателей.</w:t>
      </w:r>
    </w:p>
    <w:p w:rsidR="007E27CB" w:rsidRDefault="008F141F">
      <w:pPr>
        <w:spacing w:after="0" w:line="240" w:lineRule="auto"/>
        <w:ind w:firstLine="567"/>
        <w:jc w:val="both"/>
        <w:rPr>
          <w:sz w:val="24"/>
          <w:szCs w:val="24"/>
        </w:rPr>
      </w:pPr>
      <w:r>
        <w:rPr>
          <w:sz w:val="24"/>
          <w:szCs w:val="24"/>
        </w:rPr>
        <w:t xml:space="preserve">В 2019 году органами службы занятости организовано и проведено 473 ярмарки вакансий. По оценке, ярмарки посетили 21 тыс. человек, приняли участие 1 672 работодателя, представлены 23,7 тыс. вакансий, трудоустроены после ярмарок 6,7 тыс. человек. </w:t>
      </w:r>
    </w:p>
    <w:p w:rsidR="007E27CB" w:rsidRDefault="008F141F">
      <w:pPr>
        <w:spacing w:after="0" w:line="240" w:lineRule="auto"/>
        <w:ind w:firstLine="567"/>
        <w:jc w:val="both"/>
        <w:rPr>
          <w:sz w:val="24"/>
          <w:szCs w:val="24"/>
        </w:rPr>
      </w:pPr>
      <w:r>
        <w:rPr>
          <w:sz w:val="24"/>
          <w:szCs w:val="24"/>
        </w:rPr>
        <w:t xml:space="preserve">Для молодого поколения (школьников, студентов, выпускников) органами службы занятости организована комплексная профориентационная работа. Продолжена реализация сетевого профориентационного проекта «IТ-Старт» для школьников 8 </w:t>
      </w:r>
      <w:r>
        <w:t xml:space="preserve">– </w:t>
      </w:r>
      <w:r>
        <w:rPr>
          <w:sz w:val="24"/>
          <w:szCs w:val="24"/>
        </w:rPr>
        <w:t>10 классов. Целью проекта является создание системы профориентационного взаимодействия образовательных организаций, службы занятости населения с предприятиями IT-сферы города Томска. В 2019 году проект был масштабирован в сравнении с 2018 годом, возросло количество участников и крупнейших IT-компаний Томска: 529 подростков (2018 год – 28 чел.), 9 работодателей (2018 год – 2 работодателя). В рамках проекта 16 школьников были временно трудоустроены в IT-компании в летний период.</w:t>
      </w:r>
    </w:p>
    <w:p w:rsidR="007E27CB" w:rsidRDefault="008F141F">
      <w:pPr>
        <w:spacing w:after="0" w:line="240" w:lineRule="auto"/>
        <w:ind w:firstLine="567"/>
        <w:jc w:val="both"/>
        <w:rPr>
          <w:sz w:val="24"/>
          <w:szCs w:val="24"/>
        </w:rPr>
      </w:pPr>
      <w:r>
        <w:rPr>
          <w:sz w:val="24"/>
          <w:szCs w:val="24"/>
        </w:rPr>
        <w:t xml:space="preserve">Значимой формой поддержки является содействие самозанятости безработных граждан. Она включает помощь при подготовке документов, составлении бизнес-планов и выплату в размере 100,0 тыс. рублей (увеличена почти в два раза с 58,8 тыс. рублей) на открытие собственного дела. В 2019 году 150 человек зарегистрировали предпринимательскую деятельность, финансовую помощь на организацию собственного дела получил 141 человек. </w:t>
      </w:r>
    </w:p>
    <w:p w:rsidR="007E27CB" w:rsidRDefault="008F141F">
      <w:pPr>
        <w:spacing w:after="0" w:line="240" w:lineRule="auto"/>
        <w:ind w:firstLine="567"/>
        <w:jc w:val="both"/>
        <w:rPr>
          <w:sz w:val="24"/>
          <w:szCs w:val="24"/>
        </w:rPr>
      </w:pPr>
      <w:r>
        <w:rPr>
          <w:sz w:val="24"/>
          <w:szCs w:val="24"/>
        </w:rPr>
        <w:t xml:space="preserve">Успешно продолжена реализация проекта «Школьный учитель», направленного на переподготовку граждан с гарантированным трудоустройством в сфере образования. </w:t>
      </w:r>
      <w:r>
        <w:rPr>
          <w:sz w:val="24"/>
          <w:szCs w:val="24"/>
        </w:rPr>
        <w:br/>
        <w:t>С учетом востребованности проект распространен на дошкольное и профессиональное образование. В отчетном году обучение прошли 44 человека, из них 34 уже приступили к работе.</w:t>
      </w:r>
    </w:p>
    <w:p w:rsidR="007E27CB" w:rsidRDefault="008F141F">
      <w:pPr>
        <w:spacing w:after="0" w:line="240" w:lineRule="auto"/>
        <w:ind w:firstLine="567"/>
        <w:jc w:val="both"/>
        <w:rPr>
          <w:sz w:val="24"/>
          <w:szCs w:val="24"/>
        </w:rPr>
      </w:pPr>
      <w:r>
        <w:rPr>
          <w:sz w:val="24"/>
          <w:szCs w:val="24"/>
        </w:rPr>
        <w:t>Особое внимание уделялось трудоустройству граждан, имеющих инвалидность. Согласно Закону Томской области от 13.11.2017 № 125-ОЗ с 01.01.2018 квотировать рабочие места обязаны работодатели, численность работников которых составляет не менее 35 человек. На 2019 год размер установленной квоты составил 3 039 рабочих мест (2018 год – 3 066 рабочих мест). Отчет о выполнении установленной квоты представили 1 263 работодателя (2018 год – 1 230 работодателей).</w:t>
      </w:r>
    </w:p>
    <w:p w:rsidR="007E27CB" w:rsidRDefault="008F141F">
      <w:pPr>
        <w:spacing w:after="0" w:line="240" w:lineRule="auto"/>
        <w:ind w:firstLine="567"/>
        <w:jc w:val="both"/>
        <w:rPr>
          <w:sz w:val="24"/>
          <w:szCs w:val="24"/>
        </w:rPr>
      </w:pPr>
      <w:r>
        <w:rPr>
          <w:sz w:val="24"/>
          <w:szCs w:val="24"/>
        </w:rPr>
        <w:t xml:space="preserve">За 2019 год рассмотрено 382 заявления об участии в государственной программе по оказанию содействия добровольному переселению в Российскую Федерацию соотечественников, проживающих за рубежом. Свидетельство участника Программы получили 268 соотечественников, в том числе 188 соотечественников, проживающих на территории Томской области (с ними заявлены 172 члена семей), и 81 соотечественник, проживающий за рубежом (с ними заявлен 91 член семей). </w:t>
      </w:r>
    </w:p>
    <w:p w:rsidR="007E27CB" w:rsidRDefault="008F141F">
      <w:pPr>
        <w:spacing w:after="0" w:line="240" w:lineRule="auto"/>
        <w:ind w:firstLine="567"/>
        <w:jc w:val="both"/>
        <w:rPr>
          <w:sz w:val="24"/>
          <w:szCs w:val="24"/>
        </w:rPr>
      </w:pPr>
      <w:r>
        <w:rPr>
          <w:sz w:val="24"/>
          <w:szCs w:val="24"/>
        </w:rPr>
        <w:t xml:space="preserve">Участники программы переселения соотечественников осуществляют трудовую деятельность по востребованным на рынке труда профессиям – врачи, инженеры и научные сотрудники, учителя и педагоги дополнительного образования, воспитатели, газоэлектросварщики, электромонтажники. </w:t>
      </w:r>
    </w:p>
    <w:p w:rsidR="007E27CB" w:rsidRDefault="008F141F">
      <w:pPr>
        <w:spacing w:after="0" w:line="240" w:lineRule="auto"/>
        <w:ind w:firstLine="567"/>
        <w:jc w:val="both"/>
        <w:rPr>
          <w:sz w:val="24"/>
          <w:szCs w:val="24"/>
        </w:rPr>
      </w:pPr>
      <w:r>
        <w:rPr>
          <w:sz w:val="24"/>
          <w:szCs w:val="24"/>
        </w:rPr>
        <w:t xml:space="preserve">Между Администрацией Томской области, Союзом организаций профсоюзов «Федерация профсоюзных организаций Томской области», объединениями работодателей Томской области заключено Соглашение о социальном партнерстве на 2020 </w:t>
      </w:r>
      <w:r>
        <w:t xml:space="preserve">– </w:t>
      </w:r>
      <w:r>
        <w:rPr>
          <w:sz w:val="24"/>
          <w:szCs w:val="24"/>
        </w:rPr>
        <w:t>2022 годы, Региональное соглашение о минимальной заработной плате в Томской области на 2020 год.</w:t>
      </w:r>
    </w:p>
    <w:p w:rsidR="007E27CB" w:rsidRDefault="008F141F">
      <w:pPr>
        <w:spacing w:after="0" w:line="240" w:lineRule="auto"/>
        <w:ind w:firstLine="567"/>
        <w:jc w:val="both"/>
        <w:rPr>
          <w:sz w:val="24"/>
          <w:szCs w:val="24"/>
        </w:rPr>
      </w:pPr>
      <w:r>
        <w:rPr>
          <w:sz w:val="24"/>
          <w:szCs w:val="24"/>
        </w:rPr>
        <w:t xml:space="preserve">Важным шагом к развитию системы охраны труда в Томской области стало присоединение в октябре 2019 года к глобальной кампании </w:t>
      </w:r>
      <w:r>
        <w:rPr>
          <w:sz w:val="24"/>
          <w:szCs w:val="24"/>
          <w:lang w:val="en-US"/>
        </w:rPr>
        <w:t>Vision</w:t>
      </w:r>
      <w:r>
        <w:rPr>
          <w:sz w:val="24"/>
          <w:szCs w:val="24"/>
        </w:rPr>
        <w:t xml:space="preserve"> </w:t>
      </w:r>
      <w:r>
        <w:rPr>
          <w:sz w:val="24"/>
          <w:szCs w:val="24"/>
          <w:lang w:val="en-US"/>
        </w:rPr>
        <w:t>Zero</w:t>
      </w:r>
      <w:r>
        <w:rPr>
          <w:sz w:val="24"/>
          <w:szCs w:val="24"/>
        </w:rPr>
        <w:t>. В настоящее время с учетом концепции «</w:t>
      </w:r>
      <w:r>
        <w:rPr>
          <w:sz w:val="24"/>
          <w:szCs w:val="24"/>
          <w:lang w:val="en-US"/>
        </w:rPr>
        <w:t>Vision</w:t>
      </w:r>
      <w:r>
        <w:rPr>
          <w:sz w:val="24"/>
          <w:szCs w:val="24"/>
        </w:rPr>
        <w:t xml:space="preserve"> </w:t>
      </w:r>
      <w:r>
        <w:rPr>
          <w:sz w:val="24"/>
          <w:szCs w:val="24"/>
          <w:lang w:val="en-US"/>
        </w:rPr>
        <w:t>Zero</w:t>
      </w:r>
      <w:r>
        <w:rPr>
          <w:sz w:val="24"/>
          <w:szCs w:val="24"/>
        </w:rPr>
        <w:t>» в регионе разработана Типовая программа «Нулевого травматизма».</w:t>
      </w:r>
    </w:p>
    <w:p w:rsidR="007E27CB" w:rsidRDefault="008F141F">
      <w:pPr>
        <w:spacing w:after="0" w:line="240" w:lineRule="auto"/>
        <w:ind w:firstLine="567"/>
        <w:jc w:val="both"/>
        <w:rPr>
          <w:sz w:val="24"/>
          <w:szCs w:val="24"/>
        </w:rPr>
      </w:pPr>
      <w:r>
        <w:rPr>
          <w:sz w:val="24"/>
          <w:szCs w:val="24"/>
        </w:rPr>
        <w:t xml:space="preserve">В мае 2019 года заключено соглашение о взаимодействии между Администрацией Томской области и Автономной некоммерческой организации «Национальное агентство развития квалификаций». В рамках реализации указанного соглашения разработана «дорожная карта» по развитию регионального сегмента национальной системы квалификаций. </w:t>
      </w:r>
    </w:p>
    <w:p w:rsidR="007E27CB" w:rsidRDefault="008F141F">
      <w:pPr>
        <w:spacing w:after="0" w:line="240" w:lineRule="auto"/>
        <w:ind w:firstLine="567"/>
        <w:jc w:val="both"/>
        <w:rPr>
          <w:sz w:val="24"/>
          <w:szCs w:val="24"/>
        </w:rPr>
      </w:pPr>
      <w:r>
        <w:rPr>
          <w:sz w:val="24"/>
          <w:szCs w:val="24"/>
        </w:rPr>
        <w:t>С 2019 года реализуется План мероприятий («дорожная карта») внедрения проекта «Региональный стандарт кадрового обеспечения промышленного (экономического) роста» в Томской области, который включает:</w:t>
      </w:r>
    </w:p>
    <w:p w:rsidR="007E27CB" w:rsidRDefault="008F141F">
      <w:pPr>
        <w:pStyle w:val="a6"/>
        <w:numPr>
          <w:ilvl w:val="0"/>
          <w:numId w:val="53"/>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разработку механизмов кадрового обеспечения инвестиционных проектов в Томской области;</w:t>
      </w:r>
    </w:p>
    <w:p w:rsidR="007E27CB" w:rsidRDefault="008F141F">
      <w:pPr>
        <w:pStyle w:val="a6"/>
        <w:numPr>
          <w:ilvl w:val="0"/>
          <w:numId w:val="53"/>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разработку прогноза баланса трудовых ресурсов;</w:t>
      </w:r>
    </w:p>
    <w:p w:rsidR="007E27CB" w:rsidRDefault="008F141F">
      <w:pPr>
        <w:pStyle w:val="a6"/>
        <w:numPr>
          <w:ilvl w:val="0"/>
          <w:numId w:val="53"/>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прогнозирование потребности в кадрах в соответствии с собранными данными о потребностях работодателей, муниципальных образований Томской области, инвестиционных проектах, а также социально-экономическими условиями Томской области, макроэкономическими тенденциями на средне- и долгосрочный период.</w:t>
      </w:r>
    </w:p>
    <w:p w:rsidR="007E27CB" w:rsidRDefault="008F141F">
      <w:pPr>
        <w:spacing w:after="0" w:line="240" w:lineRule="auto"/>
        <w:ind w:firstLine="567"/>
        <w:jc w:val="both"/>
        <w:rPr>
          <w:sz w:val="24"/>
          <w:szCs w:val="24"/>
        </w:rPr>
      </w:pPr>
      <w:r>
        <w:rPr>
          <w:sz w:val="24"/>
          <w:szCs w:val="24"/>
        </w:rPr>
        <w:t xml:space="preserve">За счет средств областного бюджета приобретен программный продукт (далее по разделу </w:t>
      </w:r>
      <w:r>
        <w:t>–</w:t>
      </w:r>
      <w:r>
        <w:rPr>
          <w:sz w:val="24"/>
          <w:szCs w:val="24"/>
        </w:rPr>
        <w:t xml:space="preserve"> АИС), апробированный в 30 других регионах, способный решать поставленные задачи среднесрочного и долгосрочного прогнозирования. АИС запущена в опытную эксплуатацию.</w:t>
      </w:r>
    </w:p>
    <w:p w:rsidR="007E27CB" w:rsidRDefault="007E27CB">
      <w:pPr>
        <w:spacing w:after="0" w:line="240" w:lineRule="auto"/>
        <w:ind w:firstLine="709"/>
        <w:jc w:val="both"/>
        <w:rPr>
          <w:sz w:val="24"/>
          <w:szCs w:val="24"/>
        </w:rPr>
      </w:pPr>
    </w:p>
    <w:p w:rsidR="007E27CB" w:rsidRDefault="008F141F">
      <w:pPr>
        <w:shd w:val="clear" w:color="auto" w:fill="F2F2F2" w:themeFill="background1" w:themeFillShade="F2"/>
        <w:tabs>
          <w:tab w:val="left" w:pos="4962"/>
        </w:tabs>
        <w:spacing w:after="0" w:line="240" w:lineRule="auto"/>
        <w:jc w:val="both"/>
        <w:rPr>
          <w:b/>
          <w:sz w:val="24"/>
          <w:szCs w:val="24"/>
        </w:rPr>
      </w:pPr>
      <w:r>
        <w:rPr>
          <w:b/>
          <w:color w:val="000000" w:themeColor="text1"/>
          <w:sz w:val="24"/>
          <w:szCs w:val="24"/>
        </w:rPr>
        <w:t>Перспективные задачи</w:t>
      </w:r>
      <w:r>
        <w:rPr>
          <w:b/>
          <w:sz w:val="24"/>
          <w:szCs w:val="24"/>
        </w:rPr>
        <w:t xml:space="preserve"> </w:t>
      </w:r>
    </w:p>
    <w:p w:rsidR="007E27CB" w:rsidRDefault="007E27CB">
      <w:pPr>
        <w:spacing w:after="0" w:line="240" w:lineRule="auto"/>
        <w:jc w:val="both"/>
        <w:rPr>
          <w:b/>
          <w:sz w:val="24"/>
          <w:szCs w:val="24"/>
        </w:rPr>
      </w:pPr>
    </w:p>
    <w:p w:rsidR="007E27CB" w:rsidRDefault="008F141F">
      <w:pPr>
        <w:pStyle w:val="a6"/>
        <w:numPr>
          <w:ilvl w:val="3"/>
          <w:numId w:val="129"/>
        </w:numPr>
        <w:tabs>
          <w:tab w:val="left" w:pos="284"/>
        </w:tabs>
        <w:spacing w:after="0" w:line="240" w:lineRule="auto"/>
        <w:ind w:left="0" w:firstLine="0"/>
        <w:jc w:val="both"/>
        <w:rPr>
          <w:rFonts w:ascii="Times New Roman" w:hAnsi="Times New Roman"/>
          <w:sz w:val="24"/>
          <w:szCs w:val="24"/>
        </w:rPr>
      </w:pPr>
      <w:r>
        <w:rPr>
          <w:rFonts w:ascii="Times New Roman" w:hAnsi="Times New Roman"/>
          <w:sz w:val="24"/>
          <w:szCs w:val="24"/>
        </w:rPr>
        <w:t>Недопущение роста уровня общей безработицы (по методологии МОТ) выше 5,5% (в среднегодовом исчислении) и уровня регистрируемой безработицы – выше 1,2%.</w:t>
      </w:r>
    </w:p>
    <w:p w:rsidR="007E27CB" w:rsidRDefault="008F141F">
      <w:pPr>
        <w:pStyle w:val="a6"/>
        <w:numPr>
          <w:ilvl w:val="3"/>
          <w:numId w:val="129"/>
        </w:numPr>
        <w:tabs>
          <w:tab w:val="left" w:pos="284"/>
        </w:tabs>
        <w:spacing w:after="0" w:line="240" w:lineRule="auto"/>
        <w:ind w:left="0" w:firstLine="0"/>
        <w:jc w:val="both"/>
        <w:rPr>
          <w:rFonts w:ascii="Times New Roman" w:hAnsi="Times New Roman"/>
          <w:sz w:val="24"/>
          <w:szCs w:val="24"/>
        </w:rPr>
      </w:pPr>
      <w:r>
        <w:rPr>
          <w:rFonts w:ascii="Times New Roman" w:hAnsi="Times New Roman"/>
          <w:sz w:val="24"/>
          <w:szCs w:val="24"/>
        </w:rPr>
        <w:t>Реализация пилотного проекта и мероприятий развития – модернизация службы занятости региона в целях поддержки уровня занятости населения.</w:t>
      </w:r>
    </w:p>
    <w:p w:rsidR="007E27CB" w:rsidRDefault="008F141F">
      <w:pPr>
        <w:pStyle w:val="a6"/>
        <w:numPr>
          <w:ilvl w:val="3"/>
          <w:numId w:val="129"/>
        </w:numPr>
        <w:tabs>
          <w:tab w:val="left" w:pos="284"/>
        </w:tabs>
        <w:spacing w:after="0" w:line="240" w:lineRule="auto"/>
        <w:ind w:left="0" w:firstLine="0"/>
        <w:jc w:val="both"/>
        <w:rPr>
          <w:rFonts w:ascii="Times New Roman" w:hAnsi="Times New Roman"/>
          <w:sz w:val="24"/>
          <w:szCs w:val="24"/>
        </w:rPr>
      </w:pPr>
      <w:r>
        <w:rPr>
          <w:rFonts w:ascii="Times New Roman" w:hAnsi="Times New Roman"/>
          <w:sz w:val="24"/>
          <w:szCs w:val="24"/>
        </w:rPr>
        <w:t xml:space="preserve">Формирование прогноза потребности в профессиональных кадрах для обеспечения социально-экономического развития Томской области на среднесрочный и долгосрочный период и предложений по оптимальной структуре приема на подготовку специалистов по уровням профессионального образования. </w:t>
      </w:r>
    </w:p>
    <w:p w:rsidR="007E27CB" w:rsidRDefault="008F141F">
      <w:pPr>
        <w:pStyle w:val="a6"/>
        <w:numPr>
          <w:ilvl w:val="3"/>
          <w:numId w:val="129"/>
        </w:numPr>
        <w:tabs>
          <w:tab w:val="left" w:pos="284"/>
        </w:tabs>
        <w:spacing w:after="0" w:line="240" w:lineRule="auto"/>
        <w:ind w:left="0" w:firstLine="0"/>
        <w:jc w:val="both"/>
        <w:rPr>
          <w:rFonts w:ascii="Times New Roman" w:hAnsi="Times New Roman"/>
          <w:sz w:val="24"/>
          <w:szCs w:val="24"/>
        </w:rPr>
      </w:pPr>
      <w:r>
        <w:rPr>
          <w:rFonts w:ascii="Times New Roman" w:hAnsi="Times New Roman"/>
          <w:sz w:val="24"/>
          <w:szCs w:val="24"/>
        </w:rPr>
        <w:t>Развитие регионального сегмента национальной системы квалификаций.</w:t>
      </w:r>
    </w:p>
    <w:p w:rsidR="007E27CB" w:rsidRDefault="008F141F">
      <w:pPr>
        <w:pStyle w:val="a6"/>
        <w:numPr>
          <w:ilvl w:val="3"/>
          <w:numId w:val="129"/>
        </w:numPr>
        <w:tabs>
          <w:tab w:val="left" w:pos="284"/>
        </w:tabs>
        <w:spacing w:after="0" w:line="240" w:lineRule="auto"/>
        <w:ind w:left="0" w:firstLine="0"/>
        <w:jc w:val="both"/>
        <w:rPr>
          <w:rFonts w:ascii="Times New Roman" w:hAnsi="Times New Roman"/>
          <w:sz w:val="24"/>
          <w:szCs w:val="24"/>
        </w:rPr>
      </w:pPr>
      <w:r>
        <w:rPr>
          <w:rFonts w:ascii="Times New Roman" w:hAnsi="Times New Roman"/>
          <w:sz w:val="24"/>
          <w:szCs w:val="24"/>
        </w:rPr>
        <w:t>Повышение уровня обеспеченности предприятий Томской области кадрами необходимой квалификации, в том числе за счет внедрения проекта «Региональный стандарт кадрового обеспечения промышленного (экономического) роста» в Томской области.</w:t>
      </w:r>
    </w:p>
    <w:p w:rsidR="007E27CB" w:rsidRDefault="007E27CB">
      <w:pPr>
        <w:tabs>
          <w:tab w:val="left" w:pos="4962"/>
        </w:tabs>
        <w:spacing w:after="0" w:line="240" w:lineRule="auto"/>
        <w:ind w:firstLine="709"/>
        <w:jc w:val="both"/>
        <w:rPr>
          <w:color w:val="FF0000"/>
          <w:sz w:val="24"/>
          <w:szCs w:val="24"/>
        </w:rPr>
      </w:pPr>
    </w:p>
    <w:p w:rsidR="007E27CB" w:rsidRDefault="008F141F">
      <w:pPr>
        <w:tabs>
          <w:tab w:val="left" w:pos="4962"/>
        </w:tabs>
        <w:spacing w:after="0" w:line="240" w:lineRule="auto"/>
        <w:ind w:left="567" w:hanging="567"/>
        <w:jc w:val="both"/>
        <w:rPr>
          <w:rFonts w:eastAsia="Times New Roman"/>
          <w:b/>
          <w:sz w:val="24"/>
          <w:szCs w:val="24"/>
        </w:rPr>
      </w:pPr>
      <w:r>
        <w:rPr>
          <w:rFonts w:eastAsia="Times New Roman"/>
          <w:b/>
          <w:sz w:val="24"/>
          <w:szCs w:val="24"/>
        </w:rPr>
        <w:t>3.7. Повышение качества и доступности услуг в сфере культуры и туризма</w:t>
      </w:r>
    </w:p>
    <w:p w:rsidR="007E27CB" w:rsidRDefault="007E27CB">
      <w:pPr>
        <w:tabs>
          <w:tab w:val="left" w:pos="4962"/>
        </w:tabs>
        <w:spacing w:after="0" w:line="240" w:lineRule="auto"/>
        <w:ind w:firstLine="567"/>
        <w:jc w:val="both"/>
        <w:rPr>
          <w:b/>
          <w:sz w:val="24"/>
          <w:szCs w:val="24"/>
          <w:u w:val="single"/>
        </w:rPr>
      </w:pPr>
    </w:p>
    <w:p w:rsidR="007E27CB" w:rsidRDefault="008F141F">
      <w:pPr>
        <w:spacing w:after="0" w:line="240" w:lineRule="auto"/>
        <w:ind w:firstLine="567"/>
        <w:jc w:val="both"/>
        <w:rPr>
          <w:b/>
          <w:sz w:val="24"/>
          <w:szCs w:val="24"/>
        </w:rPr>
      </w:pPr>
      <w:r>
        <w:rPr>
          <w:b/>
          <w:sz w:val="24"/>
          <w:szCs w:val="24"/>
        </w:rPr>
        <w:t>КУЛЬТУРА И АРХИВНОЕ ДЕЛО</w:t>
      </w:r>
      <w:r>
        <w:rPr>
          <w:rStyle w:val="af3"/>
          <w:b/>
          <w:sz w:val="24"/>
          <w:szCs w:val="24"/>
        </w:rPr>
        <w:footnoteReference w:id="17"/>
      </w:r>
    </w:p>
    <w:p w:rsidR="007E27CB" w:rsidRDefault="008F141F">
      <w:pPr>
        <w:tabs>
          <w:tab w:val="left" w:pos="1035"/>
        </w:tabs>
        <w:spacing w:after="0" w:line="240" w:lineRule="auto"/>
        <w:ind w:firstLine="567"/>
        <w:jc w:val="both"/>
        <w:rPr>
          <w:b/>
          <w:sz w:val="24"/>
          <w:szCs w:val="24"/>
        </w:rPr>
      </w:pPr>
      <w:r>
        <w:rPr>
          <w:b/>
          <w:sz w:val="24"/>
          <w:szCs w:val="24"/>
        </w:rPr>
        <w:tab/>
      </w:r>
    </w:p>
    <w:p w:rsidR="007E27CB" w:rsidRDefault="008F141F">
      <w:pPr>
        <w:spacing w:after="0" w:line="240" w:lineRule="auto"/>
        <w:ind w:firstLine="567"/>
        <w:jc w:val="both"/>
        <w:rPr>
          <w:sz w:val="24"/>
          <w:szCs w:val="24"/>
        </w:rPr>
      </w:pPr>
      <w:r>
        <w:rPr>
          <w:sz w:val="24"/>
          <w:szCs w:val="24"/>
        </w:rPr>
        <w:t xml:space="preserve">В отчетном периоде в целях реализации региональных проектов национального проекта «Культура», Стратегии социально-экономического развития Томской области до 2030 года и государственной программы «Развитие культуры и туризма в Томской области» деятельность в сфере культуры была направлена на обеспечение максимальной доступности граждан к культурным благам. </w:t>
      </w:r>
    </w:p>
    <w:p w:rsidR="007E27CB" w:rsidRDefault="008F141F">
      <w:pPr>
        <w:spacing w:after="0" w:line="240" w:lineRule="auto"/>
        <w:ind w:firstLine="567"/>
        <w:jc w:val="both"/>
        <w:rPr>
          <w:sz w:val="24"/>
          <w:szCs w:val="24"/>
        </w:rPr>
      </w:pPr>
      <w:r>
        <w:rPr>
          <w:sz w:val="24"/>
          <w:szCs w:val="24"/>
        </w:rPr>
        <w:t xml:space="preserve">В 2019 году на территориях сельских поселений за счет средств областного бюджета введены в эксплуатацию: </w:t>
      </w:r>
    </w:p>
    <w:p w:rsidR="007E27CB" w:rsidRDefault="008F141F">
      <w:pPr>
        <w:pStyle w:val="a6"/>
        <w:numPr>
          <w:ilvl w:val="0"/>
          <w:numId w:val="104"/>
        </w:numPr>
        <w:tabs>
          <w:tab w:val="left" w:pos="993"/>
        </w:tabs>
        <w:spacing w:after="0" w:line="240" w:lineRule="auto"/>
        <w:ind w:left="0" w:firstLine="567"/>
        <w:jc w:val="both"/>
        <w:rPr>
          <w:rFonts w:ascii="Times New Roman" w:hAnsi="Times New Roman"/>
          <w:sz w:val="24"/>
          <w:szCs w:val="24"/>
        </w:rPr>
      </w:pPr>
      <w:r>
        <w:rPr>
          <w:rFonts w:ascii="Times New Roman" w:hAnsi="Times New Roman"/>
          <w:sz w:val="24"/>
          <w:szCs w:val="24"/>
        </w:rPr>
        <w:t>дом культуры в п. Клюквинка Верхнекетского района на 100 мест;</w:t>
      </w:r>
    </w:p>
    <w:p w:rsidR="007E27CB" w:rsidRDefault="008F141F">
      <w:pPr>
        <w:pStyle w:val="a6"/>
        <w:numPr>
          <w:ilvl w:val="0"/>
          <w:numId w:val="104"/>
        </w:numPr>
        <w:tabs>
          <w:tab w:val="left" w:pos="993"/>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дом культуры в с. Пудовка Кривошеинского района на 100 мест. </w:t>
      </w:r>
    </w:p>
    <w:p w:rsidR="007E27CB" w:rsidRDefault="008F141F">
      <w:pPr>
        <w:pStyle w:val="a6"/>
        <w:spacing w:after="0" w:line="240" w:lineRule="auto"/>
        <w:ind w:left="0" w:firstLine="567"/>
        <w:jc w:val="both"/>
        <w:rPr>
          <w:rFonts w:ascii="Times New Roman" w:hAnsi="Times New Roman"/>
          <w:sz w:val="24"/>
          <w:szCs w:val="24"/>
        </w:rPr>
      </w:pPr>
      <w:r>
        <w:rPr>
          <w:rFonts w:ascii="Times New Roman" w:hAnsi="Times New Roman"/>
          <w:sz w:val="24"/>
          <w:szCs w:val="24"/>
        </w:rPr>
        <w:t>В рамках реализации региональных проектов национального проекта «Культура» проведен капитальный ремонт здания МБУ «Самусьский дом культуры» (ЗАТО Северск), созданы 6 модельных муниципальных библиотек в 5 муниципальных образованиях Томской области, созданы 4 виртуальных концертных зала в городах Томской области.</w:t>
      </w:r>
    </w:p>
    <w:p w:rsidR="007E27CB" w:rsidRDefault="008F141F">
      <w:pPr>
        <w:pStyle w:val="a6"/>
        <w:tabs>
          <w:tab w:val="left" w:pos="993"/>
        </w:tabs>
        <w:spacing w:after="0" w:line="240" w:lineRule="auto"/>
        <w:ind w:left="0" w:firstLine="567"/>
        <w:jc w:val="both"/>
        <w:rPr>
          <w:rFonts w:ascii="Times New Roman" w:hAnsi="Times New Roman"/>
          <w:sz w:val="24"/>
          <w:szCs w:val="24"/>
        </w:rPr>
      </w:pPr>
      <w:r>
        <w:rPr>
          <w:rFonts w:ascii="Times New Roman" w:hAnsi="Times New Roman"/>
          <w:sz w:val="24"/>
          <w:szCs w:val="24"/>
        </w:rPr>
        <w:t>Продолжено развитие и укрепление материально-технической базы домов культуры в населенных пунктах с числом жителей до 50 тысяч человек, в двух домах культуры проведен текущий ремонт, в восьми закуплено новое оборудование.</w:t>
      </w:r>
    </w:p>
    <w:p w:rsidR="007E27CB" w:rsidRDefault="008F141F">
      <w:pPr>
        <w:pStyle w:val="a6"/>
        <w:tabs>
          <w:tab w:val="left" w:pos="993"/>
        </w:tabs>
        <w:spacing w:after="0" w:line="240" w:lineRule="auto"/>
        <w:ind w:left="0" w:firstLine="567"/>
        <w:jc w:val="both"/>
        <w:rPr>
          <w:rFonts w:ascii="Times New Roman" w:hAnsi="Times New Roman"/>
          <w:sz w:val="24"/>
          <w:szCs w:val="24"/>
        </w:rPr>
      </w:pPr>
      <w:r>
        <w:rPr>
          <w:rFonts w:ascii="Times New Roman" w:hAnsi="Times New Roman"/>
          <w:sz w:val="24"/>
          <w:szCs w:val="24"/>
        </w:rPr>
        <w:t>В рамках поддержки творческой деятельности муниципальных театров в городах с численностью до 300 тысяч человек музыкальным театром и молодежным театром «наш мир» ЗАТО Северск проведены новые спектакли, приобретено световое и механическое оборудование сцены.</w:t>
      </w:r>
    </w:p>
    <w:p w:rsidR="007E27CB" w:rsidRDefault="008F141F">
      <w:pPr>
        <w:pStyle w:val="a6"/>
        <w:tabs>
          <w:tab w:val="left" w:pos="993"/>
        </w:tabs>
        <w:spacing w:after="0" w:line="240" w:lineRule="auto"/>
        <w:ind w:left="0" w:firstLine="567"/>
        <w:jc w:val="both"/>
        <w:rPr>
          <w:rFonts w:ascii="Times New Roman" w:hAnsi="Times New Roman"/>
          <w:sz w:val="24"/>
          <w:szCs w:val="24"/>
        </w:rPr>
      </w:pPr>
      <w:r>
        <w:rPr>
          <w:rFonts w:ascii="Times New Roman" w:hAnsi="Times New Roman"/>
          <w:sz w:val="24"/>
          <w:szCs w:val="24"/>
        </w:rPr>
        <w:t>Библиотеки 18 муниципальных образований пополнили книжные фонды сельских библиотек, к сети Интернет подключены 7 муниципальных образований. Оказана государственная поддержка 8 лучшим работникам и 8 учреждениям культуры в сельских поселениях муниципальных образований.</w:t>
      </w:r>
    </w:p>
    <w:p w:rsidR="007E27CB" w:rsidRDefault="008F141F">
      <w:pPr>
        <w:pStyle w:val="a6"/>
        <w:tabs>
          <w:tab w:val="left" w:pos="993"/>
        </w:tabs>
        <w:spacing w:after="0" w:line="240" w:lineRule="auto"/>
        <w:ind w:left="0" w:firstLine="567"/>
        <w:jc w:val="both"/>
        <w:rPr>
          <w:rFonts w:ascii="Times New Roman" w:hAnsi="Times New Roman"/>
          <w:sz w:val="24"/>
          <w:szCs w:val="24"/>
        </w:rPr>
      </w:pPr>
      <w:r>
        <w:rPr>
          <w:rFonts w:ascii="Times New Roman" w:hAnsi="Times New Roman"/>
          <w:sz w:val="24"/>
          <w:szCs w:val="24"/>
        </w:rPr>
        <w:t>В рамках поддержки творческой деятельности и технического оснащения детских и кукольных театров приобретено оборудование для ОГАУК «Скоморох», ОГАУК «ТО ТЮЗ», Северского театра для детей и юношества (впервые за последние годы все три учреждения приобрели гастрольные автобусы).</w:t>
      </w:r>
    </w:p>
    <w:p w:rsidR="007E27CB" w:rsidRDefault="008F141F">
      <w:pPr>
        <w:pStyle w:val="a6"/>
        <w:tabs>
          <w:tab w:val="left" w:pos="993"/>
        </w:tabs>
        <w:spacing w:after="0" w:line="240" w:lineRule="auto"/>
        <w:ind w:left="0" w:firstLine="567"/>
        <w:jc w:val="both"/>
        <w:rPr>
          <w:rFonts w:ascii="Times New Roman" w:hAnsi="Times New Roman"/>
          <w:sz w:val="24"/>
          <w:szCs w:val="24"/>
        </w:rPr>
      </w:pPr>
      <w:r>
        <w:rPr>
          <w:rFonts w:ascii="Times New Roman" w:hAnsi="Times New Roman"/>
          <w:sz w:val="24"/>
          <w:szCs w:val="24"/>
        </w:rPr>
        <w:t>В 2019 реализованы крупные культурно-массовые мероприятия и проекты:</w:t>
      </w:r>
    </w:p>
    <w:p w:rsidR="007E27CB" w:rsidRDefault="008F141F">
      <w:pPr>
        <w:pStyle w:val="a6"/>
        <w:numPr>
          <w:ilvl w:val="0"/>
          <w:numId w:val="105"/>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VII Губернаторский фестиваль народного творчества;</w:t>
      </w:r>
    </w:p>
    <w:p w:rsidR="007E27CB" w:rsidRDefault="008F141F">
      <w:pPr>
        <w:pStyle w:val="a6"/>
        <w:numPr>
          <w:ilvl w:val="0"/>
          <w:numId w:val="105"/>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VI Губернаторский конкурс «Дети играют с оркестром»;</w:t>
      </w:r>
    </w:p>
    <w:p w:rsidR="007E27CB" w:rsidRDefault="008F141F">
      <w:pPr>
        <w:pStyle w:val="a6"/>
        <w:numPr>
          <w:ilvl w:val="0"/>
          <w:numId w:val="105"/>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ежегодные крупные этнокультурные мероприятия («Янов день», «Гербер», «Праздник жимолости», «Праздник у семи озёр», «Братина», «Этюды Севера», «Праздник топора», «Праздник гриба» и другие).</w:t>
      </w:r>
    </w:p>
    <w:p w:rsidR="007E27CB" w:rsidRDefault="008F141F">
      <w:pPr>
        <w:pStyle w:val="a6"/>
        <w:tabs>
          <w:tab w:val="left" w:pos="993"/>
        </w:tabs>
        <w:spacing w:after="0" w:line="240" w:lineRule="auto"/>
        <w:ind w:left="0" w:firstLine="567"/>
        <w:jc w:val="both"/>
        <w:rPr>
          <w:rFonts w:ascii="Times New Roman" w:hAnsi="Times New Roman"/>
          <w:sz w:val="24"/>
          <w:szCs w:val="24"/>
        </w:rPr>
      </w:pPr>
      <w:r>
        <w:rPr>
          <w:rFonts w:ascii="Times New Roman" w:hAnsi="Times New Roman"/>
          <w:sz w:val="24"/>
          <w:szCs w:val="24"/>
        </w:rPr>
        <w:t>В 2019 году семь мероприятий Томской области вошли в ТОП- 200 событий России (в т.ч. международный фестиваль-конкурс «Праздник топора» и праздник «Большой Амикан» в Верхнекетском районе).</w:t>
      </w:r>
    </w:p>
    <w:p w:rsidR="007E27CB" w:rsidRDefault="008F141F">
      <w:pPr>
        <w:pStyle w:val="a6"/>
        <w:tabs>
          <w:tab w:val="left" w:pos="993"/>
        </w:tabs>
        <w:spacing w:after="0" w:line="240" w:lineRule="auto"/>
        <w:ind w:left="0" w:firstLine="567"/>
        <w:jc w:val="both"/>
        <w:rPr>
          <w:rFonts w:ascii="Times New Roman" w:hAnsi="Times New Roman"/>
          <w:sz w:val="24"/>
          <w:szCs w:val="24"/>
        </w:rPr>
      </w:pPr>
      <w:r>
        <w:rPr>
          <w:rFonts w:ascii="Times New Roman" w:hAnsi="Times New Roman"/>
          <w:sz w:val="24"/>
          <w:szCs w:val="24"/>
        </w:rPr>
        <w:t>В 2019 году на территории Томской области прошли всероссийские акции:</w:t>
      </w:r>
    </w:p>
    <w:p w:rsidR="007E27CB" w:rsidRDefault="008F141F">
      <w:pPr>
        <w:pStyle w:val="a6"/>
        <w:numPr>
          <w:ilvl w:val="0"/>
          <w:numId w:val="105"/>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«Библионочь»;</w:t>
      </w:r>
    </w:p>
    <w:p w:rsidR="007E27CB" w:rsidRDefault="008F141F">
      <w:pPr>
        <w:pStyle w:val="a6"/>
        <w:numPr>
          <w:ilvl w:val="0"/>
          <w:numId w:val="105"/>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«Ночь в музее»;</w:t>
      </w:r>
    </w:p>
    <w:p w:rsidR="007E27CB" w:rsidRDefault="008F141F">
      <w:pPr>
        <w:pStyle w:val="a6"/>
        <w:numPr>
          <w:ilvl w:val="0"/>
          <w:numId w:val="105"/>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«Ночь искусств».</w:t>
      </w:r>
    </w:p>
    <w:p w:rsidR="007E27CB" w:rsidRDefault="008F141F">
      <w:pPr>
        <w:pStyle w:val="a6"/>
        <w:tabs>
          <w:tab w:val="left" w:pos="851"/>
        </w:tabs>
        <w:spacing w:after="0" w:line="240" w:lineRule="auto"/>
        <w:ind w:left="567"/>
        <w:jc w:val="both"/>
        <w:rPr>
          <w:rFonts w:ascii="Times New Roman" w:hAnsi="Times New Roman"/>
          <w:sz w:val="24"/>
          <w:szCs w:val="24"/>
        </w:rPr>
      </w:pPr>
      <w:r>
        <w:rPr>
          <w:rFonts w:ascii="Times New Roman" w:hAnsi="Times New Roman"/>
          <w:sz w:val="24"/>
          <w:szCs w:val="24"/>
        </w:rPr>
        <w:t xml:space="preserve">С целью развития и популяризации музыки организованы: </w:t>
      </w:r>
    </w:p>
    <w:p w:rsidR="007E27CB" w:rsidRDefault="008F141F">
      <w:pPr>
        <w:pStyle w:val="a6"/>
        <w:numPr>
          <w:ilvl w:val="0"/>
          <w:numId w:val="105"/>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концерт оркестра Мариинского театра под руководством маэстро Валерия Гергиева в г.Томске в рамках Московского пасхального фестиваля;</w:t>
      </w:r>
    </w:p>
    <w:p w:rsidR="007E27CB" w:rsidRDefault="008F141F">
      <w:pPr>
        <w:pStyle w:val="a6"/>
        <w:numPr>
          <w:ilvl w:val="0"/>
          <w:numId w:val="105"/>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концерт с участием Томского академического симфонического оркестра под управлением М. Грановского в рамках празднования 75-летия Томской области на торжественном открытии летней сцены, расположенной на набережной реки Ушайки; </w:t>
      </w:r>
    </w:p>
    <w:p w:rsidR="007E27CB" w:rsidRDefault="008F141F">
      <w:pPr>
        <w:pStyle w:val="a6"/>
        <w:numPr>
          <w:ilvl w:val="0"/>
          <w:numId w:val="105"/>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Международный музыкальный фестиваль «Классическое лето имени Эдисона Денисова» при грантовой поддержке Минкультуры России;</w:t>
      </w:r>
    </w:p>
    <w:p w:rsidR="007E27CB" w:rsidRDefault="008F141F">
      <w:pPr>
        <w:pStyle w:val="a6"/>
        <w:numPr>
          <w:ilvl w:val="0"/>
          <w:numId w:val="105"/>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гастроли американского саксофониста Джесси Джонса, итальянского саксофониста Макса Ионата, джазовой певицы Камиллы Турман вместе с Асхатом Сайфуллиным с концертами в муниципалитетах области: Асиновский, Колпашевский, Молчановский, Шегарский и Первомайский районы, г. Стрежевой;</w:t>
      </w:r>
    </w:p>
    <w:p w:rsidR="007E27CB" w:rsidRDefault="008F141F">
      <w:pPr>
        <w:pStyle w:val="a6"/>
        <w:numPr>
          <w:ilvl w:val="0"/>
          <w:numId w:val="105"/>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проект областной филармонии для детей-инвалидов «Слушаю, играю, танцую и рисую», в котором приняли участие дети-инвалиды и дети с ограниченными возможностями здоровья в возрасте от 7 до 16 лет (101 ребенок). </w:t>
      </w:r>
    </w:p>
    <w:p w:rsidR="007E27CB" w:rsidRDefault="008F141F">
      <w:pPr>
        <w:spacing w:after="0" w:line="240" w:lineRule="auto"/>
        <w:ind w:firstLine="567"/>
        <w:jc w:val="both"/>
        <w:rPr>
          <w:sz w:val="24"/>
          <w:szCs w:val="24"/>
        </w:rPr>
      </w:pPr>
      <w:r>
        <w:rPr>
          <w:sz w:val="24"/>
          <w:szCs w:val="24"/>
        </w:rPr>
        <w:t>В 2019 году Томская область приняла участие в театральных проектах:</w:t>
      </w:r>
    </w:p>
    <w:p w:rsidR="007E27CB" w:rsidRDefault="008F141F">
      <w:pPr>
        <w:pStyle w:val="a6"/>
        <w:numPr>
          <w:ilvl w:val="0"/>
          <w:numId w:val="106"/>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спектакль ТЮЗа «Чайка» вошел в лонг-лист премии «Золотая маска» как «самый заметный спектакль 2018 – 2019 года» и стал лучшим драматическим спектаклем большой формы XIV областного театрального фестиваля «Маска»;</w:t>
      </w:r>
    </w:p>
    <w:p w:rsidR="007E27CB" w:rsidRDefault="008F141F">
      <w:pPr>
        <w:pStyle w:val="a6"/>
        <w:numPr>
          <w:ilvl w:val="0"/>
          <w:numId w:val="106"/>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в рамках программы «Большие гастроли» на сцене театра драмы прошли гастроли Саратовского государственного академического театра дамы им. И.А. Слонова и Национального академического драматического театра им. М. Горького (г.</w:t>
      </w:r>
      <w:r>
        <w:rPr>
          <w:rFonts w:ascii="Times New Roman" w:hAnsi="Times New Roman"/>
          <w:sz w:val="24"/>
          <w:szCs w:val="24"/>
          <w:lang w:val="en-US"/>
        </w:rPr>
        <w:t> </w:t>
      </w:r>
      <w:r>
        <w:rPr>
          <w:rFonts w:ascii="Times New Roman" w:hAnsi="Times New Roman"/>
          <w:sz w:val="24"/>
          <w:szCs w:val="24"/>
        </w:rPr>
        <w:t>Минск).</w:t>
      </w:r>
    </w:p>
    <w:p w:rsidR="007E27CB" w:rsidRDefault="008F141F">
      <w:pPr>
        <w:pStyle w:val="a6"/>
        <w:tabs>
          <w:tab w:val="left" w:pos="993"/>
        </w:tabs>
        <w:spacing w:after="0" w:line="240" w:lineRule="auto"/>
        <w:ind w:left="0" w:firstLine="567"/>
        <w:jc w:val="both"/>
        <w:rPr>
          <w:rFonts w:ascii="Times New Roman" w:hAnsi="Times New Roman"/>
          <w:sz w:val="24"/>
          <w:szCs w:val="24"/>
        </w:rPr>
      </w:pPr>
      <w:r>
        <w:rPr>
          <w:rFonts w:ascii="Times New Roman" w:hAnsi="Times New Roman"/>
          <w:sz w:val="24"/>
          <w:szCs w:val="24"/>
        </w:rPr>
        <w:t>Томская область в 2019 году реализовала следующие музейно-выставочные и библиотечные проекты:</w:t>
      </w:r>
    </w:p>
    <w:p w:rsidR="007E27CB" w:rsidRDefault="008F141F">
      <w:pPr>
        <w:pStyle w:val="a6"/>
        <w:numPr>
          <w:ilvl w:val="0"/>
          <w:numId w:val="106"/>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мероприятия, приуроченные к 85-летию Томского регионального отделения Союза художников России;</w:t>
      </w:r>
    </w:p>
    <w:p w:rsidR="007E27CB" w:rsidRDefault="008F141F">
      <w:pPr>
        <w:pStyle w:val="a6"/>
        <w:numPr>
          <w:ilvl w:val="0"/>
          <w:numId w:val="106"/>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XXIII Областная молодёжная художественная выставка-конкурс «Регион 70», организованная областным художественным музеем;</w:t>
      </w:r>
    </w:p>
    <w:p w:rsidR="007E27CB" w:rsidRDefault="008F141F">
      <w:pPr>
        <w:pStyle w:val="a6"/>
        <w:numPr>
          <w:ilvl w:val="0"/>
          <w:numId w:val="106"/>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V Областная выставка-конкурс народного художественного творчества «Ремесла Томского края»;</w:t>
      </w:r>
    </w:p>
    <w:p w:rsidR="007E27CB" w:rsidRDefault="008F141F">
      <w:pPr>
        <w:pStyle w:val="a6"/>
        <w:numPr>
          <w:ilvl w:val="0"/>
          <w:numId w:val="106"/>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Всероссийская научно-практическая конференция «Инновационные технологии в библиотечном обслуживании. Проблемы. Опыт», в рамках которой прошли XIII Всероссийские библиотечные павленковские чтения. </w:t>
      </w:r>
    </w:p>
    <w:p w:rsidR="007E27CB" w:rsidRDefault="008F141F">
      <w:pPr>
        <w:pStyle w:val="a6"/>
        <w:spacing w:after="0" w:line="240" w:lineRule="auto"/>
        <w:ind w:left="0" w:firstLine="567"/>
        <w:jc w:val="both"/>
        <w:rPr>
          <w:rFonts w:ascii="Times New Roman" w:hAnsi="Times New Roman"/>
          <w:sz w:val="24"/>
          <w:szCs w:val="24"/>
        </w:rPr>
      </w:pPr>
      <w:r>
        <w:rPr>
          <w:rFonts w:ascii="Times New Roman" w:hAnsi="Times New Roman"/>
          <w:sz w:val="24"/>
          <w:szCs w:val="24"/>
        </w:rPr>
        <w:t>В целях повышения качества предоставления услуг образования в сфере культуры в Томской области началась работа по передаче пяти детских школ искусств из ведения муниципальных образований в региональное подчинение.</w:t>
      </w:r>
    </w:p>
    <w:p w:rsidR="007E27CB" w:rsidRDefault="008F141F">
      <w:pPr>
        <w:pStyle w:val="a6"/>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По итогам реализации мероприятий по переводу детских школ искусств на региональный уровень отмечено увеличение детей в возрасте 7 – 15 лет, обучающихся по предпрофессиональным образовательным программам в области искусства, от общего количества детей данного возраста в регионе (с 5,3% в 2018 году до 5,5 % в 2019 году). </w:t>
      </w:r>
    </w:p>
    <w:p w:rsidR="007E27CB" w:rsidRDefault="008F141F">
      <w:pPr>
        <w:pStyle w:val="a6"/>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В 2019 году присуждены стипендии Департамента по культуре Томской области в сфере художественного образования. Стипендиантами в номинации «Юные дарования» стали 16 ребят из муниципальных образований Томской области. </w:t>
      </w:r>
    </w:p>
    <w:p w:rsidR="007E27CB" w:rsidRDefault="008F141F">
      <w:pPr>
        <w:pStyle w:val="a6"/>
        <w:spacing w:after="0" w:line="240" w:lineRule="auto"/>
        <w:ind w:left="0" w:firstLine="567"/>
        <w:jc w:val="both"/>
        <w:rPr>
          <w:rFonts w:ascii="Times New Roman" w:hAnsi="Times New Roman"/>
          <w:sz w:val="24"/>
          <w:szCs w:val="24"/>
        </w:rPr>
      </w:pPr>
      <w:r>
        <w:rPr>
          <w:rFonts w:ascii="Times New Roman" w:hAnsi="Times New Roman"/>
          <w:sz w:val="24"/>
          <w:szCs w:val="24"/>
        </w:rPr>
        <w:t>В отчетном году на территории Томской области активно популяризировалась архивная деятельность:</w:t>
      </w:r>
    </w:p>
    <w:p w:rsidR="007E27CB" w:rsidRDefault="008F141F">
      <w:pPr>
        <w:pStyle w:val="a6"/>
        <w:numPr>
          <w:ilvl w:val="0"/>
          <w:numId w:val="107"/>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государственный архив Томской области вошел в число победителей Всероссийского конкурса работ в области архивоведения, документоведения и археографии;</w:t>
      </w:r>
    </w:p>
    <w:p w:rsidR="007E27CB" w:rsidRDefault="008F141F">
      <w:pPr>
        <w:pStyle w:val="a6"/>
        <w:numPr>
          <w:ilvl w:val="0"/>
          <w:numId w:val="107"/>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к 75-летию Томской области областными архивами при участии Государственного архива Новосибирской области подготовлена выставка «Образовать в составе РСФСР...»;</w:t>
      </w:r>
    </w:p>
    <w:p w:rsidR="007E27CB" w:rsidRDefault="008F141F">
      <w:pPr>
        <w:pStyle w:val="a6"/>
        <w:numPr>
          <w:ilvl w:val="0"/>
          <w:numId w:val="107"/>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продолжается развитие и популяризация Интернет-ресурса «За лучшей долей. Переселение в Сибирь как национальный проект».</w:t>
      </w:r>
    </w:p>
    <w:p w:rsidR="007E27CB" w:rsidRDefault="008F141F">
      <w:pPr>
        <w:pStyle w:val="a6"/>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По итогам 2019 года средняя заработная плата работников учреждений культуры, подпадающих под действие Указа Президента Российской Федерации от 07.05.2012 № 597 «О мероприятиях по реализации государственной социальной политики», составила 36 829 рублей. Соотношение к среднемесячному доходу от трудовой деятельности по Томской области составило 97,7%.</w:t>
      </w:r>
    </w:p>
    <w:p w:rsidR="007E27CB" w:rsidRDefault="008F141F">
      <w:pPr>
        <w:shd w:val="clear" w:color="auto" w:fill="FFFFFF" w:themeFill="background1"/>
        <w:spacing w:after="0" w:line="240" w:lineRule="auto"/>
        <w:ind w:firstLine="567"/>
        <w:jc w:val="both"/>
        <w:rPr>
          <w:sz w:val="24"/>
          <w:szCs w:val="24"/>
        </w:rPr>
      </w:pPr>
      <w:r>
        <w:rPr>
          <w:sz w:val="24"/>
          <w:szCs w:val="24"/>
        </w:rPr>
        <w:t>В целях выявления и поддержки наиболее высокопрофессиональных специалистов, добившихся высоких показателей в работе и внесших значительный личный вклад в развитие культуры Томской области, Департаментом культуры Томской области проведен областной конкурс «Лучший работник культуры года», 10 победителей получили гранты по 50 тысяч рублей.</w:t>
      </w:r>
    </w:p>
    <w:p w:rsidR="007E27CB" w:rsidRDefault="007E27CB">
      <w:pPr>
        <w:tabs>
          <w:tab w:val="left" w:pos="426"/>
          <w:tab w:val="left" w:pos="851"/>
          <w:tab w:val="left" w:pos="1134"/>
        </w:tabs>
        <w:spacing w:after="0" w:line="240" w:lineRule="auto"/>
        <w:ind w:firstLine="567"/>
        <w:jc w:val="both"/>
        <w:rPr>
          <w:sz w:val="24"/>
          <w:szCs w:val="24"/>
        </w:rPr>
      </w:pPr>
    </w:p>
    <w:p w:rsidR="007E27CB" w:rsidRDefault="008F141F">
      <w:pPr>
        <w:shd w:val="clear" w:color="auto" w:fill="F2F2F2" w:themeFill="background1" w:themeFillShade="F2"/>
        <w:tabs>
          <w:tab w:val="left" w:pos="4962"/>
        </w:tabs>
        <w:spacing w:after="0" w:line="240" w:lineRule="auto"/>
        <w:jc w:val="both"/>
        <w:rPr>
          <w:b/>
          <w:sz w:val="24"/>
          <w:szCs w:val="24"/>
        </w:rPr>
      </w:pPr>
      <w:r>
        <w:rPr>
          <w:b/>
          <w:color w:val="000000" w:themeColor="text1"/>
          <w:sz w:val="24"/>
          <w:szCs w:val="24"/>
        </w:rPr>
        <w:t>Перспективные задачи</w:t>
      </w:r>
    </w:p>
    <w:p w:rsidR="007E27CB" w:rsidRDefault="007E27CB">
      <w:pPr>
        <w:pStyle w:val="a6"/>
        <w:tabs>
          <w:tab w:val="left" w:pos="0"/>
        </w:tabs>
        <w:spacing w:after="0" w:line="240" w:lineRule="auto"/>
        <w:ind w:left="0"/>
        <w:jc w:val="both"/>
        <w:rPr>
          <w:rFonts w:ascii="Times New Roman" w:hAnsi="Times New Roman"/>
          <w:b/>
          <w:sz w:val="24"/>
          <w:szCs w:val="24"/>
        </w:rPr>
      </w:pPr>
    </w:p>
    <w:p w:rsidR="007E27CB" w:rsidRDefault="008F141F">
      <w:pPr>
        <w:pStyle w:val="a6"/>
        <w:numPr>
          <w:ilvl w:val="0"/>
          <w:numId w:val="54"/>
        </w:numPr>
        <w:tabs>
          <w:tab w:val="left" w:pos="284"/>
        </w:tabs>
        <w:spacing w:after="0" w:line="240" w:lineRule="auto"/>
        <w:ind w:left="0" w:firstLine="0"/>
        <w:jc w:val="both"/>
        <w:rPr>
          <w:rFonts w:ascii="Times New Roman" w:hAnsi="Times New Roman"/>
          <w:sz w:val="24"/>
          <w:szCs w:val="24"/>
        </w:rPr>
      </w:pPr>
      <w:r>
        <w:rPr>
          <w:rFonts w:ascii="Times New Roman" w:hAnsi="Times New Roman"/>
          <w:sz w:val="24"/>
          <w:szCs w:val="24"/>
        </w:rPr>
        <w:t>Капитальный ремонт дома культуры «Восток» в г. Асино Асиновского района.</w:t>
      </w:r>
    </w:p>
    <w:p w:rsidR="007E27CB" w:rsidRDefault="008F141F">
      <w:pPr>
        <w:pStyle w:val="a6"/>
        <w:numPr>
          <w:ilvl w:val="0"/>
          <w:numId w:val="54"/>
        </w:numPr>
        <w:tabs>
          <w:tab w:val="left" w:pos="284"/>
        </w:tabs>
        <w:spacing w:after="0" w:line="240" w:lineRule="auto"/>
        <w:ind w:left="0" w:firstLine="0"/>
        <w:jc w:val="both"/>
        <w:rPr>
          <w:rFonts w:ascii="Times New Roman" w:hAnsi="Times New Roman"/>
          <w:sz w:val="24"/>
          <w:szCs w:val="24"/>
        </w:rPr>
      </w:pPr>
      <w:r>
        <w:rPr>
          <w:rFonts w:ascii="Times New Roman" w:hAnsi="Times New Roman"/>
          <w:sz w:val="24"/>
          <w:szCs w:val="24"/>
        </w:rPr>
        <w:t>Создание сельского дома культуры в с. Березовка Первомайского района.</w:t>
      </w:r>
    </w:p>
    <w:p w:rsidR="007E27CB" w:rsidRDefault="008F141F">
      <w:pPr>
        <w:pStyle w:val="a6"/>
        <w:numPr>
          <w:ilvl w:val="0"/>
          <w:numId w:val="54"/>
        </w:numPr>
        <w:tabs>
          <w:tab w:val="left" w:pos="284"/>
        </w:tabs>
        <w:spacing w:after="0" w:line="240" w:lineRule="auto"/>
        <w:ind w:left="0" w:firstLine="0"/>
        <w:jc w:val="both"/>
        <w:rPr>
          <w:rFonts w:ascii="Times New Roman" w:hAnsi="Times New Roman"/>
          <w:sz w:val="24"/>
          <w:szCs w:val="24"/>
        </w:rPr>
      </w:pPr>
      <w:r>
        <w:rPr>
          <w:rFonts w:ascii="Times New Roman" w:hAnsi="Times New Roman"/>
          <w:sz w:val="24"/>
          <w:szCs w:val="24"/>
        </w:rPr>
        <w:t>Разработка проектной документации на капитальный ремонт областных объектов культуры: зданий театра драмы и областной филармонии.</w:t>
      </w:r>
    </w:p>
    <w:p w:rsidR="007E27CB" w:rsidRDefault="008F141F">
      <w:pPr>
        <w:pStyle w:val="a6"/>
        <w:numPr>
          <w:ilvl w:val="0"/>
          <w:numId w:val="54"/>
        </w:numPr>
        <w:tabs>
          <w:tab w:val="left" w:pos="284"/>
        </w:tabs>
        <w:spacing w:after="0" w:line="240" w:lineRule="auto"/>
        <w:ind w:left="0" w:firstLine="0"/>
        <w:jc w:val="both"/>
        <w:rPr>
          <w:rFonts w:ascii="Times New Roman" w:hAnsi="Times New Roman"/>
          <w:sz w:val="24"/>
          <w:szCs w:val="24"/>
        </w:rPr>
      </w:pPr>
      <w:r>
        <w:rPr>
          <w:rFonts w:ascii="Times New Roman" w:hAnsi="Times New Roman"/>
          <w:sz w:val="24"/>
          <w:szCs w:val="24"/>
        </w:rPr>
        <w:t>Привлечение финансирования из федерального бюджета, внебюджетных источников, в том числе привлечение средств федерального бюджета в форме грантов в рамках реализации федеральных проектов «Творческие люди» и «Цифровая культура».</w:t>
      </w:r>
    </w:p>
    <w:p w:rsidR="007E27CB" w:rsidRDefault="008F141F">
      <w:pPr>
        <w:pStyle w:val="a6"/>
        <w:numPr>
          <w:ilvl w:val="0"/>
          <w:numId w:val="54"/>
        </w:numPr>
        <w:tabs>
          <w:tab w:val="left" w:pos="284"/>
        </w:tabs>
        <w:spacing w:after="0" w:line="240" w:lineRule="auto"/>
        <w:ind w:left="0" w:firstLine="0"/>
        <w:jc w:val="both"/>
        <w:rPr>
          <w:rFonts w:ascii="Times New Roman" w:hAnsi="Times New Roman"/>
          <w:sz w:val="24"/>
          <w:szCs w:val="24"/>
        </w:rPr>
      </w:pPr>
      <w:r>
        <w:rPr>
          <w:rFonts w:ascii="Times New Roman" w:hAnsi="Times New Roman"/>
          <w:sz w:val="24"/>
          <w:szCs w:val="24"/>
        </w:rPr>
        <w:t>Реализация мероприятий в рамках Года памяти и славы.</w:t>
      </w:r>
    </w:p>
    <w:p w:rsidR="007E27CB" w:rsidRDefault="007E27CB">
      <w:pPr>
        <w:tabs>
          <w:tab w:val="left" w:pos="426"/>
          <w:tab w:val="left" w:pos="851"/>
          <w:tab w:val="left" w:pos="1134"/>
        </w:tabs>
        <w:spacing w:after="0" w:line="240" w:lineRule="auto"/>
        <w:ind w:firstLine="567"/>
        <w:jc w:val="both"/>
        <w:rPr>
          <w:b/>
          <w:sz w:val="24"/>
          <w:szCs w:val="24"/>
        </w:rPr>
      </w:pPr>
    </w:p>
    <w:p w:rsidR="007E27CB" w:rsidRDefault="007E27CB">
      <w:pPr>
        <w:tabs>
          <w:tab w:val="left" w:pos="426"/>
          <w:tab w:val="left" w:pos="851"/>
          <w:tab w:val="left" w:pos="1134"/>
        </w:tabs>
        <w:spacing w:after="0" w:line="240" w:lineRule="auto"/>
        <w:ind w:firstLine="567"/>
        <w:jc w:val="both"/>
        <w:rPr>
          <w:b/>
          <w:sz w:val="24"/>
          <w:szCs w:val="24"/>
        </w:rPr>
      </w:pPr>
    </w:p>
    <w:p w:rsidR="007E27CB" w:rsidRDefault="008F141F">
      <w:pPr>
        <w:tabs>
          <w:tab w:val="left" w:pos="426"/>
          <w:tab w:val="left" w:pos="851"/>
          <w:tab w:val="left" w:pos="1134"/>
        </w:tabs>
        <w:spacing w:after="0" w:line="240" w:lineRule="auto"/>
        <w:ind w:firstLine="567"/>
        <w:jc w:val="both"/>
        <w:rPr>
          <w:b/>
          <w:sz w:val="24"/>
          <w:szCs w:val="24"/>
        </w:rPr>
      </w:pPr>
      <w:r>
        <w:rPr>
          <w:b/>
          <w:sz w:val="24"/>
          <w:szCs w:val="24"/>
        </w:rPr>
        <w:t>ТУРИЗМ</w:t>
      </w:r>
    </w:p>
    <w:p w:rsidR="007E27CB" w:rsidRDefault="007E27CB">
      <w:pPr>
        <w:tabs>
          <w:tab w:val="left" w:pos="426"/>
          <w:tab w:val="left" w:pos="851"/>
          <w:tab w:val="left" w:pos="1134"/>
        </w:tabs>
        <w:spacing w:after="0" w:line="240" w:lineRule="auto"/>
        <w:ind w:firstLine="567"/>
        <w:jc w:val="both"/>
        <w:rPr>
          <w:sz w:val="24"/>
          <w:szCs w:val="24"/>
        </w:rPr>
      </w:pPr>
    </w:p>
    <w:p w:rsidR="007E27CB" w:rsidRDefault="008F141F">
      <w:pPr>
        <w:tabs>
          <w:tab w:val="left" w:pos="426"/>
          <w:tab w:val="left" w:pos="851"/>
          <w:tab w:val="left" w:pos="1134"/>
        </w:tabs>
        <w:spacing w:after="0" w:line="240" w:lineRule="auto"/>
        <w:ind w:firstLine="567"/>
        <w:jc w:val="both"/>
        <w:rPr>
          <w:sz w:val="24"/>
          <w:szCs w:val="24"/>
        </w:rPr>
      </w:pPr>
      <w:r>
        <w:rPr>
          <w:sz w:val="24"/>
          <w:szCs w:val="24"/>
        </w:rPr>
        <w:t xml:space="preserve">В 2019 году Томская область заняла 52-е место в Национальном рейтинге въездного туризма, поднявшись на 14 позиций вверх по сравнению с прошлым годом. </w:t>
      </w:r>
    </w:p>
    <w:p w:rsidR="007E27CB" w:rsidRDefault="008F141F">
      <w:pPr>
        <w:tabs>
          <w:tab w:val="left" w:pos="426"/>
          <w:tab w:val="left" w:pos="851"/>
          <w:tab w:val="left" w:pos="1134"/>
        </w:tabs>
        <w:spacing w:after="0" w:line="240" w:lineRule="auto"/>
        <w:ind w:firstLine="567"/>
        <w:jc w:val="both"/>
        <w:rPr>
          <w:sz w:val="24"/>
          <w:szCs w:val="24"/>
        </w:rPr>
      </w:pPr>
      <w:r>
        <w:rPr>
          <w:sz w:val="24"/>
          <w:szCs w:val="24"/>
        </w:rPr>
        <w:t xml:space="preserve">Основной акцент в развитии туризма делается на культурно-познавательный и событийный туризм. 2 года подряд Томская область входит в «Золотую Лигу» Национального рейтинга событийного туризма России. </w:t>
      </w:r>
    </w:p>
    <w:p w:rsidR="007E27CB" w:rsidRDefault="008F141F">
      <w:pPr>
        <w:pStyle w:val="a6"/>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В 2019 году на 1% по сравнению с 2018 годом вырос </w:t>
      </w:r>
      <w:r>
        <w:rPr>
          <w:rFonts w:ascii="Times New Roman" w:hAnsi="Times New Roman"/>
          <w:b/>
          <w:sz w:val="24"/>
          <w:szCs w:val="24"/>
        </w:rPr>
        <w:t>общий туристический поток</w:t>
      </w:r>
      <w:r>
        <w:rPr>
          <w:rFonts w:ascii="Times New Roman" w:hAnsi="Times New Roman"/>
          <w:sz w:val="24"/>
          <w:szCs w:val="24"/>
        </w:rPr>
        <w:t xml:space="preserve"> (715 тыс. человек). Для дальнейшего увеличения туристического потока и развития внутреннего и въездного туризма в 2019 году в Томской области реализованы следующие проекты:</w:t>
      </w:r>
    </w:p>
    <w:p w:rsidR="007E27CB" w:rsidRDefault="008F141F">
      <w:pPr>
        <w:pStyle w:val="a6"/>
        <w:numPr>
          <w:ilvl w:val="0"/>
          <w:numId w:val="55"/>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продолжается работа по региональным турпродуктам, получившим статус «Брендовые турмаршруты России»: «Томск – сердце Сибири» (федеральный проект «Великий Чайный путь») и «Томск под скипетром Романовых» (Национальный проект «Императорский маршрут»). Заключено трехстороннее соглашение между Администрацией Томской области, Ростуризмом и Фондом «Елисаветинско-Сергиевское просветительское общество» о сотрудничестве в продвижении Национального туристского проекта «Императорский маршрут». Туры включены в линейку продаж более 10 федеральных туроператоров;</w:t>
      </w:r>
    </w:p>
    <w:p w:rsidR="007E27CB" w:rsidRDefault="008F141F">
      <w:pPr>
        <w:pStyle w:val="a6"/>
        <w:numPr>
          <w:ilvl w:val="0"/>
          <w:numId w:val="55"/>
        </w:numPr>
        <w:tabs>
          <w:tab w:val="left" w:pos="0"/>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большую роль в повышении узнаваемости региона как туристического центра играет постоянное участие в профессиональных отраслевых конкурсных мероприятиях. (сотрудница гостиницы «Сибирь» (г. Томск) стала «Лучшей горничной России 2019 год» Всероссийского конкурса профессионального мастерства «Лучший по профессии в индустрии туризма»);</w:t>
      </w:r>
    </w:p>
    <w:p w:rsidR="007E27CB" w:rsidRDefault="008F141F">
      <w:pPr>
        <w:pStyle w:val="a6"/>
        <w:numPr>
          <w:ilvl w:val="0"/>
          <w:numId w:val="55"/>
        </w:numPr>
        <w:tabs>
          <w:tab w:val="left" w:pos="0"/>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сохранен круизный маршрут «Открывая Сибирь» по реке Обь по маршруту          г. Бердск (Новосибирская область) – г. Томск (Томская область) – г. Ханты-Мансийск (Тюменская область), г. Салехард (Ямало-Ненецкий автономный округ) с остановками в    г. Томске, г. Колпашево, с. Парабель. п. Нарым. Сейчас его реализует «Thurgau Travel AG» (Швейцария). В 2019 г. состоялось 6 поездок с участием 250 иностранных туристов из Швейцарии и Германии.</w:t>
      </w:r>
    </w:p>
    <w:p w:rsidR="007E27CB" w:rsidRDefault="008F141F">
      <w:pPr>
        <w:pStyle w:val="a6"/>
        <w:tabs>
          <w:tab w:val="left" w:pos="0"/>
        </w:tabs>
        <w:spacing w:after="0" w:line="240" w:lineRule="auto"/>
        <w:ind w:left="0" w:firstLine="567"/>
        <w:jc w:val="both"/>
        <w:rPr>
          <w:rFonts w:ascii="Times New Roman" w:hAnsi="Times New Roman"/>
          <w:sz w:val="24"/>
          <w:szCs w:val="24"/>
        </w:rPr>
      </w:pPr>
      <w:r>
        <w:rPr>
          <w:rFonts w:ascii="Times New Roman" w:hAnsi="Times New Roman"/>
          <w:sz w:val="24"/>
          <w:szCs w:val="24"/>
        </w:rPr>
        <w:t>В 2019 году были организованы поездки школьников Томской области в рамках проекта Минкультуры России «Национальная программа детского культурно-познавательного туризма» по организации туристских поездок детей и молодежи по познавательным экскурсионным маршрутам России. Томская область пятый год  выступает консолидатором в рамках реализации проекта по формированию межрегионального детского поезда совместно с Новосибирской, Кемеровской областями, Алтайским и Пермским краями по направлению г. Санкт-Петербург, количество участников проекта составило 462 человека.</w:t>
      </w:r>
    </w:p>
    <w:p w:rsidR="007E27CB" w:rsidRDefault="008F141F">
      <w:pPr>
        <w:pStyle w:val="a6"/>
        <w:tabs>
          <w:tab w:val="left" w:pos="0"/>
        </w:tabs>
        <w:spacing w:after="0" w:line="240" w:lineRule="auto"/>
        <w:ind w:left="0" w:firstLine="567"/>
        <w:jc w:val="both"/>
        <w:rPr>
          <w:rFonts w:ascii="Times New Roman" w:hAnsi="Times New Roman"/>
          <w:sz w:val="24"/>
          <w:szCs w:val="24"/>
        </w:rPr>
      </w:pPr>
      <w:r>
        <w:rPr>
          <w:rFonts w:ascii="Times New Roman" w:hAnsi="Times New Roman"/>
          <w:sz w:val="24"/>
          <w:szCs w:val="24"/>
        </w:rPr>
        <w:t>В 2019 году на территории Томской области проведены следующие мероприятия:</w:t>
      </w:r>
    </w:p>
    <w:p w:rsidR="007E27CB" w:rsidRDefault="008F141F">
      <w:pPr>
        <w:pStyle w:val="a6"/>
        <w:numPr>
          <w:ilvl w:val="0"/>
          <w:numId w:val="56"/>
        </w:numPr>
        <w:tabs>
          <w:tab w:val="left" w:pos="0"/>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реализован региональный проект «Знакомство жителей Томской области с родным краем» для школьников, представителей старшего поколения и людей с ограниченными возможностями здоровья (ежегодный показатель – 3 тысячи участников);</w:t>
      </w:r>
    </w:p>
    <w:p w:rsidR="007E27CB" w:rsidRDefault="008F141F">
      <w:pPr>
        <w:pStyle w:val="a6"/>
        <w:numPr>
          <w:ilvl w:val="0"/>
          <w:numId w:val="56"/>
        </w:numPr>
        <w:tabs>
          <w:tab w:val="left" w:pos="0"/>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в г. Томске было организовано межрегиональное совещание по детскому и социальному туризму совместно с МАСС. В мероприятии приняла участие вице-президент Российского союза туриндустрии О.А. Санаева, которая является членом Координационного совета по детскому туризму;</w:t>
      </w:r>
    </w:p>
    <w:p w:rsidR="007E27CB" w:rsidRDefault="008F141F">
      <w:pPr>
        <w:pStyle w:val="a6"/>
        <w:numPr>
          <w:ilvl w:val="0"/>
          <w:numId w:val="56"/>
        </w:numPr>
        <w:tabs>
          <w:tab w:val="left" w:pos="0"/>
          <w:tab w:val="left" w:pos="851"/>
        </w:tabs>
        <w:spacing w:after="0" w:line="240" w:lineRule="auto"/>
        <w:ind w:left="0" w:firstLine="567"/>
        <w:jc w:val="both"/>
        <w:rPr>
          <w:rFonts w:ascii="Times New Roman" w:hAnsi="Times New Roman"/>
          <w:b/>
          <w:sz w:val="24"/>
          <w:szCs w:val="24"/>
        </w:rPr>
      </w:pPr>
      <w:r>
        <w:rPr>
          <w:rFonts w:ascii="Times New Roman" w:hAnsi="Times New Roman"/>
          <w:sz w:val="24"/>
          <w:szCs w:val="24"/>
        </w:rPr>
        <w:t>обеспечивается исполнение законодательства в части поэтапной обязательной классификации гостиниц и иных средств размещения. В 2019 году все 15 региональных гостиниц, имеющих более 50 номеров, прошли процедуру классификации. Для создания равных возможностей для отдыха людей с людей с ОВЗ в гостинице «Томск» открыт номер для маломобильных групп туристов;</w:t>
      </w:r>
    </w:p>
    <w:p w:rsidR="007E27CB" w:rsidRDefault="008F141F">
      <w:pPr>
        <w:pStyle w:val="a6"/>
        <w:numPr>
          <w:ilvl w:val="0"/>
          <w:numId w:val="56"/>
        </w:numPr>
        <w:tabs>
          <w:tab w:val="left" w:pos="0"/>
          <w:tab w:val="left" w:pos="851"/>
        </w:tabs>
        <w:spacing w:after="0" w:line="240" w:lineRule="auto"/>
        <w:ind w:left="0" w:firstLine="567"/>
        <w:jc w:val="both"/>
        <w:rPr>
          <w:rFonts w:ascii="Times New Roman" w:hAnsi="Times New Roman"/>
          <w:b/>
          <w:sz w:val="24"/>
          <w:szCs w:val="24"/>
        </w:rPr>
      </w:pPr>
      <w:r>
        <w:rPr>
          <w:rFonts w:ascii="Times New Roman" w:hAnsi="Times New Roman"/>
          <w:sz w:val="24"/>
          <w:szCs w:val="24"/>
        </w:rPr>
        <w:t>организован региональный этап фотоконкурса «Welcome to Asia» в рамках кампании «Добро пожаловать в Азию» (Welcome to Asia campaign), реализуемой Ассоциацией Сети главных городов Азии (10 стран, из которых Россию представлял г. Томск). Тема конкурса – интересные фотографии из 10 азиатских городов (Токио, Бангкок, Сеул, Тайбэй, Дели, Ханой, Джакарта, Куала-Лумпур, Манила, Томск).  Из томских участников было выбрано 5 победителей.</w:t>
      </w:r>
    </w:p>
    <w:p w:rsidR="007E27CB" w:rsidRDefault="008F141F">
      <w:pPr>
        <w:pStyle w:val="a6"/>
        <w:autoSpaceDE w:val="0"/>
        <w:autoSpaceDN w:val="0"/>
        <w:spacing w:after="0" w:line="240" w:lineRule="auto"/>
        <w:ind w:left="0" w:firstLine="567"/>
        <w:jc w:val="both"/>
        <w:rPr>
          <w:rFonts w:ascii="Times New Roman" w:hAnsi="Times New Roman"/>
          <w:sz w:val="24"/>
          <w:szCs w:val="24"/>
        </w:rPr>
      </w:pPr>
      <w:r>
        <w:rPr>
          <w:rFonts w:ascii="Times New Roman" w:hAnsi="Times New Roman"/>
          <w:sz w:val="24"/>
          <w:szCs w:val="24"/>
        </w:rPr>
        <w:t>Информация о турпотенциале Томской области включена в презентацию России в рамках роуд-шоу Ростуризма «Россия 2020. ЕВРО в подарок» (декабрь 2019 г.) в странах Азиатско-Тихоокеанского региона (Китай, Вьетнам, Япония, Южная Корея, Индия).</w:t>
      </w:r>
    </w:p>
    <w:p w:rsidR="007E27CB" w:rsidRDefault="007E27CB">
      <w:pPr>
        <w:tabs>
          <w:tab w:val="left" w:pos="0"/>
          <w:tab w:val="left" w:pos="993"/>
        </w:tabs>
        <w:spacing w:after="0" w:line="240" w:lineRule="auto"/>
        <w:jc w:val="both"/>
        <w:rPr>
          <w:b/>
          <w:sz w:val="24"/>
          <w:szCs w:val="24"/>
        </w:rPr>
      </w:pPr>
    </w:p>
    <w:p w:rsidR="007E27CB" w:rsidRDefault="008F141F">
      <w:pPr>
        <w:shd w:val="clear" w:color="auto" w:fill="F2F2F2" w:themeFill="background1" w:themeFillShade="F2"/>
        <w:tabs>
          <w:tab w:val="left" w:pos="4962"/>
        </w:tabs>
        <w:spacing w:after="0" w:line="240" w:lineRule="auto"/>
        <w:jc w:val="both"/>
        <w:rPr>
          <w:b/>
          <w:color w:val="000000" w:themeColor="text1"/>
          <w:sz w:val="24"/>
          <w:szCs w:val="24"/>
        </w:rPr>
      </w:pPr>
      <w:r>
        <w:rPr>
          <w:b/>
          <w:color w:val="000000" w:themeColor="text1"/>
          <w:sz w:val="24"/>
          <w:szCs w:val="24"/>
        </w:rPr>
        <w:t>Перспективные задачи</w:t>
      </w:r>
    </w:p>
    <w:p w:rsidR="007E27CB" w:rsidRDefault="007E27CB">
      <w:pPr>
        <w:pStyle w:val="a6"/>
        <w:tabs>
          <w:tab w:val="left" w:pos="0"/>
        </w:tabs>
        <w:spacing w:after="0" w:line="240" w:lineRule="auto"/>
        <w:ind w:left="0"/>
        <w:jc w:val="both"/>
        <w:rPr>
          <w:rFonts w:ascii="Times New Roman" w:hAnsi="Times New Roman"/>
          <w:b/>
          <w:sz w:val="24"/>
          <w:szCs w:val="24"/>
        </w:rPr>
      </w:pPr>
    </w:p>
    <w:p w:rsidR="007E27CB" w:rsidRDefault="008F141F">
      <w:pPr>
        <w:pStyle w:val="a6"/>
        <w:numPr>
          <w:ilvl w:val="0"/>
          <w:numId w:val="57"/>
        </w:numPr>
        <w:tabs>
          <w:tab w:val="left" w:pos="284"/>
          <w:tab w:val="left" w:pos="426"/>
          <w:tab w:val="left" w:pos="851"/>
          <w:tab w:val="left" w:pos="1134"/>
        </w:tabs>
        <w:spacing w:after="0" w:line="240" w:lineRule="auto"/>
        <w:ind w:left="0" w:firstLine="0"/>
        <w:jc w:val="both"/>
        <w:rPr>
          <w:rFonts w:ascii="Times New Roman" w:hAnsi="Times New Roman"/>
          <w:sz w:val="24"/>
          <w:szCs w:val="24"/>
        </w:rPr>
      </w:pPr>
      <w:r>
        <w:rPr>
          <w:rFonts w:ascii="Times New Roman" w:hAnsi="Times New Roman"/>
          <w:sz w:val="24"/>
          <w:szCs w:val="24"/>
        </w:rPr>
        <w:t>Продолжение активного продвижения туризма Томской области в интернете, участие в профильных отраслевых международных и российских выставках.</w:t>
      </w:r>
    </w:p>
    <w:p w:rsidR="007E27CB" w:rsidRDefault="008F141F">
      <w:pPr>
        <w:pStyle w:val="a6"/>
        <w:numPr>
          <w:ilvl w:val="0"/>
          <w:numId w:val="57"/>
        </w:numPr>
        <w:tabs>
          <w:tab w:val="left" w:pos="284"/>
          <w:tab w:val="left" w:pos="426"/>
          <w:tab w:val="left" w:pos="851"/>
          <w:tab w:val="left" w:pos="1134"/>
        </w:tabs>
        <w:spacing w:after="0" w:line="240" w:lineRule="auto"/>
        <w:ind w:left="0" w:firstLine="0"/>
        <w:jc w:val="both"/>
        <w:rPr>
          <w:rFonts w:ascii="Times New Roman" w:hAnsi="Times New Roman"/>
          <w:sz w:val="24"/>
          <w:szCs w:val="24"/>
        </w:rPr>
      </w:pPr>
      <w:r>
        <w:rPr>
          <w:rFonts w:ascii="Times New Roman" w:hAnsi="Times New Roman"/>
          <w:sz w:val="24"/>
          <w:szCs w:val="24"/>
        </w:rPr>
        <w:t>Расширение предлагаемых бизнесом потребителям туристических маршрутов путем проведения промо-туров для туркомпаний и СМИ в муниципальные образования области.</w:t>
      </w:r>
    </w:p>
    <w:p w:rsidR="007E27CB" w:rsidRDefault="008F141F">
      <w:pPr>
        <w:pStyle w:val="a6"/>
        <w:numPr>
          <w:ilvl w:val="0"/>
          <w:numId w:val="57"/>
        </w:numPr>
        <w:tabs>
          <w:tab w:val="left" w:pos="284"/>
          <w:tab w:val="left" w:pos="426"/>
          <w:tab w:val="left" w:pos="851"/>
          <w:tab w:val="left" w:pos="1134"/>
        </w:tabs>
        <w:spacing w:after="0" w:line="240" w:lineRule="auto"/>
        <w:ind w:left="0" w:firstLine="0"/>
        <w:jc w:val="both"/>
        <w:rPr>
          <w:rFonts w:ascii="Times New Roman" w:hAnsi="Times New Roman"/>
          <w:sz w:val="24"/>
          <w:szCs w:val="24"/>
        </w:rPr>
      </w:pPr>
      <w:r>
        <w:rPr>
          <w:rFonts w:ascii="Times New Roman" w:hAnsi="Times New Roman"/>
          <w:sz w:val="24"/>
          <w:szCs w:val="24"/>
        </w:rPr>
        <w:t>Создание региональной информационной платформы и пилотного сервиса «Гид-путеводитель по Томской области» с объединением информационных ресурсов в единый блок и привлечением общественности к его наполнению.</w:t>
      </w:r>
    </w:p>
    <w:p w:rsidR="007E27CB" w:rsidRDefault="008F141F">
      <w:pPr>
        <w:pStyle w:val="a6"/>
        <w:numPr>
          <w:ilvl w:val="0"/>
          <w:numId w:val="57"/>
        </w:numPr>
        <w:tabs>
          <w:tab w:val="left" w:pos="284"/>
          <w:tab w:val="left" w:pos="426"/>
          <w:tab w:val="left" w:pos="851"/>
          <w:tab w:val="left" w:pos="1134"/>
        </w:tabs>
        <w:spacing w:after="0" w:line="240" w:lineRule="auto"/>
        <w:ind w:left="0" w:firstLine="0"/>
        <w:jc w:val="both"/>
        <w:rPr>
          <w:rFonts w:ascii="Times New Roman" w:hAnsi="Times New Roman"/>
          <w:sz w:val="24"/>
          <w:szCs w:val="24"/>
        </w:rPr>
      </w:pPr>
      <w:r>
        <w:rPr>
          <w:rFonts w:ascii="Times New Roman" w:hAnsi="Times New Roman"/>
          <w:sz w:val="24"/>
          <w:szCs w:val="24"/>
        </w:rPr>
        <w:t>Поддержка МСП путем проведения конкурса грантов на реализацию проектов в сфере развития внутреннего и въездного туризма региона (разработка маршрутов, создание туробъектов и т.п.).</w:t>
      </w:r>
    </w:p>
    <w:p w:rsidR="007E27CB" w:rsidRDefault="008F141F">
      <w:pPr>
        <w:pStyle w:val="a6"/>
        <w:numPr>
          <w:ilvl w:val="0"/>
          <w:numId w:val="57"/>
        </w:numPr>
        <w:tabs>
          <w:tab w:val="left" w:pos="284"/>
          <w:tab w:val="left" w:pos="426"/>
          <w:tab w:val="left" w:pos="851"/>
          <w:tab w:val="left" w:pos="1134"/>
        </w:tabs>
        <w:spacing w:after="0" w:line="240" w:lineRule="auto"/>
        <w:ind w:left="0" w:firstLine="0"/>
        <w:jc w:val="both"/>
        <w:rPr>
          <w:rFonts w:ascii="Times New Roman" w:hAnsi="Times New Roman"/>
          <w:sz w:val="24"/>
          <w:szCs w:val="24"/>
        </w:rPr>
      </w:pPr>
      <w:r>
        <w:rPr>
          <w:rFonts w:ascii="Times New Roman" w:hAnsi="Times New Roman"/>
          <w:sz w:val="24"/>
          <w:szCs w:val="24"/>
        </w:rPr>
        <w:t>Мероприятия по созданию комфортной информационной среды в сфере туризма.</w:t>
      </w:r>
    </w:p>
    <w:p w:rsidR="007E27CB" w:rsidRDefault="007E27CB">
      <w:pPr>
        <w:pStyle w:val="a6"/>
        <w:spacing w:after="0" w:line="240" w:lineRule="auto"/>
        <w:ind w:left="0"/>
        <w:jc w:val="both"/>
        <w:rPr>
          <w:rFonts w:ascii="Times New Roman" w:hAnsi="Times New Roman"/>
          <w:sz w:val="24"/>
          <w:szCs w:val="24"/>
        </w:rPr>
      </w:pPr>
    </w:p>
    <w:p w:rsidR="007E27CB" w:rsidRDefault="008F141F">
      <w:pPr>
        <w:tabs>
          <w:tab w:val="left" w:pos="426"/>
          <w:tab w:val="left" w:pos="567"/>
        </w:tabs>
        <w:autoSpaceDE w:val="0"/>
        <w:autoSpaceDN w:val="0"/>
        <w:adjustRightInd w:val="0"/>
        <w:spacing w:after="0" w:line="240" w:lineRule="auto"/>
        <w:ind w:firstLine="567"/>
        <w:rPr>
          <w:rFonts w:eastAsia="Times New Roman"/>
          <w:b/>
          <w:sz w:val="24"/>
          <w:szCs w:val="24"/>
        </w:rPr>
      </w:pPr>
      <w:r>
        <w:rPr>
          <w:rFonts w:eastAsia="Times New Roman"/>
          <w:b/>
          <w:sz w:val="24"/>
          <w:szCs w:val="24"/>
        </w:rPr>
        <w:t>ОХРАНА ОБЪЕКТОВ КУЛЬТУРНОГО НАСЛЕДИЯ</w:t>
      </w:r>
      <w:r>
        <w:rPr>
          <w:rStyle w:val="af3"/>
          <w:rFonts w:eastAsia="Times New Roman"/>
          <w:b/>
          <w:sz w:val="24"/>
          <w:szCs w:val="24"/>
        </w:rPr>
        <w:footnoteReference w:id="18"/>
      </w:r>
    </w:p>
    <w:p w:rsidR="007E27CB" w:rsidRDefault="007E27CB">
      <w:pPr>
        <w:pStyle w:val="af"/>
        <w:tabs>
          <w:tab w:val="left" w:pos="4962"/>
        </w:tabs>
        <w:ind w:firstLine="567"/>
        <w:jc w:val="both"/>
        <w:rPr>
          <w:color w:val="FF0000"/>
        </w:rPr>
      </w:pPr>
    </w:p>
    <w:p w:rsidR="007E27CB" w:rsidRDefault="008F141F">
      <w:pPr>
        <w:pStyle w:val="af"/>
        <w:tabs>
          <w:tab w:val="left" w:pos="4962"/>
        </w:tabs>
        <w:ind w:firstLine="567"/>
        <w:jc w:val="both"/>
      </w:pPr>
      <w:r>
        <w:t>По состоянию на 01.01.2020 на территории Томской области расположен 791 объект культурного наследия (далее по разделу – ОКН).</w:t>
      </w:r>
    </w:p>
    <w:p w:rsidR="007E27CB" w:rsidRDefault="008F141F">
      <w:pPr>
        <w:pStyle w:val="af"/>
        <w:tabs>
          <w:tab w:val="left" w:pos="4962"/>
        </w:tabs>
        <w:ind w:firstLine="567"/>
        <w:jc w:val="both"/>
      </w:pPr>
      <w:r>
        <w:t>Общий объем средств, направленных на мероприятия по сохранению ОКН в 2019 году составил 139,4 млн. рублей из бюджетов всех уровней.</w:t>
      </w:r>
    </w:p>
    <w:p w:rsidR="007E27CB" w:rsidRDefault="008F141F">
      <w:pPr>
        <w:pStyle w:val="af"/>
        <w:tabs>
          <w:tab w:val="left" w:pos="4962"/>
        </w:tabs>
        <w:ind w:firstLine="567"/>
        <w:jc w:val="both"/>
      </w:pPr>
      <w:r>
        <w:t xml:space="preserve">Работы по сохранению в 2019 году проведены на 50 объектах, в том числе на 11 памятниках федерального значения. </w:t>
      </w:r>
    </w:p>
    <w:p w:rsidR="007E27CB" w:rsidRDefault="008F141F">
      <w:pPr>
        <w:pStyle w:val="af"/>
        <w:tabs>
          <w:tab w:val="left" w:pos="4962"/>
        </w:tabs>
        <w:ind w:firstLine="567"/>
        <w:jc w:val="both"/>
      </w:pPr>
      <w:r>
        <w:t>За счет средств федерального бюджета проведены работы по сохранению 17 ОКН на сумму 83,9 млн. рублей. За счет средств областного бюджета проводились работы на 10 ОКН на общую сумму 14,4 млн. рублей. Объем финансирования из средств муниципального образования «Город Томск» в 2019 году составил 13,9 млн. рублей на 8 ОКН. Из внебюджетных источников профинансированы работы по сохранению 15 ОКН на общую сумму 27,2 млн. рублей.</w:t>
      </w:r>
    </w:p>
    <w:p w:rsidR="007E27CB" w:rsidRDefault="008F141F">
      <w:pPr>
        <w:tabs>
          <w:tab w:val="left" w:pos="4962"/>
        </w:tabs>
        <w:spacing w:after="0" w:line="240" w:lineRule="auto"/>
        <w:ind w:firstLine="567"/>
        <w:jc w:val="both"/>
        <w:rPr>
          <w:sz w:val="24"/>
          <w:szCs w:val="24"/>
        </w:rPr>
      </w:pPr>
      <w:r>
        <w:rPr>
          <w:sz w:val="24"/>
          <w:szCs w:val="24"/>
        </w:rPr>
        <w:t xml:space="preserve">В 2019 году опыт Томской области в сфере сохранения деревянного зодчества признан лучшим в Российской Федерации. Томская область вошла в состав Совета по реализации ведомственного проекта Минкульта России по сохранению памятников деревянного зодчества. </w:t>
      </w:r>
    </w:p>
    <w:p w:rsidR="007E27CB" w:rsidRDefault="008F141F">
      <w:pPr>
        <w:pStyle w:val="af"/>
        <w:tabs>
          <w:tab w:val="left" w:pos="4962"/>
        </w:tabs>
        <w:ind w:firstLine="567"/>
        <w:jc w:val="both"/>
      </w:pPr>
      <w:r>
        <w:t xml:space="preserve">Во исполнение Поручения Президента Российской Федерации от 20.08.2012            № Пр-2217 «Об осуществлении мер по установлению границ и соблюдению правового режима земель на ряде объектов культурного наследия» на регулярной основе проводится работа по направлениям: </w:t>
      </w:r>
    </w:p>
    <w:p w:rsidR="007E27CB" w:rsidRDefault="008F141F">
      <w:pPr>
        <w:pStyle w:val="af"/>
        <w:numPr>
          <w:ilvl w:val="0"/>
          <w:numId w:val="9"/>
        </w:numPr>
        <w:tabs>
          <w:tab w:val="left" w:pos="993"/>
          <w:tab w:val="left" w:pos="4962"/>
        </w:tabs>
        <w:ind w:left="0" w:firstLine="567"/>
        <w:jc w:val="both"/>
      </w:pPr>
      <w:r>
        <w:t xml:space="preserve">внесение данных в ЕГРН; </w:t>
      </w:r>
    </w:p>
    <w:p w:rsidR="007E27CB" w:rsidRDefault="008F141F">
      <w:pPr>
        <w:pStyle w:val="af"/>
        <w:numPr>
          <w:ilvl w:val="0"/>
          <w:numId w:val="9"/>
        </w:numPr>
        <w:tabs>
          <w:tab w:val="left" w:pos="993"/>
          <w:tab w:val="left" w:pos="4962"/>
        </w:tabs>
        <w:ind w:left="0" w:firstLine="567"/>
        <w:jc w:val="both"/>
      </w:pPr>
      <w:r>
        <w:t xml:space="preserve">разработка проектов зон охраны ОКН. </w:t>
      </w:r>
    </w:p>
    <w:p w:rsidR="007E27CB" w:rsidRDefault="007E27CB">
      <w:pPr>
        <w:pStyle w:val="af"/>
        <w:tabs>
          <w:tab w:val="left" w:pos="4962"/>
        </w:tabs>
        <w:ind w:firstLine="567"/>
        <w:jc w:val="both"/>
      </w:pPr>
    </w:p>
    <w:tbl>
      <w:tblPr>
        <w:tblW w:w="9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405"/>
        <w:gridCol w:w="3260"/>
        <w:gridCol w:w="2977"/>
      </w:tblGrid>
      <w:tr w:rsidR="007E27CB">
        <w:trPr>
          <w:trHeight w:val="523"/>
        </w:trPr>
        <w:tc>
          <w:tcPr>
            <w:tcW w:w="3405" w:type="dxa"/>
            <w:shd w:val="clear" w:color="auto" w:fill="FFFFFF"/>
            <w:tcMar>
              <w:top w:w="72" w:type="dxa"/>
              <w:left w:w="144" w:type="dxa"/>
              <w:bottom w:w="72" w:type="dxa"/>
              <w:right w:w="144" w:type="dxa"/>
            </w:tcMar>
            <w:hideMark/>
          </w:tcPr>
          <w:p w:rsidR="007E27CB" w:rsidRDefault="008F141F">
            <w:pPr>
              <w:tabs>
                <w:tab w:val="left" w:pos="4962"/>
              </w:tabs>
              <w:spacing w:after="0" w:line="240" w:lineRule="auto"/>
              <w:ind w:firstLine="567"/>
              <w:jc w:val="center"/>
              <w:textAlignment w:val="baseline"/>
              <w:rPr>
                <w:rFonts w:eastAsia="Times New Roman"/>
                <w:sz w:val="24"/>
                <w:szCs w:val="24"/>
                <w:lang w:eastAsia="ru-RU"/>
              </w:rPr>
            </w:pPr>
            <w:r>
              <w:rPr>
                <w:rFonts w:eastAsia="Times New Roman"/>
                <w:bCs/>
                <w:kern w:val="24"/>
                <w:sz w:val="24"/>
                <w:szCs w:val="24"/>
                <w:lang w:eastAsia="ru-RU"/>
              </w:rPr>
              <w:t xml:space="preserve">Информация об объектах культурного наследия </w:t>
            </w:r>
            <w:r>
              <w:rPr>
                <w:rFonts w:eastAsia="Times New Roman"/>
                <w:bCs/>
                <w:kern w:val="24"/>
                <w:sz w:val="24"/>
                <w:szCs w:val="24"/>
                <w:lang w:eastAsia="ru-RU"/>
              </w:rPr>
              <w:br/>
              <w:t>(внесено в ЕГРН)</w:t>
            </w:r>
          </w:p>
        </w:tc>
        <w:tc>
          <w:tcPr>
            <w:tcW w:w="3260" w:type="dxa"/>
            <w:shd w:val="clear" w:color="auto" w:fill="FFFFFF"/>
            <w:tcMar>
              <w:top w:w="72" w:type="dxa"/>
              <w:left w:w="144" w:type="dxa"/>
              <w:bottom w:w="72" w:type="dxa"/>
              <w:right w:w="144" w:type="dxa"/>
            </w:tcMar>
            <w:hideMark/>
          </w:tcPr>
          <w:p w:rsidR="007E27CB" w:rsidRDefault="008F141F">
            <w:pPr>
              <w:tabs>
                <w:tab w:val="left" w:pos="4962"/>
              </w:tabs>
              <w:spacing w:after="0" w:line="240" w:lineRule="auto"/>
              <w:ind w:firstLine="567"/>
              <w:jc w:val="center"/>
              <w:textAlignment w:val="baseline"/>
              <w:rPr>
                <w:rFonts w:eastAsia="Times New Roman"/>
                <w:sz w:val="24"/>
                <w:szCs w:val="24"/>
                <w:lang w:eastAsia="ru-RU"/>
              </w:rPr>
            </w:pPr>
            <w:r>
              <w:rPr>
                <w:rFonts w:eastAsia="Times New Roman"/>
                <w:bCs/>
                <w:kern w:val="24"/>
                <w:sz w:val="24"/>
                <w:szCs w:val="24"/>
                <w:lang w:eastAsia="ru-RU"/>
              </w:rPr>
              <w:t>Информация о территориях объектов культурного наследия (внесено в ЕГРН)</w:t>
            </w:r>
          </w:p>
        </w:tc>
        <w:tc>
          <w:tcPr>
            <w:tcW w:w="2977" w:type="dxa"/>
            <w:shd w:val="clear" w:color="auto" w:fill="FFFFFF"/>
            <w:tcMar>
              <w:top w:w="72" w:type="dxa"/>
              <w:left w:w="144" w:type="dxa"/>
              <w:bottom w:w="72" w:type="dxa"/>
              <w:right w:w="144" w:type="dxa"/>
            </w:tcMar>
            <w:hideMark/>
          </w:tcPr>
          <w:p w:rsidR="007E27CB" w:rsidRDefault="008F141F">
            <w:pPr>
              <w:tabs>
                <w:tab w:val="left" w:pos="4962"/>
              </w:tabs>
              <w:spacing w:after="0" w:line="240" w:lineRule="auto"/>
              <w:ind w:firstLine="567"/>
              <w:jc w:val="center"/>
              <w:textAlignment w:val="baseline"/>
              <w:rPr>
                <w:rFonts w:eastAsia="Times New Roman"/>
                <w:sz w:val="24"/>
                <w:szCs w:val="24"/>
                <w:lang w:eastAsia="ru-RU"/>
              </w:rPr>
            </w:pPr>
            <w:r>
              <w:rPr>
                <w:rFonts w:eastAsia="Times New Roman"/>
                <w:bCs/>
                <w:kern w:val="24"/>
                <w:sz w:val="24"/>
                <w:szCs w:val="24"/>
                <w:lang w:eastAsia="ru-RU"/>
              </w:rPr>
              <w:t>Информация об охранных зонах объектов культурного наследия (направлено в ЕГРН)</w:t>
            </w:r>
          </w:p>
        </w:tc>
      </w:tr>
      <w:tr w:rsidR="007E27CB">
        <w:trPr>
          <w:trHeight w:val="389"/>
        </w:trPr>
        <w:tc>
          <w:tcPr>
            <w:tcW w:w="3405" w:type="dxa"/>
            <w:shd w:val="clear" w:color="auto" w:fill="FFFFFF"/>
            <w:tcMar>
              <w:top w:w="72" w:type="dxa"/>
              <w:left w:w="144" w:type="dxa"/>
              <w:bottom w:w="72" w:type="dxa"/>
              <w:right w:w="144" w:type="dxa"/>
            </w:tcMar>
            <w:hideMark/>
          </w:tcPr>
          <w:p w:rsidR="007E27CB" w:rsidRDefault="008F141F">
            <w:pPr>
              <w:tabs>
                <w:tab w:val="left" w:pos="4962"/>
              </w:tabs>
              <w:spacing w:after="0" w:line="240" w:lineRule="auto"/>
              <w:jc w:val="both"/>
              <w:textAlignment w:val="baseline"/>
              <w:rPr>
                <w:rFonts w:eastAsia="Times New Roman"/>
                <w:bCs/>
                <w:kern w:val="24"/>
                <w:sz w:val="24"/>
                <w:szCs w:val="24"/>
                <w:lang w:eastAsia="ru-RU"/>
              </w:rPr>
            </w:pPr>
            <w:r>
              <w:rPr>
                <w:rFonts w:eastAsia="Times New Roman"/>
                <w:bCs/>
                <w:kern w:val="24"/>
                <w:sz w:val="24"/>
                <w:szCs w:val="24"/>
                <w:lang w:eastAsia="ru-RU"/>
              </w:rPr>
              <w:t xml:space="preserve">77% от общего числа памятников </w:t>
            </w:r>
          </w:p>
        </w:tc>
        <w:tc>
          <w:tcPr>
            <w:tcW w:w="3260" w:type="dxa"/>
            <w:shd w:val="clear" w:color="auto" w:fill="FFFFFF"/>
            <w:tcMar>
              <w:top w:w="72" w:type="dxa"/>
              <w:left w:w="144" w:type="dxa"/>
              <w:bottom w:w="72" w:type="dxa"/>
              <w:right w:w="144" w:type="dxa"/>
            </w:tcMar>
            <w:hideMark/>
          </w:tcPr>
          <w:p w:rsidR="007E27CB" w:rsidRDefault="008F141F">
            <w:pPr>
              <w:tabs>
                <w:tab w:val="left" w:pos="4962"/>
              </w:tabs>
              <w:spacing w:after="0" w:line="240" w:lineRule="auto"/>
              <w:jc w:val="both"/>
              <w:textAlignment w:val="baseline"/>
              <w:rPr>
                <w:rFonts w:eastAsia="Times New Roman"/>
                <w:bCs/>
                <w:kern w:val="24"/>
                <w:sz w:val="24"/>
                <w:szCs w:val="24"/>
                <w:lang w:eastAsia="ru-RU"/>
              </w:rPr>
            </w:pPr>
            <w:r>
              <w:rPr>
                <w:rFonts w:eastAsia="Times New Roman"/>
                <w:bCs/>
                <w:kern w:val="24"/>
                <w:sz w:val="24"/>
                <w:szCs w:val="24"/>
                <w:lang w:eastAsia="ru-RU"/>
              </w:rPr>
              <w:t>64,6% от общего числа памятников</w:t>
            </w:r>
          </w:p>
        </w:tc>
        <w:tc>
          <w:tcPr>
            <w:tcW w:w="2977" w:type="dxa"/>
            <w:shd w:val="clear" w:color="auto" w:fill="FFFFFF"/>
            <w:tcMar>
              <w:top w:w="72" w:type="dxa"/>
              <w:left w:w="144" w:type="dxa"/>
              <w:bottom w:w="72" w:type="dxa"/>
              <w:right w:w="144" w:type="dxa"/>
            </w:tcMar>
            <w:hideMark/>
          </w:tcPr>
          <w:p w:rsidR="007E27CB" w:rsidRDefault="008F141F">
            <w:pPr>
              <w:tabs>
                <w:tab w:val="left" w:pos="4962"/>
              </w:tabs>
              <w:spacing w:after="0" w:line="240" w:lineRule="auto"/>
              <w:jc w:val="both"/>
              <w:textAlignment w:val="baseline"/>
              <w:rPr>
                <w:rFonts w:eastAsia="Times New Roman"/>
                <w:bCs/>
                <w:kern w:val="24"/>
                <w:sz w:val="24"/>
                <w:szCs w:val="24"/>
                <w:lang w:eastAsia="ru-RU"/>
              </w:rPr>
            </w:pPr>
            <w:r>
              <w:rPr>
                <w:rFonts w:eastAsia="Times New Roman"/>
                <w:bCs/>
                <w:kern w:val="24"/>
                <w:sz w:val="24"/>
                <w:szCs w:val="24"/>
                <w:lang w:eastAsia="ru-RU"/>
              </w:rPr>
              <w:t>31% от общего числа памятников</w:t>
            </w:r>
          </w:p>
        </w:tc>
      </w:tr>
    </w:tbl>
    <w:p w:rsidR="007E27CB" w:rsidRDefault="007E27CB">
      <w:pPr>
        <w:pStyle w:val="af"/>
        <w:tabs>
          <w:tab w:val="left" w:pos="4962"/>
        </w:tabs>
        <w:ind w:firstLine="567"/>
        <w:jc w:val="both"/>
      </w:pPr>
    </w:p>
    <w:p w:rsidR="007E27CB" w:rsidRDefault="008F141F">
      <w:pPr>
        <w:pStyle w:val="af"/>
        <w:tabs>
          <w:tab w:val="left" w:pos="4962"/>
        </w:tabs>
        <w:ind w:firstLine="567"/>
        <w:jc w:val="both"/>
      </w:pPr>
      <w:r>
        <w:t>В 2019 году выдано 89 разрешений на производство работ по сохранению ОКН (71 задание), согласовано 20 разделов проектной документации на выполнение работ по сохранению ОКН, утверждено 17 отчетов о проведенных реставрационных работах, подписано 16 актов о выполнении работ.</w:t>
      </w:r>
    </w:p>
    <w:p w:rsidR="007E27CB" w:rsidRDefault="008F141F">
      <w:pPr>
        <w:pStyle w:val="af"/>
        <w:tabs>
          <w:tab w:val="left" w:pos="4962"/>
        </w:tabs>
        <w:ind w:firstLine="567"/>
        <w:jc w:val="both"/>
      </w:pPr>
      <w:r>
        <w:t>В 2019 году осуществлялась контрольно-надзорная деятельность. Проведены 2 плановые проверки, 4 внеплановые проверки юридических лиц, 100 мероприятий по контролю и систематическому наблюдению. По результатам составлено 27 протоколов об административных правонарушениях, выдано 7 предписаний, 31 предостережение.</w:t>
      </w:r>
    </w:p>
    <w:p w:rsidR="007E27CB" w:rsidRDefault="008F141F">
      <w:pPr>
        <w:pStyle w:val="af"/>
        <w:tabs>
          <w:tab w:val="left" w:pos="4962"/>
        </w:tabs>
        <w:ind w:firstLine="567"/>
        <w:jc w:val="both"/>
      </w:pPr>
      <w:r>
        <w:t xml:space="preserve">Сумма взысканных штрафов по административным правонарушениям составила </w:t>
      </w:r>
      <w:r>
        <w:br/>
        <w:t>100 тыс. рублей.</w:t>
      </w:r>
    </w:p>
    <w:p w:rsidR="007E27CB" w:rsidRDefault="008F141F">
      <w:pPr>
        <w:pStyle w:val="af"/>
        <w:tabs>
          <w:tab w:val="left" w:pos="4962"/>
        </w:tabs>
        <w:ind w:firstLine="567"/>
        <w:jc w:val="both"/>
      </w:pPr>
      <w:r>
        <w:t>В течение 2019 года выявлено 14 памятников археологии, датированных от эпохи палеолита до позднего средневековья, проведены мероприятия (раскопки)  по сохранению объектов археологического наследия (Алексеевский монастырь, курганный могильник Шеломок 1).</w:t>
      </w:r>
    </w:p>
    <w:p w:rsidR="007E27CB" w:rsidRDefault="008F141F">
      <w:pPr>
        <w:pStyle w:val="af"/>
        <w:tabs>
          <w:tab w:val="left" w:pos="4962"/>
        </w:tabs>
        <w:ind w:firstLine="567"/>
        <w:jc w:val="both"/>
      </w:pPr>
      <w:r>
        <w:t xml:space="preserve">В течение 2019 года проведена работа по градостроительной охране объектов культурного наследия. </w:t>
      </w:r>
    </w:p>
    <w:p w:rsidR="007E27CB" w:rsidRDefault="008F141F">
      <w:pPr>
        <w:pStyle w:val="af"/>
        <w:numPr>
          <w:ilvl w:val="0"/>
          <w:numId w:val="10"/>
        </w:numPr>
        <w:tabs>
          <w:tab w:val="left" w:pos="851"/>
          <w:tab w:val="left" w:pos="4962"/>
        </w:tabs>
        <w:ind w:left="0" w:firstLine="567"/>
        <w:jc w:val="both"/>
      </w:pPr>
      <w:r>
        <w:t xml:space="preserve">историческому селу Нарым присвоен статус исторического поселения регионального значения; </w:t>
      </w:r>
    </w:p>
    <w:p w:rsidR="007E27CB" w:rsidRDefault="008F141F">
      <w:pPr>
        <w:pStyle w:val="af"/>
        <w:numPr>
          <w:ilvl w:val="0"/>
          <w:numId w:val="10"/>
        </w:numPr>
        <w:tabs>
          <w:tab w:val="left" w:pos="851"/>
          <w:tab w:val="left" w:pos="4962"/>
        </w:tabs>
        <w:ind w:left="0" w:firstLine="567"/>
        <w:jc w:val="both"/>
      </w:pPr>
      <w:r>
        <w:t>проведена работа по утверждению материалов в отношении города Томска - исторического поселения федерального значения.</w:t>
      </w:r>
    </w:p>
    <w:p w:rsidR="007E27CB" w:rsidRDefault="008F141F">
      <w:pPr>
        <w:pStyle w:val="af"/>
        <w:tabs>
          <w:tab w:val="left" w:pos="4962"/>
        </w:tabs>
        <w:ind w:firstLine="567"/>
        <w:jc w:val="both"/>
      </w:pPr>
      <w:r>
        <w:t xml:space="preserve">Томская область приняла участие в работе целого ряда  мероприятий регионального и федерального уровня по теме сохранения объектов культурного наследия. </w:t>
      </w:r>
    </w:p>
    <w:p w:rsidR="007E27CB" w:rsidRDefault="007E27CB">
      <w:pPr>
        <w:pStyle w:val="af"/>
        <w:tabs>
          <w:tab w:val="left" w:pos="4962"/>
        </w:tabs>
        <w:ind w:firstLine="567"/>
        <w:jc w:val="both"/>
      </w:pPr>
    </w:p>
    <w:p w:rsidR="007E27CB" w:rsidRDefault="008F141F">
      <w:pPr>
        <w:pStyle w:val="af"/>
        <w:shd w:val="clear" w:color="auto" w:fill="F2F2F2" w:themeFill="background1" w:themeFillShade="F2"/>
        <w:tabs>
          <w:tab w:val="left" w:pos="4962"/>
        </w:tabs>
        <w:jc w:val="both"/>
        <w:rPr>
          <w:b/>
        </w:rPr>
      </w:pPr>
      <w:r>
        <w:rPr>
          <w:b/>
        </w:rPr>
        <w:t>Перспективные задачи</w:t>
      </w:r>
    </w:p>
    <w:p w:rsidR="007E27CB" w:rsidRDefault="007E27CB">
      <w:pPr>
        <w:pStyle w:val="af"/>
        <w:tabs>
          <w:tab w:val="left" w:pos="4962"/>
        </w:tabs>
        <w:ind w:firstLine="567"/>
        <w:jc w:val="both"/>
      </w:pPr>
    </w:p>
    <w:p w:rsidR="007E27CB" w:rsidRDefault="008F141F">
      <w:pPr>
        <w:tabs>
          <w:tab w:val="left" w:pos="4962"/>
        </w:tabs>
        <w:spacing w:after="0" w:line="240" w:lineRule="auto"/>
        <w:jc w:val="both"/>
        <w:rPr>
          <w:sz w:val="24"/>
          <w:szCs w:val="24"/>
        </w:rPr>
      </w:pPr>
      <w:r>
        <w:rPr>
          <w:sz w:val="24"/>
          <w:szCs w:val="24"/>
        </w:rPr>
        <w:t>1. Участие в национальном проекте «Культура», в программе «Волонтеры культуры» регионального проекта «Творческие люди».</w:t>
      </w:r>
    </w:p>
    <w:p w:rsidR="007E27CB" w:rsidRDefault="008F141F">
      <w:pPr>
        <w:tabs>
          <w:tab w:val="left" w:pos="4962"/>
        </w:tabs>
        <w:spacing w:after="0" w:line="240" w:lineRule="auto"/>
        <w:jc w:val="both"/>
        <w:rPr>
          <w:sz w:val="24"/>
          <w:szCs w:val="24"/>
        </w:rPr>
      </w:pPr>
      <w:r>
        <w:rPr>
          <w:sz w:val="24"/>
          <w:szCs w:val="24"/>
        </w:rPr>
        <w:t xml:space="preserve">2. Осуществление государственной охраны объектов культурного наследия, расположенных на территории Томской области, муниципального образования «Город Томск» </w:t>
      </w:r>
      <w:r>
        <w:t>–</w:t>
      </w:r>
      <w:r>
        <w:rPr>
          <w:sz w:val="24"/>
          <w:szCs w:val="24"/>
        </w:rPr>
        <w:t xml:space="preserve"> исторического поселения федерального значения.</w:t>
      </w:r>
    </w:p>
    <w:p w:rsidR="007E27CB" w:rsidRDefault="008F141F">
      <w:pPr>
        <w:tabs>
          <w:tab w:val="left" w:pos="4962"/>
        </w:tabs>
        <w:spacing w:after="0" w:line="240" w:lineRule="auto"/>
        <w:jc w:val="both"/>
        <w:rPr>
          <w:sz w:val="24"/>
          <w:szCs w:val="24"/>
        </w:rPr>
      </w:pPr>
      <w:r>
        <w:rPr>
          <w:sz w:val="24"/>
          <w:szCs w:val="24"/>
        </w:rPr>
        <w:t>3. Осуществление государственного надзора за соблюдением законодательства в сфере государственной охраны и сохранения объектов культурного наследия.</w:t>
      </w:r>
    </w:p>
    <w:p w:rsidR="007E27CB" w:rsidRDefault="007E27CB">
      <w:pPr>
        <w:tabs>
          <w:tab w:val="left" w:pos="4962"/>
        </w:tabs>
        <w:spacing w:after="0" w:line="240" w:lineRule="auto"/>
        <w:jc w:val="both"/>
        <w:rPr>
          <w:rFonts w:eastAsia="Times New Roman"/>
          <w:b/>
          <w:sz w:val="24"/>
          <w:szCs w:val="24"/>
        </w:rPr>
      </w:pPr>
    </w:p>
    <w:p w:rsidR="007E27CB" w:rsidRDefault="008F141F">
      <w:pPr>
        <w:tabs>
          <w:tab w:val="left" w:pos="4962"/>
        </w:tabs>
        <w:spacing w:after="0" w:line="240" w:lineRule="auto"/>
        <w:jc w:val="both"/>
        <w:rPr>
          <w:rFonts w:eastAsia="Times New Roman"/>
          <w:b/>
          <w:sz w:val="24"/>
          <w:szCs w:val="24"/>
        </w:rPr>
      </w:pPr>
      <w:r>
        <w:rPr>
          <w:rFonts w:eastAsia="Times New Roman"/>
          <w:b/>
          <w:sz w:val="24"/>
          <w:szCs w:val="24"/>
        </w:rPr>
        <w:t>3.8. Повышение качества и доступности социальной поддержки и социального обслуживания населения, в том числе детей</w:t>
      </w:r>
    </w:p>
    <w:p w:rsidR="007E27CB" w:rsidRDefault="007E27CB">
      <w:pPr>
        <w:pStyle w:val="af"/>
        <w:tabs>
          <w:tab w:val="left" w:pos="4962"/>
        </w:tabs>
        <w:ind w:firstLine="567"/>
        <w:jc w:val="both"/>
        <w:rPr>
          <w:b/>
        </w:rPr>
      </w:pPr>
    </w:p>
    <w:p w:rsidR="007E27CB" w:rsidRDefault="008F141F">
      <w:pPr>
        <w:pStyle w:val="af"/>
        <w:tabs>
          <w:tab w:val="left" w:pos="4962"/>
        </w:tabs>
        <w:ind w:firstLine="567"/>
        <w:jc w:val="both"/>
        <w:rPr>
          <w:b/>
        </w:rPr>
      </w:pPr>
      <w:r>
        <w:rPr>
          <w:b/>
        </w:rPr>
        <w:t>СОЦИАЛЬНОЕ ОБСЛУЖИВАНИЕ</w:t>
      </w:r>
      <w:r>
        <w:rPr>
          <w:rStyle w:val="af3"/>
          <w:b/>
        </w:rPr>
        <w:footnoteReference w:id="19"/>
      </w:r>
    </w:p>
    <w:p w:rsidR="007E27CB" w:rsidRDefault="007E27CB">
      <w:pPr>
        <w:pStyle w:val="af"/>
        <w:tabs>
          <w:tab w:val="left" w:pos="4962"/>
        </w:tabs>
        <w:ind w:firstLine="567"/>
        <w:jc w:val="both"/>
        <w:rPr>
          <w:b/>
        </w:rPr>
      </w:pPr>
    </w:p>
    <w:p w:rsidR="007E27CB" w:rsidRDefault="008F141F">
      <w:pPr>
        <w:spacing w:after="0" w:line="240" w:lineRule="auto"/>
        <w:ind w:firstLine="567"/>
        <w:jc w:val="both"/>
        <w:rPr>
          <w:sz w:val="24"/>
          <w:szCs w:val="24"/>
        </w:rPr>
      </w:pPr>
      <w:r>
        <w:rPr>
          <w:sz w:val="24"/>
          <w:szCs w:val="24"/>
        </w:rPr>
        <w:t>Целью развития социальной поддержки и социального обслуживания жителей Томской области является усиление адресности при предоставлении мер социальной поддержки, а также создание условий для роста как благосостояния, так и благополучия населения в целом. Реализация данной цели осуществляется в рамках Стратегии развития социальной сферы Томской области и государственной программы «Социальная поддержка населения Томской области».</w:t>
      </w:r>
    </w:p>
    <w:p w:rsidR="007E27CB" w:rsidRDefault="008F141F">
      <w:pPr>
        <w:spacing w:after="0" w:line="240" w:lineRule="auto"/>
        <w:ind w:firstLine="567"/>
        <w:jc w:val="both"/>
        <w:rPr>
          <w:sz w:val="24"/>
          <w:szCs w:val="24"/>
        </w:rPr>
      </w:pPr>
      <w:r>
        <w:rPr>
          <w:sz w:val="24"/>
          <w:szCs w:val="24"/>
        </w:rPr>
        <w:t>В 2019 году общая сумма расходов на меры социальной поддержки семей с детьми составила 2,3 млрд. рублей. Данные социальные выплаты получили более 375 тыс. жителей Томской области.</w:t>
      </w:r>
    </w:p>
    <w:p w:rsidR="007E27CB" w:rsidRDefault="008F141F">
      <w:pPr>
        <w:spacing w:after="0" w:line="240" w:lineRule="auto"/>
        <w:ind w:firstLine="567"/>
        <w:jc w:val="both"/>
        <w:rPr>
          <w:sz w:val="24"/>
          <w:szCs w:val="24"/>
        </w:rPr>
      </w:pPr>
      <w:r>
        <w:rPr>
          <w:sz w:val="24"/>
          <w:szCs w:val="24"/>
        </w:rPr>
        <w:t>В системе социальной защиты населения Томской области реализуются 70 различных мер социальной поддержки отдельных категорий граждан и социально значимые программы, в том числе:</w:t>
      </w:r>
    </w:p>
    <w:p w:rsidR="007E27CB" w:rsidRDefault="008F141F">
      <w:pPr>
        <w:pStyle w:val="a6"/>
        <w:numPr>
          <w:ilvl w:val="1"/>
          <w:numId w:val="59"/>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пособие малоимущим семьям с детьми (получили 29,8 тыс. семей на 52,5 тыс. детей);</w:t>
      </w:r>
    </w:p>
    <w:p w:rsidR="007E27CB" w:rsidRDefault="008F141F">
      <w:pPr>
        <w:pStyle w:val="a6"/>
        <w:numPr>
          <w:ilvl w:val="1"/>
          <w:numId w:val="59"/>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компенсация части платы за содержание ребенка (присмотр и уход за ребенком) в образовательных учреждениях дошкольного образования (получили 9,1 тыс. семей на 10,5 тыс. детей);</w:t>
      </w:r>
    </w:p>
    <w:p w:rsidR="007E27CB" w:rsidRDefault="008F141F">
      <w:pPr>
        <w:pStyle w:val="a6"/>
        <w:numPr>
          <w:ilvl w:val="1"/>
          <w:numId w:val="59"/>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ежемесячная денежная выплата нуждающимся в поддержке семьям на третьего или последующего ребенка до достижения ребенком трех лет (получили 6,4 тыс. чел. на 7,1 тыс. детей).</w:t>
      </w:r>
    </w:p>
    <w:p w:rsidR="007E27CB" w:rsidRDefault="008F141F">
      <w:pPr>
        <w:spacing w:after="0" w:line="240" w:lineRule="auto"/>
        <w:ind w:firstLine="567"/>
        <w:jc w:val="both"/>
        <w:rPr>
          <w:sz w:val="24"/>
          <w:szCs w:val="24"/>
        </w:rPr>
      </w:pPr>
      <w:r>
        <w:rPr>
          <w:sz w:val="24"/>
          <w:szCs w:val="24"/>
        </w:rPr>
        <w:t>Эффективность реализуемых мер социальной поддержки семей с детьми подтверждается ежегодным увеличением количества многодетных семей.</w:t>
      </w:r>
    </w:p>
    <w:p w:rsidR="007E27CB" w:rsidRDefault="008F141F">
      <w:pPr>
        <w:spacing w:after="0" w:line="240" w:lineRule="auto"/>
        <w:ind w:firstLine="567"/>
        <w:jc w:val="both"/>
        <w:rPr>
          <w:sz w:val="24"/>
          <w:szCs w:val="24"/>
        </w:rPr>
      </w:pPr>
      <w:r>
        <w:rPr>
          <w:sz w:val="24"/>
          <w:szCs w:val="24"/>
        </w:rPr>
        <w:t xml:space="preserve">В 2019 году ежемесячную денежную выплату в размере 11 573 рублей в случае рождения (усыновления) первого ребенка (при условии, что среднедушевой доход семьи не превышает 1,5-кратную величину прожиточного минимума) получили 4 128 семей на общую сумму 425 млн. рублей. </w:t>
      </w:r>
    </w:p>
    <w:p w:rsidR="007E27CB" w:rsidRDefault="008F141F">
      <w:pPr>
        <w:spacing w:after="0" w:line="240" w:lineRule="auto"/>
        <w:ind w:firstLine="567"/>
        <w:jc w:val="both"/>
        <w:rPr>
          <w:sz w:val="24"/>
          <w:szCs w:val="24"/>
        </w:rPr>
      </w:pPr>
      <w:r>
        <w:rPr>
          <w:sz w:val="24"/>
          <w:szCs w:val="24"/>
        </w:rPr>
        <w:t xml:space="preserve">В 2019 году выдано 1 648 сертификатов на региональный материнский (семейный) капитал при рождении третьего или четвертого ребенка в многодетной семье. 939 семей использовали право реализации средств регионального материнского (семейного) капитала на общую сумму 88,1 млн. рублей. Более 94% семей использовали средства регионального материнского капитала на улучшение жилищных условий (погашение ипотеки, приобретение (строительство) жилого помещения, реконструкция и капитальный ремонт жилья). </w:t>
      </w:r>
    </w:p>
    <w:p w:rsidR="007E27CB" w:rsidRDefault="008F141F">
      <w:pPr>
        <w:shd w:val="clear" w:color="auto" w:fill="FFFFFF" w:themeFill="background1"/>
        <w:spacing w:after="0" w:line="240" w:lineRule="auto"/>
        <w:ind w:firstLine="567"/>
        <w:jc w:val="both"/>
        <w:rPr>
          <w:sz w:val="24"/>
          <w:szCs w:val="24"/>
        </w:rPr>
      </w:pPr>
      <w:r>
        <w:rPr>
          <w:sz w:val="24"/>
          <w:szCs w:val="24"/>
        </w:rPr>
        <w:t>Доля социальных выплат, предоставляемых в Томской области с учетом критериев нуждаемости, в 2019 году составила 35,5%, в том числе из областного бюджета 34%.</w:t>
      </w:r>
    </w:p>
    <w:p w:rsidR="007E27CB" w:rsidRDefault="008F141F">
      <w:pPr>
        <w:pStyle w:val="a6"/>
        <w:shd w:val="clear" w:color="auto" w:fill="FFFFFF" w:themeFill="background1"/>
        <w:tabs>
          <w:tab w:val="left" w:pos="567"/>
        </w:tabs>
        <w:spacing w:after="0" w:line="240" w:lineRule="auto"/>
        <w:ind w:left="0" w:firstLine="567"/>
        <w:jc w:val="both"/>
        <w:rPr>
          <w:rFonts w:ascii="Times New Roman" w:hAnsi="Times New Roman"/>
          <w:sz w:val="24"/>
          <w:szCs w:val="24"/>
        </w:rPr>
      </w:pPr>
      <w:r>
        <w:rPr>
          <w:rFonts w:ascii="Times New Roman" w:hAnsi="Times New Roman"/>
          <w:sz w:val="24"/>
          <w:szCs w:val="24"/>
        </w:rPr>
        <w:t>В рамках национального проекта «Демография» на территории Томской области с 2019 года реализуется два региональных проекта – «Финансовая поддержка семей с детьми» и «Разработка и реализация программы системной поддержки и повышения качества жизни граждан старшего поколения (Томская область)».</w:t>
      </w:r>
    </w:p>
    <w:p w:rsidR="007E27CB" w:rsidRDefault="008F141F">
      <w:pPr>
        <w:pStyle w:val="a6"/>
        <w:shd w:val="clear" w:color="auto" w:fill="FFFFFF" w:themeFill="background1"/>
        <w:tabs>
          <w:tab w:val="left" w:pos="567"/>
        </w:tabs>
        <w:spacing w:after="0" w:line="240" w:lineRule="auto"/>
        <w:ind w:left="0" w:firstLine="567"/>
        <w:jc w:val="both"/>
        <w:rPr>
          <w:rFonts w:ascii="Times New Roman" w:hAnsi="Times New Roman"/>
          <w:sz w:val="24"/>
          <w:szCs w:val="24"/>
        </w:rPr>
      </w:pPr>
      <w:r>
        <w:rPr>
          <w:rFonts w:ascii="Times New Roman" w:hAnsi="Times New Roman"/>
          <w:sz w:val="24"/>
          <w:szCs w:val="24"/>
        </w:rPr>
        <w:t>В рамках реализации регионального проекта «Финансовая поддержка семей с детьми» осуществляются мероприятия по предоставлению ежемесячных выплат отдельным категориям граждан (в связи с рождением (усыновлением) первого ребенка; в случае рождения третьего ребенка или последующих детей до достижения ребенком возраста 3 лет).</w:t>
      </w:r>
    </w:p>
    <w:p w:rsidR="007E27CB" w:rsidRDefault="008F141F">
      <w:pPr>
        <w:pStyle w:val="a6"/>
        <w:shd w:val="clear" w:color="auto" w:fill="FFFFFF" w:themeFill="background1"/>
        <w:tabs>
          <w:tab w:val="left" w:pos="567"/>
        </w:tabs>
        <w:spacing w:after="0" w:line="240" w:lineRule="auto"/>
        <w:ind w:left="0" w:firstLine="567"/>
        <w:jc w:val="both"/>
        <w:rPr>
          <w:rFonts w:ascii="Times New Roman" w:hAnsi="Times New Roman"/>
          <w:sz w:val="24"/>
          <w:szCs w:val="24"/>
        </w:rPr>
      </w:pPr>
      <w:r>
        <w:rPr>
          <w:rFonts w:ascii="Times New Roman" w:hAnsi="Times New Roman"/>
          <w:sz w:val="24"/>
          <w:szCs w:val="24"/>
        </w:rPr>
        <w:t>Региональный проект «Разработка и реализация программы системной поддержки и повышения качества жизни граждан старшего поколения (Томская область)» направлен на увеличение ожидаемой продолжительности здоровой жизни в Томской области. В 2019 году наиболее значимым мероприятием стало начало строительства двух новых корпусов Итатского дома-интерната на 170 койко-мест, приобретение 23 единиц автотранспорта для осуществления доставки лиц старше 65 лет, проживающих в сельской местности, в медицинские организации.</w:t>
      </w:r>
    </w:p>
    <w:p w:rsidR="007E27CB" w:rsidRDefault="008F141F">
      <w:pPr>
        <w:pStyle w:val="a6"/>
        <w:shd w:val="clear" w:color="auto" w:fill="FFFFFF" w:themeFill="background1"/>
        <w:tabs>
          <w:tab w:val="left" w:pos="567"/>
        </w:tabs>
        <w:spacing w:after="0" w:line="240" w:lineRule="auto"/>
        <w:ind w:left="0" w:firstLine="567"/>
        <w:jc w:val="both"/>
        <w:rPr>
          <w:rFonts w:ascii="Times New Roman" w:hAnsi="Times New Roman"/>
          <w:sz w:val="24"/>
          <w:szCs w:val="24"/>
        </w:rPr>
      </w:pPr>
      <w:r>
        <w:rPr>
          <w:rFonts w:ascii="Times New Roman" w:hAnsi="Times New Roman"/>
          <w:sz w:val="24"/>
          <w:szCs w:val="24"/>
        </w:rPr>
        <w:t>В 2019 году общая сумма расходов на поддержку взрослого населения, в том числе представителей старшего поколения, составила 4,2 млрд. рублей, в том числе:</w:t>
      </w:r>
    </w:p>
    <w:p w:rsidR="007E27CB" w:rsidRDefault="008F141F">
      <w:pPr>
        <w:pStyle w:val="a6"/>
        <w:numPr>
          <w:ilvl w:val="0"/>
          <w:numId w:val="210"/>
        </w:numPr>
        <w:shd w:val="clear" w:color="auto" w:fill="FFFFFF" w:themeFill="background1"/>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ежемесячная денежная выплата ветеранам труда, ветеранам труда Томской области, труженикам тыла, реабилитированным (получают более 146 тыс. чел.);</w:t>
      </w:r>
    </w:p>
    <w:p w:rsidR="007E27CB" w:rsidRDefault="008F141F">
      <w:pPr>
        <w:pStyle w:val="a6"/>
        <w:numPr>
          <w:ilvl w:val="1"/>
          <w:numId w:val="60"/>
        </w:numPr>
        <w:shd w:val="clear" w:color="auto" w:fill="FFFFFF" w:themeFill="background1"/>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ежемесячная денежная выплата на оплату жилого помещения и коммунальных услуг отдельным категориям граждан (получают более 130 тыс. чел.);</w:t>
      </w:r>
    </w:p>
    <w:p w:rsidR="007E27CB" w:rsidRDefault="008F141F">
      <w:pPr>
        <w:pStyle w:val="a6"/>
        <w:numPr>
          <w:ilvl w:val="1"/>
          <w:numId w:val="60"/>
        </w:numPr>
        <w:shd w:val="clear" w:color="auto" w:fill="FFFFFF" w:themeFill="background1"/>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ежемесячная денежная выплата пенсионерам на оплату проезда на общественном транспорте (получают 96,4 тыс. чел.); </w:t>
      </w:r>
    </w:p>
    <w:p w:rsidR="007E27CB" w:rsidRDefault="008F141F">
      <w:pPr>
        <w:pStyle w:val="a6"/>
        <w:numPr>
          <w:ilvl w:val="1"/>
          <w:numId w:val="60"/>
        </w:numPr>
        <w:shd w:val="clear" w:color="auto" w:fill="FFFFFF" w:themeFill="background1"/>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субсидия на оплату жилого помещения и коммунальных услуг (получают более 44 тыс. семей). </w:t>
      </w:r>
    </w:p>
    <w:p w:rsidR="007E27CB" w:rsidRDefault="008F141F">
      <w:pPr>
        <w:spacing w:after="0" w:line="240" w:lineRule="auto"/>
        <w:ind w:firstLine="567"/>
        <w:jc w:val="both"/>
        <w:rPr>
          <w:sz w:val="24"/>
          <w:szCs w:val="24"/>
        </w:rPr>
      </w:pPr>
      <w:r>
        <w:rPr>
          <w:sz w:val="24"/>
          <w:szCs w:val="24"/>
        </w:rPr>
        <w:t xml:space="preserve">В целях реализации плана мероприятий по повышению эффективности и качества услуг в сфере социального обслуживания населения Томской области большое внимание уделяется развитию и внедрению в деятельность организаций социального обслуживания стационарозамещающих технологий социального обслуживания, целью которых является максимальное продление пребывания человека в привычной, благоприятной для него среде со своевременным предоставлением социальных и медицинских услуг, сопровождения, обучения и занятости. </w:t>
      </w:r>
    </w:p>
    <w:p w:rsidR="007E27CB" w:rsidRDefault="008F141F">
      <w:pPr>
        <w:spacing w:after="0" w:line="240" w:lineRule="auto"/>
        <w:ind w:firstLine="567"/>
        <w:jc w:val="both"/>
        <w:rPr>
          <w:sz w:val="24"/>
          <w:szCs w:val="24"/>
        </w:rPr>
      </w:pPr>
      <w:r>
        <w:rPr>
          <w:sz w:val="24"/>
          <w:szCs w:val="24"/>
        </w:rPr>
        <w:t>Форма социального обслуживания на дому по-прежнему остается приоритетной. Наблюдается тенденция к уменьшению числа граждан, направляемых на стационарное социальное обслуживание (в 2018 г. – 277 человек, в 2019 г. – 220 человек). На высоком уровне остается число граждан, получающих социальные услуги на дому (в 2018 г. – 4 962 человека, в 2019 г. – 4 961 человек).</w:t>
      </w:r>
    </w:p>
    <w:p w:rsidR="007E27CB" w:rsidRDefault="008F141F">
      <w:pPr>
        <w:spacing w:after="0" w:line="240" w:lineRule="auto"/>
        <w:ind w:firstLine="567"/>
        <w:jc w:val="both"/>
        <w:rPr>
          <w:sz w:val="24"/>
          <w:szCs w:val="24"/>
        </w:rPr>
      </w:pPr>
      <w:r>
        <w:rPr>
          <w:sz w:val="24"/>
          <w:szCs w:val="24"/>
        </w:rPr>
        <w:t>Продолжают развиваться следующие технологии социального обслуживания:</w:t>
      </w:r>
    </w:p>
    <w:p w:rsidR="007E27CB" w:rsidRDefault="008F141F">
      <w:pPr>
        <w:pStyle w:val="a6"/>
        <w:numPr>
          <w:ilvl w:val="1"/>
          <w:numId w:val="61"/>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19 семейных бригад предоставляют услуги 376 пенсионерам и инвалидам, проживающим в отдаленных населенных пунктах сельской местности. За 2019 год количество граждан, обслуженных семейными бригадами, увеличилось по сравнению с 2018 годом на 127 человек;</w:t>
      </w:r>
    </w:p>
    <w:p w:rsidR="007E27CB" w:rsidRDefault="008F141F">
      <w:pPr>
        <w:pStyle w:val="a6"/>
        <w:numPr>
          <w:ilvl w:val="1"/>
          <w:numId w:val="61"/>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21 мобильная бригада социальных работников в год обслуживает более 800 получателей социальных услуг;</w:t>
      </w:r>
    </w:p>
    <w:p w:rsidR="007E27CB" w:rsidRDefault="008F141F">
      <w:pPr>
        <w:pStyle w:val="a6"/>
        <w:numPr>
          <w:ilvl w:val="1"/>
          <w:numId w:val="61"/>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«Школы ухода за пожилыми гражданами и инвалидами» действуют во всех муниципальных образованиях Томской области. За 2019 год дополнительно открыто 10 «Школ ухода». Обучение прошли 989 граждан, из них 595 граждан, осуществляющих уход за своими тяжелобольными и пожилыми родственниками (в 2018 году в 21 «Школе ухода за пожилыми людьми и инвалидами» обучено 574 гражданина);</w:t>
      </w:r>
    </w:p>
    <w:p w:rsidR="007E27CB" w:rsidRDefault="008F141F">
      <w:pPr>
        <w:pStyle w:val="a6"/>
        <w:numPr>
          <w:ilvl w:val="1"/>
          <w:numId w:val="61"/>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услугами сиделки в 2019 году воспользовалось более 313 граждан, в том числе страдающих психическими расстройствами, данная услуга предоставляется в 10 муниципальных образованиях Томской области;</w:t>
      </w:r>
    </w:p>
    <w:p w:rsidR="007E27CB" w:rsidRDefault="008F141F">
      <w:pPr>
        <w:pStyle w:val="a6"/>
        <w:numPr>
          <w:ilvl w:val="1"/>
          <w:numId w:val="61"/>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36 человек в 2019 году воспользовались услугой дневного стационара на базе ОГАУ «Комплексный центр социального обслуживания населения Томской области» для граждан, чьи родственники в течение дня не имеют возможности обеспечить им должный уход и внимание;</w:t>
      </w:r>
    </w:p>
    <w:p w:rsidR="007E27CB" w:rsidRDefault="008F141F">
      <w:pPr>
        <w:pStyle w:val="a6"/>
        <w:numPr>
          <w:ilvl w:val="1"/>
          <w:numId w:val="61"/>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6 «приемных семей социального работника для пожилого человека или инвалида» организованы в 5 муниципальных образованиях Томской области, в них проживают 8 пожилых граждан.</w:t>
      </w:r>
    </w:p>
    <w:p w:rsidR="007E27CB" w:rsidRDefault="008F141F">
      <w:pPr>
        <w:pStyle w:val="a6"/>
        <w:tabs>
          <w:tab w:val="left" w:pos="567"/>
        </w:tabs>
        <w:spacing w:after="0" w:line="240" w:lineRule="auto"/>
        <w:ind w:left="0" w:firstLine="567"/>
        <w:jc w:val="both"/>
        <w:rPr>
          <w:rFonts w:ascii="Times New Roman" w:hAnsi="Times New Roman"/>
          <w:sz w:val="24"/>
          <w:szCs w:val="24"/>
        </w:rPr>
      </w:pPr>
      <w:r>
        <w:rPr>
          <w:rFonts w:ascii="Times New Roman" w:hAnsi="Times New Roman"/>
          <w:sz w:val="24"/>
          <w:szCs w:val="24"/>
        </w:rPr>
        <w:t>В комплексных центрах социального обслуживания населения организованы единые социальные диспетчерские службы, основной целью которых является экстренное реагирование на заявления об оказании в кратчайшие сроки социальных услуг гражданам, нуждающимся в них в силу возраста и состояния здоровья. За 2019 год данными службами принято 4 078 заявок на оказание различных услуг.</w:t>
      </w:r>
    </w:p>
    <w:p w:rsidR="007E27CB" w:rsidRDefault="008F141F">
      <w:pPr>
        <w:pStyle w:val="a6"/>
        <w:tabs>
          <w:tab w:val="left" w:pos="567"/>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По итогам 2019 года средняя заработная плата социальных работников, подпадающих под действие Указа Президента Российской Федерации от 07.05.2012 № 597 «О мероприятиях по реализации государственной социальной политики», составила 36 687 рублей. Соотношение к величине среднемесячного дохода от трудовой деятельности по Томской области составило 97,3%. </w:t>
      </w:r>
    </w:p>
    <w:p w:rsidR="007E27CB" w:rsidRDefault="007E27CB">
      <w:pPr>
        <w:pStyle w:val="a6"/>
        <w:spacing w:after="0" w:line="240" w:lineRule="auto"/>
        <w:ind w:left="0"/>
        <w:jc w:val="both"/>
        <w:rPr>
          <w:rFonts w:ascii="Times New Roman" w:hAnsi="Times New Roman"/>
          <w:b/>
          <w:sz w:val="24"/>
          <w:szCs w:val="24"/>
        </w:rPr>
      </w:pPr>
    </w:p>
    <w:p w:rsidR="007E27CB" w:rsidRDefault="007E27CB">
      <w:pPr>
        <w:pStyle w:val="a6"/>
        <w:spacing w:after="0" w:line="240" w:lineRule="auto"/>
        <w:ind w:left="0"/>
        <w:jc w:val="both"/>
        <w:rPr>
          <w:rFonts w:ascii="Times New Roman" w:hAnsi="Times New Roman"/>
          <w:b/>
          <w:sz w:val="24"/>
          <w:szCs w:val="24"/>
        </w:rPr>
      </w:pPr>
    </w:p>
    <w:p w:rsidR="007E27CB" w:rsidRDefault="008F141F">
      <w:pPr>
        <w:shd w:val="clear" w:color="auto" w:fill="F2F2F2" w:themeFill="background1" w:themeFillShade="F2"/>
        <w:tabs>
          <w:tab w:val="left" w:pos="4962"/>
        </w:tabs>
        <w:spacing w:after="0" w:line="240" w:lineRule="auto"/>
        <w:jc w:val="both"/>
        <w:rPr>
          <w:b/>
          <w:color w:val="000000" w:themeColor="text1"/>
          <w:sz w:val="24"/>
          <w:szCs w:val="24"/>
        </w:rPr>
      </w:pPr>
      <w:r>
        <w:rPr>
          <w:b/>
          <w:color w:val="000000" w:themeColor="text1"/>
          <w:sz w:val="24"/>
          <w:szCs w:val="24"/>
        </w:rPr>
        <w:t xml:space="preserve">Перспективные задачи </w:t>
      </w:r>
    </w:p>
    <w:p w:rsidR="007E27CB" w:rsidRDefault="007E27CB">
      <w:pPr>
        <w:pStyle w:val="a6"/>
        <w:tabs>
          <w:tab w:val="left" w:pos="284"/>
        </w:tabs>
        <w:spacing w:after="0" w:line="240" w:lineRule="auto"/>
        <w:ind w:left="0"/>
        <w:jc w:val="both"/>
        <w:rPr>
          <w:rFonts w:ascii="Times New Roman" w:hAnsi="Times New Roman"/>
          <w:b/>
          <w:sz w:val="24"/>
          <w:szCs w:val="24"/>
        </w:rPr>
      </w:pPr>
    </w:p>
    <w:p w:rsidR="007E27CB" w:rsidRDefault="008F141F">
      <w:pPr>
        <w:pStyle w:val="a6"/>
        <w:numPr>
          <w:ilvl w:val="0"/>
          <w:numId w:val="58"/>
        </w:numPr>
        <w:tabs>
          <w:tab w:val="left" w:pos="284"/>
        </w:tabs>
        <w:spacing w:line="240" w:lineRule="auto"/>
        <w:ind w:left="0" w:firstLine="0"/>
        <w:jc w:val="both"/>
        <w:rPr>
          <w:rFonts w:ascii="Times New Roman" w:hAnsi="Times New Roman"/>
          <w:strike/>
          <w:sz w:val="24"/>
          <w:szCs w:val="24"/>
        </w:rPr>
      </w:pPr>
      <w:r>
        <w:rPr>
          <w:rFonts w:ascii="Times New Roman" w:hAnsi="Times New Roman"/>
          <w:sz w:val="24"/>
          <w:szCs w:val="24"/>
        </w:rPr>
        <w:t xml:space="preserve">Проведение мероприятий по оказанию государственной социальной помощи на основании социального контракта в рамках участия в пилотном проекте по снижению уровня бедности в Томской области. </w:t>
      </w:r>
    </w:p>
    <w:p w:rsidR="007E27CB" w:rsidRDefault="008F141F">
      <w:pPr>
        <w:pStyle w:val="a6"/>
        <w:numPr>
          <w:ilvl w:val="0"/>
          <w:numId w:val="58"/>
        </w:numPr>
        <w:tabs>
          <w:tab w:val="left" w:pos="284"/>
        </w:tabs>
        <w:spacing w:line="240" w:lineRule="auto"/>
        <w:ind w:left="0" w:firstLine="0"/>
        <w:jc w:val="both"/>
        <w:rPr>
          <w:rFonts w:ascii="Times New Roman" w:hAnsi="Times New Roman"/>
          <w:sz w:val="24"/>
          <w:szCs w:val="24"/>
        </w:rPr>
      </w:pPr>
      <w:r>
        <w:rPr>
          <w:rFonts w:ascii="Times New Roman" w:hAnsi="Times New Roman"/>
          <w:sz w:val="24"/>
          <w:szCs w:val="24"/>
        </w:rPr>
        <w:t>Реализация региональных проектов «Финансовая поддержка семей при рождении детей» и «Разработка и реализация программы системной поддержки и повышения качества жизни граждан старшего поколения «Старшее поколение» в рамках национального проекта «Демография».</w:t>
      </w:r>
    </w:p>
    <w:p w:rsidR="007E27CB" w:rsidRDefault="008F141F">
      <w:pPr>
        <w:pStyle w:val="a6"/>
        <w:numPr>
          <w:ilvl w:val="0"/>
          <w:numId w:val="58"/>
        </w:numPr>
        <w:tabs>
          <w:tab w:val="left" w:pos="284"/>
        </w:tabs>
        <w:spacing w:line="240" w:lineRule="auto"/>
        <w:ind w:left="0" w:firstLine="0"/>
        <w:jc w:val="both"/>
        <w:rPr>
          <w:rFonts w:ascii="Times New Roman" w:hAnsi="Times New Roman"/>
          <w:sz w:val="24"/>
          <w:szCs w:val="24"/>
        </w:rPr>
      </w:pPr>
      <w:r>
        <w:rPr>
          <w:rFonts w:ascii="Times New Roman" w:hAnsi="Times New Roman"/>
          <w:sz w:val="24"/>
          <w:szCs w:val="24"/>
        </w:rPr>
        <w:t>Внедрение в деятельность учреждений социального обслуживания элементов системы долговременного ухода (отделений долговременного ухода).</w:t>
      </w:r>
    </w:p>
    <w:p w:rsidR="007E27CB" w:rsidRDefault="008F141F">
      <w:pPr>
        <w:pStyle w:val="a6"/>
        <w:numPr>
          <w:ilvl w:val="0"/>
          <w:numId w:val="58"/>
        </w:numPr>
        <w:tabs>
          <w:tab w:val="left" w:pos="284"/>
        </w:tabs>
        <w:spacing w:after="0" w:line="240" w:lineRule="auto"/>
        <w:ind w:left="0" w:firstLine="0"/>
        <w:jc w:val="both"/>
        <w:rPr>
          <w:rFonts w:ascii="Times New Roman" w:hAnsi="Times New Roman"/>
          <w:sz w:val="24"/>
          <w:szCs w:val="24"/>
        </w:rPr>
      </w:pPr>
      <w:r>
        <w:rPr>
          <w:rFonts w:ascii="Times New Roman" w:hAnsi="Times New Roman"/>
          <w:sz w:val="24"/>
          <w:szCs w:val="24"/>
        </w:rPr>
        <w:t>Проведение независимой системы оценки качества оказания услуг организациями социального обслуживания.</w:t>
      </w:r>
    </w:p>
    <w:p w:rsidR="007E27CB" w:rsidRDefault="007E27CB">
      <w:pPr>
        <w:tabs>
          <w:tab w:val="left" w:pos="0"/>
        </w:tabs>
        <w:spacing w:after="0" w:line="240" w:lineRule="auto"/>
        <w:ind w:firstLine="567"/>
        <w:jc w:val="both"/>
        <w:rPr>
          <w:b/>
          <w:sz w:val="24"/>
          <w:szCs w:val="24"/>
        </w:rPr>
      </w:pPr>
    </w:p>
    <w:p w:rsidR="007E27CB" w:rsidRDefault="008F141F">
      <w:pPr>
        <w:tabs>
          <w:tab w:val="left" w:pos="0"/>
        </w:tabs>
        <w:spacing w:after="0" w:line="240" w:lineRule="auto"/>
        <w:ind w:firstLine="567"/>
        <w:jc w:val="both"/>
        <w:rPr>
          <w:b/>
          <w:sz w:val="24"/>
          <w:szCs w:val="24"/>
        </w:rPr>
      </w:pPr>
      <w:r>
        <w:rPr>
          <w:b/>
          <w:sz w:val="24"/>
          <w:szCs w:val="24"/>
        </w:rPr>
        <w:t>СЕМЬЯ И ДЕТИ</w:t>
      </w:r>
      <w:r>
        <w:rPr>
          <w:rStyle w:val="af3"/>
          <w:b/>
          <w:sz w:val="24"/>
          <w:szCs w:val="24"/>
        </w:rPr>
        <w:footnoteReference w:id="20"/>
      </w:r>
    </w:p>
    <w:p w:rsidR="007E27CB" w:rsidRDefault="007E27CB">
      <w:pPr>
        <w:tabs>
          <w:tab w:val="left" w:pos="4962"/>
        </w:tabs>
        <w:spacing w:after="0" w:line="240" w:lineRule="auto"/>
        <w:ind w:firstLine="567"/>
        <w:jc w:val="both"/>
        <w:rPr>
          <w:sz w:val="24"/>
          <w:szCs w:val="24"/>
        </w:rPr>
      </w:pPr>
    </w:p>
    <w:p w:rsidR="007E27CB" w:rsidRDefault="008F141F">
      <w:pPr>
        <w:spacing w:after="0" w:line="240" w:lineRule="auto"/>
        <w:ind w:firstLine="567"/>
        <w:jc w:val="both"/>
        <w:rPr>
          <w:sz w:val="24"/>
          <w:szCs w:val="24"/>
        </w:rPr>
      </w:pPr>
      <w:r>
        <w:rPr>
          <w:sz w:val="24"/>
          <w:szCs w:val="24"/>
        </w:rPr>
        <w:t>Семья является основой крепкого государства в целом и региона в частности. Развитие института семьи и поддержка детей в Томской области осуществляются путем реализации мероприятий Десятилетия детства, объявленного с января 2018 года Указом Президента Российской Федерации.</w:t>
      </w:r>
    </w:p>
    <w:p w:rsidR="007E27CB" w:rsidRDefault="008F141F">
      <w:pPr>
        <w:spacing w:after="0" w:line="240" w:lineRule="auto"/>
        <w:ind w:firstLine="567"/>
        <w:jc w:val="both"/>
        <w:rPr>
          <w:sz w:val="24"/>
          <w:szCs w:val="24"/>
        </w:rPr>
      </w:pPr>
      <w:r>
        <w:rPr>
          <w:sz w:val="24"/>
          <w:szCs w:val="24"/>
        </w:rPr>
        <w:t xml:space="preserve">В Томской области действует План мероприятий на 2018 </w:t>
      </w:r>
      <w:r>
        <w:t>–</w:t>
      </w:r>
      <w:r>
        <w:rPr>
          <w:sz w:val="24"/>
          <w:szCs w:val="24"/>
        </w:rPr>
        <w:t xml:space="preserve"> 2020 годы, проводимый в рамках Десятилетия детства в Российской Федерации. По итогам реализации мероприятий Десятилетия детства Томская область стала одним из 12 лучших регионов страны, получивших благодарственные письма Министерства просвещения Российской Федерации за эффективную работу.</w:t>
      </w:r>
    </w:p>
    <w:p w:rsidR="007E27CB" w:rsidRDefault="008F141F">
      <w:pPr>
        <w:spacing w:after="0" w:line="240" w:lineRule="auto"/>
        <w:ind w:firstLine="567"/>
        <w:jc w:val="both"/>
        <w:rPr>
          <w:sz w:val="24"/>
          <w:szCs w:val="24"/>
        </w:rPr>
      </w:pPr>
      <w:r>
        <w:rPr>
          <w:sz w:val="24"/>
          <w:szCs w:val="24"/>
        </w:rPr>
        <w:t>В 2019 году были достигнуты следующие результаты:</w:t>
      </w:r>
    </w:p>
    <w:p w:rsidR="007E27CB" w:rsidRDefault="008F141F">
      <w:pPr>
        <w:pStyle w:val="a6"/>
        <w:numPr>
          <w:ilvl w:val="0"/>
          <w:numId w:val="63"/>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доля детей-сирот и детей, оставшихся без попечения родителей, от общей численности детского населения Томской области снизилась до 2,04 % (в 2018 году – 2,13%);</w:t>
      </w:r>
    </w:p>
    <w:p w:rsidR="007E27CB" w:rsidRDefault="008F141F">
      <w:pPr>
        <w:pStyle w:val="a6"/>
        <w:numPr>
          <w:ilvl w:val="0"/>
          <w:numId w:val="63"/>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доля детей-сирот и детей, оставшихся без попечения родителей, находящихся на воспитании в семьях, от общей численности детей-сирот и детей, оставшихся без попечения родителей, в Томской области увеличилась до 90,2%;</w:t>
      </w:r>
    </w:p>
    <w:p w:rsidR="007E27CB" w:rsidRDefault="008F141F">
      <w:pPr>
        <w:pStyle w:val="a6"/>
        <w:numPr>
          <w:ilvl w:val="0"/>
          <w:numId w:val="63"/>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доля безнадзорных и беспризорных детей от общей численности детского населения по-прежнему не превышает 1%;</w:t>
      </w:r>
    </w:p>
    <w:p w:rsidR="007E27CB" w:rsidRDefault="008F141F">
      <w:pPr>
        <w:pStyle w:val="a6"/>
        <w:numPr>
          <w:ilvl w:val="0"/>
          <w:numId w:val="63"/>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доля детей, охваченных организованными формами отдыха и оздоровления, в общей численности детей школьного возраста Томской области увеличилась и составила 58,24 % или 72 828 детей (в 2018 году – 58,03%  или 71 724 ребенка).</w:t>
      </w:r>
    </w:p>
    <w:p w:rsidR="007E27CB" w:rsidRDefault="008F141F">
      <w:pPr>
        <w:spacing w:after="0" w:line="240" w:lineRule="auto"/>
        <w:ind w:firstLine="567"/>
        <w:jc w:val="both"/>
        <w:rPr>
          <w:sz w:val="24"/>
          <w:szCs w:val="24"/>
        </w:rPr>
      </w:pPr>
      <w:r>
        <w:rPr>
          <w:sz w:val="24"/>
          <w:szCs w:val="24"/>
        </w:rPr>
        <w:t>В 2019 году была сохранена кровная семья для 1 694 детей (628 семей) благодаря разработанной и действующей в Томской области системе профилактики социального сиротства. Для каждого случая риска социального сиротства разрабатывается межведомственный план реабилитации семьи. В системе учувствует сама семья и все необходимые субъекты профилактики, благодаря чему выстраивается контакт семьи со специалистами. За 2019 год у специалистов-кураторов на обслуживании находились 1 549 семей, в которых воспитывается 3 405 детей.</w:t>
      </w:r>
    </w:p>
    <w:p w:rsidR="007E27CB" w:rsidRDefault="008F141F">
      <w:pPr>
        <w:spacing w:after="0" w:line="240" w:lineRule="auto"/>
        <w:ind w:firstLine="567"/>
        <w:jc w:val="both"/>
        <w:rPr>
          <w:sz w:val="24"/>
          <w:szCs w:val="24"/>
        </w:rPr>
      </w:pPr>
      <w:r>
        <w:rPr>
          <w:sz w:val="24"/>
          <w:szCs w:val="24"/>
        </w:rPr>
        <w:t>В апреле 2019 года в г.Томске проведено два крупных межрегиональных мероприятия, посвященных вопросам защиты прав и интересов детей:</w:t>
      </w:r>
    </w:p>
    <w:p w:rsidR="007E27CB" w:rsidRDefault="008F141F">
      <w:pPr>
        <w:pStyle w:val="a6"/>
        <w:numPr>
          <w:ilvl w:val="0"/>
          <w:numId w:val="64"/>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окружное совещание Министерства просвещения Российской Федерации, в котором приняли участие делегации всех регионов СФО;</w:t>
      </w:r>
    </w:p>
    <w:p w:rsidR="007E27CB" w:rsidRDefault="008F141F">
      <w:pPr>
        <w:pStyle w:val="a6"/>
        <w:numPr>
          <w:ilvl w:val="0"/>
          <w:numId w:val="64"/>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Межрегиональный семинар с участием представителей 20 регионов России. Опыт Томской области </w:t>
      </w:r>
      <w:r>
        <w:rPr>
          <w:rFonts w:ascii="Times New Roman" w:hAnsi="Times New Roman"/>
          <w:sz w:val="24"/>
          <w:szCs w:val="24"/>
          <w:shd w:val="clear" w:color="auto" w:fill="FFFFFF" w:themeFill="background1"/>
        </w:rPr>
        <w:t>в системе профилактики социального сиротства</w:t>
      </w:r>
      <w:r>
        <w:rPr>
          <w:rFonts w:ascii="Times New Roman" w:hAnsi="Times New Roman"/>
          <w:sz w:val="24"/>
          <w:szCs w:val="24"/>
        </w:rPr>
        <w:t xml:space="preserve"> получил высокую оценку экспертов.</w:t>
      </w:r>
    </w:p>
    <w:p w:rsidR="007E27CB" w:rsidRDefault="008F141F">
      <w:pPr>
        <w:pStyle w:val="a6"/>
        <w:spacing w:after="0" w:line="240" w:lineRule="auto"/>
        <w:ind w:left="0" w:firstLine="567"/>
        <w:jc w:val="both"/>
        <w:rPr>
          <w:rFonts w:ascii="Times New Roman" w:hAnsi="Times New Roman"/>
          <w:sz w:val="24"/>
          <w:szCs w:val="24"/>
        </w:rPr>
      </w:pPr>
      <w:r>
        <w:rPr>
          <w:rFonts w:ascii="Times New Roman" w:hAnsi="Times New Roman"/>
          <w:sz w:val="24"/>
          <w:szCs w:val="24"/>
        </w:rPr>
        <w:t>В 2019 году продолжена работа по семейному устройству детей, оставшихся без попечения родителей. В семьи усыновителей, опекунов (попечителей), приемных родителей устроено 638 детей (включая детей, возвращенных в кровную семью). Сократилось до 445 число детей-сирот, состоящих на учете в Государственном банке данных о детях, оставшихся без попечения родителей (на конец 2018 года – 472 ребенка).</w:t>
      </w:r>
    </w:p>
    <w:p w:rsidR="007E27CB" w:rsidRDefault="008F141F">
      <w:pPr>
        <w:pStyle w:val="a6"/>
        <w:spacing w:after="0" w:line="240" w:lineRule="auto"/>
        <w:ind w:left="0" w:firstLine="567"/>
        <w:jc w:val="both"/>
        <w:rPr>
          <w:rFonts w:ascii="Times New Roman" w:hAnsi="Times New Roman"/>
          <w:sz w:val="24"/>
          <w:szCs w:val="24"/>
        </w:rPr>
      </w:pPr>
      <w:r>
        <w:rPr>
          <w:rFonts w:ascii="Times New Roman" w:hAnsi="Times New Roman"/>
          <w:sz w:val="24"/>
          <w:szCs w:val="24"/>
        </w:rPr>
        <w:t>В 2019 году, как и в предыдущих 2017 и 2018 годах, Томская область исполнила поручение Президента Российской Федерации обеспечить проживание в семьях усыновителей, опекунов 90% детей-сирот от общей численности детей данной категории. В 2019 году доля детей, устроенных в семьи, составила 90,2%.</w:t>
      </w:r>
    </w:p>
    <w:p w:rsidR="007E27CB" w:rsidRDefault="008F141F">
      <w:pPr>
        <w:pStyle w:val="a6"/>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На территории Томской области действует 19 Школ приемных родителей, в которых в 2019 году прошли подготовку 333 кандидата (будущие усыновители, опекуны, приемные родители). Обучение в таких школах является обязательным требованием для приема в семью детей-сирот. В таких школах знакомят кандидатов с основными аспектами при приеме детей в семью (психологические, медицинские, юридические), кандидатам предоставляют всю необходимую информацию. </w:t>
      </w:r>
    </w:p>
    <w:p w:rsidR="007E27CB" w:rsidRDefault="008F141F">
      <w:pPr>
        <w:pStyle w:val="a6"/>
        <w:spacing w:after="0" w:line="240" w:lineRule="auto"/>
        <w:ind w:left="0" w:firstLine="567"/>
        <w:jc w:val="both"/>
        <w:rPr>
          <w:rFonts w:ascii="Times New Roman" w:hAnsi="Times New Roman"/>
          <w:sz w:val="24"/>
          <w:szCs w:val="24"/>
        </w:rPr>
      </w:pPr>
      <w:r>
        <w:rPr>
          <w:rFonts w:ascii="Times New Roman" w:hAnsi="Times New Roman"/>
          <w:sz w:val="24"/>
          <w:szCs w:val="24"/>
        </w:rPr>
        <w:t>Реализация данного мероприятия в отдаленных сельских территориях осуществляется мобильными бригадами специалистов. За 2019 год специалисты побывали в 168 населенных пунктах Томской области, где к ним обратилось 1 011 семей, воспитывающих 2 145 детей.</w:t>
      </w:r>
    </w:p>
    <w:p w:rsidR="007E27CB" w:rsidRDefault="008F141F">
      <w:pPr>
        <w:pStyle w:val="a6"/>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В рамках программы «Постинтернатное сопровождение и адаптация выпускников организаций для детей-сирот и детей, оставшихся без попечения родителей, Томской области «Наставник» на 2018 </w:t>
      </w:r>
      <w:r>
        <w:t xml:space="preserve">– </w:t>
      </w:r>
      <w:r>
        <w:rPr>
          <w:rFonts w:ascii="Times New Roman" w:hAnsi="Times New Roman"/>
          <w:sz w:val="24"/>
          <w:szCs w:val="24"/>
        </w:rPr>
        <w:t>2020 годы» развивается наставничество в центрах помощи детям, в том числе с привлечением СО НКО.</w:t>
      </w:r>
    </w:p>
    <w:p w:rsidR="007E27CB" w:rsidRDefault="008F141F">
      <w:pPr>
        <w:pStyle w:val="a6"/>
        <w:spacing w:after="0" w:line="240" w:lineRule="auto"/>
        <w:ind w:left="0" w:firstLine="567"/>
        <w:jc w:val="both"/>
        <w:rPr>
          <w:rFonts w:ascii="Times New Roman" w:hAnsi="Times New Roman"/>
          <w:sz w:val="24"/>
          <w:szCs w:val="24"/>
        </w:rPr>
      </w:pPr>
      <w:r>
        <w:rPr>
          <w:rFonts w:ascii="Times New Roman" w:hAnsi="Times New Roman"/>
          <w:sz w:val="24"/>
          <w:szCs w:val="24"/>
        </w:rPr>
        <w:t>В 2019 году жилыми помещениями обеспечено 226 лиц из числа детей-сирот и детей, оставшихся без попечения родителей, а всего органами местного самоуправления муниципальных образований Томской области приобретено 283 жилых помещения на общую сумму 318,7 млн. рублей.</w:t>
      </w:r>
    </w:p>
    <w:p w:rsidR="007E27CB" w:rsidRDefault="008F141F">
      <w:pPr>
        <w:pStyle w:val="a6"/>
        <w:spacing w:after="0" w:line="240" w:lineRule="auto"/>
        <w:ind w:left="0" w:firstLine="567"/>
        <w:jc w:val="both"/>
        <w:rPr>
          <w:rFonts w:ascii="Times New Roman" w:hAnsi="Times New Roman"/>
          <w:sz w:val="24"/>
          <w:szCs w:val="24"/>
        </w:rPr>
      </w:pPr>
      <w:r>
        <w:rPr>
          <w:rFonts w:ascii="Times New Roman" w:hAnsi="Times New Roman"/>
          <w:sz w:val="24"/>
          <w:szCs w:val="24"/>
        </w:rPr>
        <w:t>В 2019 году в целях улучшения жилищных условий одной семье, в которой было рождено одновременно 3 ребенка, выдано одно свидетельство на сумму 3,3 млн. рублей для приобретения квартиры.</w:t>
      </w:r>
    </w:p>
    <w:p w:rsidR="007E27CB" w:rsidRDefault="008F141F">
      <w:pPr>
        <w:pStyle w:val="a6"/>
        <w:spacing w:after="0" w:line="240" w:lineRule="auto"/>
        <w:ind w:left="0" w:firstLine="567"/>
        <w:jc w:val="both"/>
        <w:rPr>
          <w:rFonts w:ascii="Times New Roman" w:hAnsi="Times New Roman"/>
          <w:sz w:val="24"/>
          <w:szCs w:val="24"/>
        </w:rPr>
      </w:pPr>
      <w:r>
        <w:rPr>
          <w:rFonts w:ascii="Times New Roman" w:hAnsi="Times New Roman"/>
          <w:sz w:val="24"/>
          <w:szCs w:val="24"/>
        </w:rPr>
        <w:t>В 2019 году в рамках предоставляемых услуг «Ранняя помощь» и «Домашнее визирование» социальные услуги получили 60 детей-инвалидов в возрасте до 18 лет и 120 детей с ограниченными возможностями здоровья до 3 лет включительно. У всех детей, получивших социальные услуги, отмечается положительная динамика (улучшение коммуникативных навыков, взаимопонимания с родителями, повышение общего уровня развития ребенка и т.д.).</w:t>
      </w:r>
    </w:p>
    <w:p w:rsidR="007E27CB" w:rsidRDefault="008F141F">
      <w:pPr>
        <w:spacing w:after="0" w:line="240" w:lineRule="auto"/>
        <w:ind w:right="-94" w:firstLine="567"/>
        <w:jc w:val="both"/>
        <w:rPr>
          <w:rFonts w:eastAsia="Times New Roman"/>
          <w:sz w:val="24"/>
          <w:szCs w:val="24"/>
          <w:lang w:eastAsia="ru-RU"/>
        </w:rPr>
      </w:pPr>
      <w:r>
        <w:rPr>
          <w:sz w:val="24"/>
          <w:szCs w:val="24"/>
        </w:rPr>
        <w:t xml:space="preserve">В 2019 году в </w:t>
      </w:r>
      <w:r>
        <w:rPr>
          <w:rFonts w:eastAsia="Times New Roman"/>
          <w:sz w:val="24"/>
          <w:szCs w:val="24"/>
          <w:lang w:eastAsia="ru-RU"/>
        </w:rPr>
        <w:t xml:space="preserve">лагерях разных типов состоялось 320 профильных смен, в которых приняли участие более 18 тысяч детей. </w:t>
      </w:r>
    </w:p>
    <w:p w:rsidR="007E27CB" w:rsidRDefault="008F141F">
      <w:pPr>
        <w:pStyle w:val="a6"/>
        <w:spacing w:after="0" w:line="240" w:lineRule="auto"/>
        <w:ind w:left="0" w:right="-94"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По итогам 2019 года средняя заработная плата педагогических работников образовательных, медицинских организаций и организаций, оказывающих социальные услуги детям-сиротам и детям, оставшимся без попечения родителей, подпадающих под действие Указа Президента Российской Федерации от 07.05.2012 № 597 «О мероприятиях по реализации государственной социальной политики», составила 36</w:t>
      </w:r>
      <w:r>
        <w:rPr>
          <w:rFonts w:ascii="Times New Roman" w:hAnsi="Times New Roman"/>
          <w:sz w:val="24"/>
          <w:szCs w:val="24"/>
        </w:rPr>
        <w:t> </w:t>
      </w:r>
      <w:r>
        <w:rPr>
          <w:rFonts w:ascii="Times New Roman" w:eastAsia="Times New Roman" w:hAnsi="Times New Roman"/>
          <w:sz w:val="24"/>
          <w:szCs w:val="24"/>
          <w:lang w:eastAsia="ru-RU"/>
        </w:rPr>
        <w:t>613 рублей. Соотношение к среднемесячному доходу от трудовой деятельности по Томской области составило 97,1%.</w:t>
      </w:r>
    </w:p>
    <w:p w:rsidR="007E27CB" w:rsidRDefault="007E27CB">
      <w:pPr>
        <w:pStyle w:val="a6"/>
        <w:spacing w:after="0" w:line="240" w:lineRule="auto"/>
        <w:ind w:left="0" w:right="-94" w:firstLine="567"/>
        <w:jc w:val="both"/>
        <w:rPr>
          <w:rFonts w:ascii="Times New Roman" w:eastAsia="Times New Roman" w:hAnsi="Times New Roman"/>
          <w:sz w:val="24"/>
          <w:szCs w:val="24"/>
          <w:lang w:eastAsia="ru-RU"/>
        </w:rPr>
      </w:pPr>
    </w:p>
    <w:p w:rsidR="007E27CB" w:rsidRDefault="007E27CB">
      <w:pPr>
        <w:pStyle w:val="a6"/>
        <w:spacing w:after="0" w:line="240" w:lineRule="auto"/>
        <w:ind w:left="0" w:right="-94" w:firstLine="567"/>
        <w:jc w:val="both"/>
        <w:rPr>
          <w:rFonts w:ascii="Times New Roman" w:eastAsia="Times New Roman" w:hAnsi="Times New Roman"/>
          <w:sz w:val="24"/>
          <w:szCs w:val="24"/>
          <w:lang w:eastAsia="ru-RU"/>
        </w:rPr>
      </w:pPr>
    </w:p>
    <w:p w:rsidR="007E27CB" w:rsidRDefault="007E27CB">
      <w:pPr>
        <w:pStyle w:val="a6"/>
        <w:spacing w:after="0" w:line="240" w:lineRule="auto"/>
        <w:ind w:left="0" w:right="-94" w:firstLine="567"/>
        <w:jc w:val="both"/>
        <w:rPr>
          <w:rFonts w:ascii="Times New Roman" w:eastAsia="Times New Roman" w:hAnsi="Times New Roman"/>
          <w:sz w:val="24"/>
          <w:szCs w:val="24"/>
          <w:lang w:eastAsia="ru-RU"/>
        </w:rPr>
      </w:pPr>
    </w:p>
    <w:p w:rsidR="007E27CB" w:rsidRDefault="007E27CB">
      <w:pPr>
        <w:pStyle w:val="a6"/>
        <w:spacing w:after="0" w:line="240" w:lineRule="auto"/>
        <w:ind w:left="0" w:right="-94" w:firstLine="567"/>
        <w:jc w:val="both"/>
        <w:rPr>
          <w:rFonts w:ascii="Times New Roman" w:eastAsia="Times New Roman" w:hAnsi="Times New Roman"/>
          <w:sz w:val="24"/>
          <w:szCs w:val="24"/>
          <w:lang w:eastAsia="ru-RU"/>
        </w:rPr>
      </w:pPr>
    </w:p>
    <w:p w:rsidR="007E27CB" w:rsidRDefault="008F141F">
      <w:pPr>
        <w:shd w:val="clear" w:color="auto" w:fill="F2F2F2" w:themeFill="background1" w:themeFillShade="F2"/>
        <w:tabs>
          <w:tab w:val="left" w:pos="4962"/>
        </w:tabs>
        <w:spacing w:after="0" w:line="240" w:lineRule="auto"/>
        <w:jc w:val="both"/>
        <w:rPr>
          <w:b/>
          <w:color w:val="000000" w:themeColor="text1"/>
          <w:sz w:val="24"/>
          <w:szCs w:val="24"/>
        </w:rPr>
      </w:pPr>
      <w:r>
        <w:rPr>
          <w:b/>
          <w:color w:val="000000" w:themeColor="text1"/>
          <w:sz w:val="24"/>
          <w:szCs w:val="24"/>
        </w:rPr>
        <w:t>Перспективные задачи</w:t>
      </w:r>
    </w:p>
    <w:p w:rsidR="007E27CB" w:rsidRDefault="007E27CB">
      <w:pPr>
        <w:spacing w:after="0" w:line="240" w:lineRule="auto"/>
        <w:jc w:val="both"/>
        <w:rPr>
          <w:b/>
          <w:sz w:val="24"/>
          <w:szCs w:val="24"/>
        </w:rPr>
      </w:pPr>
    </w:p>
    <w:p w:rsidR="007E27CB" w:rsidRDefault="008F141F">
      <w:pPr>
        <w:pStyle w:val="a6"/>
        <w:numPr>
          <w:ilvl w:val="0"/>
          <w:numId w:val="62"/>
        </w:numPr>
        <w:tabs>
          <w:tab w:val="left" w:pos="284"/>
        </w:tabs>
        <w:spacing w:after="0" w:line="240" w:lineRule="auto"/>
        <w:ind w:left="0" w:firstLine="0"/>
        <w:jc w:val="both"/>
        <w:rPr>
          <w:rFonts w:ascii="Times New Roman" w:hAnsi="Times New Roman"/>
          <w:sz w:val="24"/>
          <w:szCs w:val="24"/>
        </w:rPr>
      </w:pPr>
      <w:r>
        <w:rPr>
          <w:rFonts w:ascii="Times New Roman" w:hAnsi="Times New Roman"/>
          <w:sz w:val="24"/>
          <w:szCs w:val="24"/>
        </w:rPr>
        <w:t>Повышение уровня семейного устройства детей-сирот и детей, оставшихся без попечения родителей, снижение количества возвратов приемных детей. В 2020 году основным направлением работы будет являться сохранение для ребенка кровной семьи.</w:t>
      </w:r>
    </w:p>
    <w:p w:rsidR="007E27CB" w:rsidRDefault="008F141F">
      <w:pPr>
        <w:pStyle w:val="a6"/>
        <w:numPr>
          <w:ilvl w:val="0"/>
          <w:numId w:val="62"/>
        </w:numPr>
        <w:tabs>
          <w:tab w:val="left" w:pos="284"/>
        </w:tabs>
        <w:spacing w:after="0" w:line="240" w:lineRule="auto"/>
        <w:ind w:left="0" w:firstLine="0"/>
        <w:jc w:val="both"/>
        <w:rPr>
          <w:rFonts w:ascii="Times New Roman" w:hAnsi="Times New Roman"/>
          <w:sz w:val="24"/>
          <w:szCs w:val="24"/>
        </w:rPr>
      </w:pPr>
      <w:r>
        <w:rPr>
          <w:rFonts w:ascii="Times New Roman" w:hAnsi="Times New Roman"/>
          <w:sz w:val="24"/>
          <w:szCs w:val="24"/>
        </w:rPr>
        <w:t>Усиление безопасности проживания детей-сирот и детей, оставшихся без попечения родителей, в семьях опекунов (попечителей), усиление мер по своевременному выявлению возникающих проблем в вышеуказанных семьях.</w:t>
      </w:r>
    </w:p>
    <w:p w:rsidR="007E27CB" w:rsidRDefault="008F141F">
      <w:pPr>
        <w:pStyle w:val="a6"/>
        <w:numPr>
          <w:ilvl w:val="0"/>
          <w:numId w:val="62"/>
        </w:numPr>
        <w:tabs>
          <w:tab w:val="left" w:pos="284"/>
        </w:tabs>
        <w:spacing w:after="0" w:line="240" w:lineRule="auto"/>
        <w:ind w:left="0" w:firstLine="0"/>
        <w:jc w:val="both"/>
        <w:rPr>
          <w:rFonts w:ascii="Times New Roman" w:hAnsi="Times New Roman"/>
          <w:sz w:val="24"/>
          <w:szCs w:val="24"/>
        </w:rPr>
      </w:pPr>
      <w:r>
        <w:rPr>
          <w:rFonts w:ascii="Times New Roman" w:hAnsi="Times New Roman"/>
          <w:sz w:val="24"/>
          <w:szCs w:val="24"/>
        </w:rPr>
        <w:t>Продолжение практики развития института наставничества в учреждениях, подведомственных Департаменту по вопросам семьи и детей Томской области, в том числе с привлечением СО НКО.</w:t>
      </w:r>
    </w:p>
    <w:p w:rsidR="007E27CB" w:rsidRDefault="008F141F">
      <w:pPr>
        <w:pStyle w:val="a6"/>
        <w:numPr>
          <w:ilvl w:val="0"/>
          <w:numId w:val="62"/>
        </w:numPr>
        <w:tabs>
          <w:tab w:val="left" w:pos="284"/>
        </w:tabs>
        <w:spacing w:after="0" w:line="240" w:lineRule="auto"/>
        <w:ind w:left="0" w:firstLine="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Дальнейшее расширение сети Центров социальной помощи семье и детям.</w:t>
      </w:r>
    </w:p>
    <w:p w:rsidR="007E27CB" w:rsidRDefault="008F141F">
      <w:pPr>
        <w:rPr>
          <w:rFonts w:eastAsia="Times New Roman"/>
          <w:sz w:val="24"/>
          <w:szCs w:val="24"/>
          <w:lang w:eastAsia="ru-RU"/>
        </w:rPr>
      </w:pPr>
      <w:r>
        <w:rPr>
          <w:rFonts w:eastAsia="Times New Roman"/>
          <w:sz w:val="24"/>
          <w:szCs w:val="24"/>
          <w:lang w:eastAsia="ru-RU"/>
        </w:rPr>
        <w:br w:type="page"/>
      </w:r>
    </w:p>
    <w:p w:rsidR="007E27CB" w:rsidRDefault="00987900">
      <w:pPr>
        <w:tabs>
          <w:tab w:val="left" w:pos="4962"/>
        </w:tabs>
        <w:spacing w:after="0" w:line="240" w:lineRule="auto"/>
        <w:rPr>
          <w:rFonts w:eastAsia="Times New Roman"/>
          <w:b/>
          <w:caps/>
          <w:sz w:val="24"/>
          <w:szCs w:val="24"/>
        </w:rPr>
      </w:pPr>
      <w:hyperlink r:id="rId22" w:history="1">
        <w:r w:rsidR="008F141F">
          <w:rPr>
            <w:rFonts w:eastAsia="Times New Roman"/>
            <w:b/>
            <w:caps/>
            <w:sz w:val="24"/>
            <w:szCs w:val="24"/>
          </w:rPr>
          <w:t>РАЗДЕЛ I</w:t>
        </w:r>
      </w:hyperlink>
      <w:r w:rsidR="008F141F">
        <w:rPr>
          <w:rFonts w:eastAsia="Times New Roman"/>
          <w:b/>
          <w:caps/>
          <w:sz w:val="24"/>
          <w:szCs w:val="24"/>
          <w:lang w:val="en-US"/>
        </w:rPr>
        <w:t>V</w:t>
      </w:r>
    </w:p>
    <w:p w:rsidR="007E27CB" w:rsidRDefault="008F141F">
      <w:pPr>
        <w:tabs>
          <w:tab w:val="left" w:pos="4962"/>
        </w:tabs>
        <w:spacing w:after="0" w:line="240" w:lineRule="auto"/>
        <w:rPr>
          <w:rFonts w:eastAsia="Times New Roman"/>
          <w:b/>
          <w:caps/>
          <w:sz w:val="24"/>
          <w:szCs w:val="24"/>
        </w:rPr>
      </w:pPr>
      <w:r>
        <w:rPr>
          <w:rFonts w:eastAsia="Times New Roman"/>
          <w:b/>
          <w:caps/>
          <w:sz w:val="24"/>
          <w:szCs w:val="24"/>
        </w:rPr>
        <w:t xml:space="preserve">Сбалансированное территориальное развитие за счет развития инфраструктуры </w:t>
      </w:r>
    </w:p>
    <w:p w:rsidR="007E27CB" w:rsidRDefault="007E27CB">
      <w:pPr>
        <w:tabs>
          <w:tab w:val="left" w:pos="4962"/>
        </w:tabs>
        <w:spacing w:after="0" w:line="240" w:lineRule="auto"/>
        <w:rPr>
          <w:rFonts w:eastAsia="Times New Roman"/>
          <w:b/>
          <w:sz w:val="24"/>
          <w:szCs w:val="24"/>
        </w:rPr>
      </w:pPr>
    </w:p>
    <w:p w:rsidR="007E27CB" w:rsidRDefault="008F141F">
      <w:pPr>
        <w:tabs>
          <w:tab w:val="left" w:pos="4962"/>
        </w:tabs>
        <w:spacing w:after="0" w:line="240" w:lineRule="auto"/>
        <w:ind w:left="567" w:hanging="567"/>
        <w:rPr>
          <w:rFonts w:eastAsia="Times New Roman"/>
          <w:b/>
          <w:sz w:val="24"/>
          <w:szCs w:val="24"/>
        </w:rPr>
      </w:pPr>
      <w:r>
        <w:rPr>
          <w:rFonts w:eastAsia="Times New Roman"/>
          <w:b/>
          <w:sz w:val="24"/>
          <w:szCs w:val="24"/>
        </w:rPr>
        <w:t xml:space="preserve">4.1. Содействие повышению эффективности транспортной системы </w:t>
      </w:r>
    </w:p>
    <w:p w:rsidR="007E27CB" w:rsidRDefault="007E27CB">
      <w:pPr>
        <w:tabs>
          <w:tab w:val="left" w:pos="4962"/>
        </w:tabs>
        <w:spacing w:after="0" w:line="240" w:lineRule="auto"/>
        <w:rPr>
          <w:rFonts w:eastAsia="Times New Roman"/>
          <w:color w:val="FF0000"/>
          <w:sz w:val="24"/>
          <w:szCs w:val="24"/>
        </w:rPr>
      </w:pPr>
    </w:p>
    <w:p w:rsidR="007E27CB" w:rsidRDefault="008F141F">
      <w:pPr>
        <w:spacing w:after="0" w:line="240" w:lineRule="auto"/>
        <w:ind w:firstLine="567"/>
        <w:jc w:val="both"/>
        <w:rPr>
          <w:b/>
          <w:sz w:val="24"/>
          <w:szCs w:val="24"/>
          <w:lang w:eastAsia="ru-RU"/>
        </w:rPr>
      </w:pPr>
      <w:r>
        <w:rPr>
          <w:b/>
          <w:sz w:val="24"/>
          <w:szCs w:val="24"/>
          <w:lang w:eastAsia="ru-RU"/>
        </w:rPr>
        <w:t>ДОРОЖНЫЙ КОМПЛЕКС</w:t>
      </w:r>
      <w:r>
        <w:rPr>
          <w:rStyle w:val="af3"/>
          <w:b/>
          <w:sz w:val="24"/>
          <w:szCs w:val="24"/>
          <w:lang w:eastAsia="ru-RU"/>
        </w:rPr>
        <w:footnoteReference w:id="21"/>
      </w:r>
    </w:p>
    <w:p w:rsidR="007E27CB" w:rsidRDefault="007E27CB">
      <w:pPr>
        <w:pStyle w:val="ConsPlusNormal"/>
        <w:tabs>
          <w:tab w:val="left" w:pos="4962"/>
        </w:tabs>
        <w:ind w:firstLine="567"/>
        <w:jc w:val="both"/>
        <w:rPr>
          <w:rFonts w:eastAsia="Times New Roman"/>
          <w:i/>
          <w:color w:val="FF0000"/>
          <w:sz w:val="24"/>
          <w:szCs w:val="24"/>
        </w:rPr>
      </w:pPr>
    </w:p>
    <w:p w:rsidR="007E27CB" w:rsidRDefault="008F141F">
      <w:pPr>
        <w:tabs>
          <w:tab w:val="left" w:pos="567"/>
        </w:tabs>
        <w:spacing w:after="0" w:line="240" w:lineRule="auto"/>
        <w:ind w:firstLine="567"/>
        <w:jc w:val="both"/>
        <w:rPr>
          <w:rFonts w:eastAsia="Calibri"/>
          <w:sz w:val="24"/>
          <w:szCs w:val="24"/>
        </w:rPr>
      </w:pPr>
      <w:r>
        <w:rPr>
          <w:color w:val="000000"/>
          <w:sz w:val="24"/>
          <w:szCs w:val="24"/>
          <w:lang w:eastAsia="ru-RU"/>
        </w:rPr>
        <w:t xml:space="preserve">Объем дорожного фонда в 2019 году сформирован в сумме  6 619,4 млн. рублей. </w:t>
      </w:r>
      <w:r>
        <w:rPr>
          <w:rFonts w:eastAsia="Calibri"/>
          <w:sz w:val="24"/>
          <w:szCs w:val="24"/>
        </w:rPr>
        <w:t xml:space="preserve">Основная часть расходов Дорожного фонда Томской области в 2019 году (33,6%) приходилась на реализацию мероприятия «Содержание, ремонт и капитальный ремонт автомобильных дорог общего пользования регионального или межмуниципального значения и сооружений на них», </w:t>
      </w:r>
      <w:r>
        <w:rPr>
          <w:color w:val="000000"/>
          <w:sz w:val="24"/>
          <w:szCs w:val="24"/>
          <w:lang w:eastAsia="ru-RU"/>
        </w:rPr>
        <w:t>в рамках которого отремонтировано  41,3 км автомобильных дорог регионального и межмуниципального значения и 5 мостов</w:t>
      </w:r>
      <w:r>
        <w:rPr>
          <w:rFonts w:eastAsia="Calibri"/>
          <w:sz w:val="24"/>
          <w:szCs w:val="24"/>
        </w:rPr>
        <w:t>:</w:t>
      </w:r>
    </w:p>
    <w:p w:rsidR="007E27CB" w:rsidRDefault="008F141F">
      <w:pPr>
        <w:pStyle w:val="a6"/>
        <w:numPr>
          <w:ilvl w:val="0"/>
          <w:numId w:val="204"/>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через р. Старица Оби на км 62 автомобильной дороги Томск </w:t>
      </w:r>
      <w:r>
        <w:t>–</w:t>
      </w:r>
      <w:r>
        <w:rPr>
          <w:rFonts w:ascii="Times New Roman" w:hAnsi="Times New Roman"/>
          <w:sz w:val="24"/>
          <w:szCs w:val="24"/>
        </w:rPr>
        <w:t xml:space="preserve"> Карагала </w:t>
      </w:r>
      <w:r>
        <w:t>–</w:t>
      </w:r>
      <w:r>
        <w:rPr>
          <w:rFonts w:ascii="Times New Roman" w:hAnsi="Times New Roman"/>
          <w:sz w:val="24"/>
          <w:szCs w:val="24"/>
        </w:rPr>
        <w:t xml:space="preserve"> Колпашево в Шегарском районе Томской области, протяженностью 200 п. м;</w:t>
      </w:r>
    </w:p>
    <w:p w:rsidR="007E27CB" w:rsidRDefault="008F141F">
      <w:pPr>
        <w:pStyle w:val="a6"/>
        <w:numPr>
          <w:ilvl w:val="0"/>
          <w:numId w:val="204"/>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через р. Китат на км 71 автодороги Томск </w:t>
      </w:r>
      <w:r>
        <w:t xml:space="preserve">– </w:t>
      </w:r>
      <w:r>
        <w:rPr>
          <w:rFonts w:ascii="Times New Roman" w:hAnsi="Times New Roman"/>
          <w:sz w:val="24"/>
          <w:szCs w:val="24"/>
        </w:rPr>
        <w:t>Мариинск в Томском районе, работы выполнены частично, окончание работ в 2020 году;</w:t>
      </w:r>
    </w:p>
    <w:p w:rsidR="007E27CB" w:rsidRDefault="008F141F">
      <w:pPr>
        <w:pStyle w:val="a6"/>
        <w:numPr>
          <w:ilvl w:val="0"/>
          <w:numId w:val="204"/>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через р. Кинда на км 102+083 на автомобильной дороге Мельниково </w:t>
      </w:r>
      <w:r>
        <w:t>–</w:t>
      </w:r>
      <w:r>
        <w:rPr>
          <w:rFonts w:ascii="Times New Roman" w:hAnsi="Times New Roman"/>
          <w:sz w:val="24"/>
          <w:szCs w:val="24"/>
        </w:rPr>
        <w:t xml:space="preserve">Кожевниково </w:t>
      </w:r>
      <w:r>
        <w:t xml:space="preserve">– </w:t>
      </w:r>
      <w:r>
        <w:rPr>
          <w:rFonts w:ascii="Times New Roman" w:hAnsi="Times New Roman"/>
          <w:sz w:val="24"/>
          <w:szCs w:val="24"/>
        </w:rPr>
        <w:t>Изовка в Кожевниковском районе Томской области, протяженностью 53 п. м;</w:t>
      </w:r>
    </w:p>
    <w:p w:rsidR="007E27CB" w:rsidRDefault="008F141F">
      <w:pPr>
        <w:pStyle w:val="a6"/>
        <w:numPr>
          <w:ilvl w:val="0"/>
          <w:numId w:val="204"/>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через р. Берегай на автомобильной дороге Берегаевский сверток </w:t>
      </w:r>
      <w:r>
        <w:t xml:space="preserve">– </w:t>
      </w:r>
      <w:r>
        <w:rPr>
          <w:rFonts w:ascii="Times New Roman" w:hAnsi="Times New Roman"/>
          <w:sz w:val="24"/>
          <w:szCs w:val="24"/>
        </w:rPr>
        <w:t>Красная горка с подъездом к переправе км 11+700 в Тегульдетском районе Томской области, протяженностью 12 п. м;</w:t>
      </w:r>
    </w:p>
    <w:p w:rsidR="007E27CB" w:rsidRDefault="008F141F">
      <w:pPr>
        <w:pStyle w:val="a6"/>
        <w:numPr>
          <w:ilvl w:val="0"/>
          <w:numId w:val="204"/>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через р. Тюзинка на автомобильной дороге Тегульдет </w:t>
      </w:r>
      <w:r>
        <w:t xml:space="preserve">– </w:t>
      </w:r>
      <w:r>
        <w:rPr>
          <w:rFonts w:ascii="Times New Roman" w:hAnsi="Times New Roman"/>
          <w:sz w:val="24"/>
          <w:szCs w:val="24"/>
        </w:rPr>
        <w:t>Белый Яр с подъездом к переправе км 33+850 в Тегульдетском районе Томской области, протяженностью 12 п. м</w:t>
      </w:r>
    </w:p>
    <w:p w:rsidR="007E27CB" w:rsidRDefault="008F141F">
      <w:pPr>
        <w:tabs>
          <w:tab w:val="left" w:pos="567"/>
        </w:tabs>
        <w:spacing w:after="0" w:line="240" w:lineRule="auto"/>
        <w:ind w:firstLine="567"/>
        <w:jc w:val="both"/>
        <w:rPr>
          <w:sz w:val="24"/>
          <w:szCs w:val="24"/>
        </w:rPr>
      </w:pPr>
      <w:r>
        <w:rPr>
          <w:sz w:val="24"/>
          <w:szCs w:val="24"/>
        </w:rPr>
        <w:t>В рамках регионального проекта «Дорожная сеть» национального проекта «Безопасные и качественные автомобильные дороги» отремонтировано 23 участка улично-дорожной сети протяженностью 138,17 км.</w:t>
      </w:r>
    </w:p>
    <w:p w:rsidR="007E27CB" w:rsidRDefault="008F141F">
      <w:pPr>
        <w:tabs>
          <w:tab w:val="left" w:pos="567"/>
        </w:tabs>
        <w:spacing w:after="0" w:line="240" w:lineRule="auto"/>
        <w:ind w:firstLine="567"/>
        <w:jc w:val="both"/>
        <w:rPr>
          <w:sz w:val="24"/>
          <w:szCs w:val="24"/>
        </w:rPr>
      </w:pPr>
      <w:r>
        <w:rPr>
          <w:sz w:val="24"/>
          <w:szCs w:val="24"/>
        </w:rPr>
        <w:t>Прирост протяженности автомобильных дорог регионального значения, соответствующих нормативным требованиям к транспортно-эксплуатационным показателям, составил 49,6 км или 1,2% (с 23,8% до 25,0%).</w:t>
      </w:r>
    </w:p>
    <w:p w:rsidR="007E27CB" w:rsidRDefault="008F141F">
      <w:pPr>
        <w:tabs>
          <w:tab w:val="left" w:pos="567"/>
        </w:tabs>
        <w:spacing w:after="0" w:line="240" w:lineRule="auto"/>
        <w:ind w:firstLine="567"/>
        <w:jc w:val="both"/>
        <w:rPr>
          <w:rFonts w:eastAsia="Calibri"/>
          <w:sz w:val="24"/>
          <w:szCs w:val="24"/>
        </w:rPr>
      </w:pPr>
      <w:r>
        <w:rPr>
          <w:sz w:val="24"/>
          <w:szCs w:val="24"/>
        </w:rPr>
        <w:t xml:space="preserve">В рамках реализации мероприятия «Капитальный ремонт и (или) ремонт автомобильных дорог общего пользования местного значения Томской области» государственной программы «Развитие транспортной системы в Томской области» муниципальным образованиям была предоставлена субсидия в размере 538 405,3 тыс. рублей. В 70 сельских населенных пунктах осуществлен капитальный ремонт и ремонт автомобильных дорог общего пользования, отремонтировано 99,36 км </w:t>
      </w:r>
      <w:r>
        <w:rPr>
          <w:rFonts w:eastAsia="Calibri"/>
          <w:sz w:val="24"/>
          <w:szCs w:val="24"/>
        </w:rPr>
        <w:t>автомобильных дорог общего пользования местного значения, 5,44 км пешеходных дорожек, 84 шт. пешеходных переходов было приведено в нормативное состояние.</w:t>
      </w:r>
    </w:p>
    <w:p w:rsidR="007E27CB" w:rsidRDefault="008F141F">
      <w:pPr>
        <w:tabs>
          <w:tab w:val="left" w:pos="567"/>
        </w:tabs>
        <w:spacing w:after="0" w:line="240" w:lineRule="auto"/>
        <w:ind w:firstLine="567"/>
        <w:jc w:val="both"/>
        <w:rPr>
          <w:sz w:val="24"/>
          <w:szCs w:val="24"/>
        </w:rPr>
      </w:pPr>
      <w:r>
        <w:rPr>
          <w:sz w:val="24"/>
          <w:szCs w:val="24"/>
        </w:rPr>
        <w:t>В 2019 году завершен первый этап строительства подъезда к терминалу аэропорта    г. Томска с размещением 132 парковочных мест.</w:t>
      </w:r>
    </w:p>
    <w:p w:rsidR="007E27CB" w:rsidRDefault="008F141F">
      <w:pPr>
        <w:tabs>
          <w:tab w:val="left" w:pos="567"/>
        </w:tabs>
        <w:spacing w:after="0" w:line="240" w:lineRule="auto"/>
        <w:ind w:firstLine="567"/>
        <w:jc w:val="both"/>
        <w:rPr>
          <w:sz w:val="24"/>
          <w:szCs w:val="24"/>
        </w:rPr>
      </w:pPr>
      <w:r>
        <w:rPr>
          <w:sz w:val="24"/>
          <w:szCs w:val="24"/>
        </w:rPr>
        <w:t xml:space="preserve">Завершилась реализация </w:t>
      </w:r>
      <w:r>
        <w:rPr>
          <w:sz w:val="24"/>
          <w:szCs w:val="24"/>
          <w:lang w:val="en-US"/>
        </w:rPr>
        <w:t>IV</w:t>
      </w:r>
      <w:r>
        <w:rPr>
          <w:sz w:val="24"/>
          <w:szCs w:val="24"/>
        </w:rPr>
        <w:t xml:space="preserve"> этапа строительства транспортной развязки с                ж/д Тайга – Томск на 76 км. Степень готовности объекта по итогам 2019 года составила 58,6%.</w:t>
      </w:r>
    </w:p>
    <w:p w:rsidR="007E27CB" w:rsidRDefault="008F141F">
      <w:pPr>
        <w:tabs>
          <w:tab w:val="left" w:pos="567"/>
        </w:tabs>
        <w:spacing w:after="0" w:line="240" w:lineRule="auto"/>
        <w:ind w:firstLine="567"/>
        <w:jc w:val="both"/>
        <w:rPr>
          <w:sz w:val="24"/>
          <w:szCs w:val="24"/>
        </w:rPr>
      </w:pPr>
      <w:r>
        <w:rPr>
          <w:sz w:val="24"/>
          <w:szCs w:val="24"/>
        </w:rPr>
        <w:t xml:space="preserve">Началась реализация </w:t>
      </w:r>
      <w:r>
        <w:rPr>
          <w:sz w:val="24"/>
          <w:szCs w:val="24"/>
          <w:lang w:val="en-US"/>
        </w:rPr>
        <w:t>I</w:t>
      </w:r>
      <w:r>
        <w:rPr>
          <w:sz w:val="24"/>
          <w:szCs w:val="24"/>
        </w:rPr>
        <w:t xml:space="preserve"> этапа реконструкции автомобильной дороги Могильный   Мыс </w:t>
      </w:r>
      <w:r>
        <w:t>–</w:t>
      </w:r>
      <w:r>
        <w:rPr>
          <w:sz w:val="24"/>
          <w:szCs w:val="24"/>
        </w:rPr>
        <w:t xml:space="preserve"> Парабель </w:t>
      </w:r>
      <w:r>
        <w:t>–</w:t>
      </w:r>
      <w:r>
        <w:rPr>
          <w:sz w:val="24"/>
          <w:szCs w:val="24"/>
        </w:rPr>
        <w:t xml:space="preserve"> Каргасок на участке км 30 </w:t>
      </w:r>
      <w:r>
        <w:t>–</w:t>
      </w:r>
      <w:r>
        <w:rPr>
          <w:sz w:val="24"/>
          <w:szCs w:val="24"/>
        </w:rPr>
        <w:t xml:space="preserve"> км 45 в Колпашевском районе Томской области. Степень готовности объекта по итогам 2019 года составила 12%.</w:t>
      </w:r>
    </w:p>
    <w:p w:rsidR="007E27CB" w:rsidRDefault="008F141F">
      <w:pPr>
        <w:tabs>
          <w:tab w:val="left" w:pos="993"/>
        </w:tabs>
        <w:spacing w:after="0" w:line="240" w:lineRule="auto"/>
        <w:ind w:firstLine="567"/>
        <w:jc w:val="both"/>
        <w:rPr>
          <w:sz w:val="24"/>
          <w:szCs w:val="24"/>
        </w:rPr>
      </w:pPr>
      <w:r>
        <w:rPr>
          <w:sz w:val="24"/>
          <w:szCs w:val="24"/>
        </w:rPr>
        <w:t xml:space="preserve">Завершено строительство линий электроосвещения на автомобильных дорогах общего пользования в Томской области. Автомобильная дорога подъезд к с. Зоркальцево на участке км 2+525 </w:t>
      </w:r>
      <w:r>
        <w:t>–</w:t>
      </w:r>
      <w:r>
        <w:rPr>
          <w:sz w:val="24"/>
          <w:szCs w:val="24"/>
        </w:rPr>
        <w:t xml:space="preserve"> км 5+205 (с. Зоркальцево) в Томском районе и автомобильная дорога Томск </w:t>
      </w:r>
      <w:r>
        <w:t>–</w:t>
      </w:r>
      <w:r>
        <w:rPr>
          <w:sz w:val="24"/>
          <w:szCs w:val="24"/>
        </w:rPr>
        <w:t xml:space="preserve"> Предтеченск на участках км 2+800 </w:t>
      </w:r>
      <w:r>
        <w:t>–</w:t>
      </w:r>
      <w:r>
        <w:rPr>
          <w:sz w:val="24"/>
          <w:szCs w:val="24"/>
        </w:rPr>
        <w:t xml:space="preserve"> км 5+557 (участок дороги, проходящий по п. Зональный, п. Предтеченск) в Томском районе.</w:t>
      </w:r>
    </w:p>
    <w:p w:rsidR="007E27CB" w:rsidRDefault="008F141F">
      <w:pPr>
        <w:tabs>
          <w:tab w:val="left" w:pos="993"/>
        </w:tabs>
        <w:spacing w:after="0" w:line="240" w:lineRule="auto"/>
        <w:ind w:firstLine="567"/>
        <w:jc w:val="both"/>
        <w:rPr>
          <w:sz w:val="24"/>
          <w:szCs w:val="24"/>
        </w:rPr>
      </w:pPr>
      <w:r>
        <w:rPr>
          <w:sz w:val="24"/>
          <w:szCs w:val="24"/>
        </w:rPr>
        <w:t>Выполнены работы по инженерным изысканиям и разработке проектной и рабочей документации:</w:t>
      </w:r>
    </w:p>
    <w:p w:rsidR="007E27CB" w:rsidRDefault="008F141F">
      <w:pPr>
        <w:tabs>
          <w:tab w:val="left" w:pos="993"/>
        </w:tabs>
        <w:spacing w:after="0" w:line="240" w:lineRule="auto"/>
        <w:ind w:firstLine="567"/>
        <w:jc w:val="both"/>
        <w:rPr>
          <w:sz w:val="24"/>
          <w:szCs w:val="24"/>
        </w:rPr>
      </w:pPr>
      <w:r>
        <w:rPr>
          <w:sz w:val="24"/>
          <w:szCs w:val="24"/>
        </w:rPr>
        <w:t xml:space="preserve">- на реконструкцию автомобильной дороги Могильный Мыс </w:t>
      </w:r>
      <w:r>
        <w:t>–</w:t>
      </w:r>
      <w:r>
        <w:rPr>
          <w:sz w:val="24"/>
          <w:szCs w:val="24"/>
        </w:rPr>
        <w:t xml:space="preserve"> Парабель </w:t>
      </w:r>
      <w:r>
        <w:t>–</w:t>
      </w:r>
      <w:r>
        <w:rPr>
          <w:sz w:val="24"/>
          <w:szCs w:val="24"/>
        </w:rPr>
        <w:t xml:space="preserve"> Каргасок на участке км 30 </w:t>
      </w:r>
      <w:r>
        <w:t>–</w:t>
      </w:r>
      <w:r>
        <w:rPr>
          <w:sz w:val="24"/>
          <w:szCs w:val="24"/>
        </w:rPr>
        <w:t xml:space="preserve"> км 45 в Колпашевском районе Томской области;</w:t>
      </w:r>
    </w:p>
    <w:p w:rsidR="007E27CB" w:rsidRDefault="008F141F">
      <w:pPr>
        <w:pStyle w:val="a6"/>
        <w:numPr>
          <w:ilvl w:val="2"/>
          <w:numId w:val="108"/>
        </w:numPr>
        <w:tabs>
          <w:tab w:val="left" w:pos="993"/>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на строительство линии электроосвещения на автомобильной дороге общего пользования Тунгусово </w:t>
      </w:r>
      <w:r>
        <w:t>–</w:t>
      </w:r>
      <w:r>
        <w:rPr>
          <w:rFonts w:ascii="Times New Roman" w:hAnsi="Times New Roman"/>
          <w:sz w:val="24"/>
          <w:szCs w:val="24"/>
        </w:rPr>
        <w:t xml:space="preserve"> Могочино </w:t>
      </w:r>
      <w:r>
        <w:t>–</w:t>
      </w:r>
      <w:r>
        <w:rPr>
          <w:rFonts w:ascii="Times New Roman" w:hAnsi="Times New Roman"/>
          <w:sz w:val="24"/>
          <w:szCs w:val="24"/>
        </w:rPr>
        <w:t xml:space="preserve"> Суйга на участке км 10+476 </w:t>
      </w:r>
      <w:r>
        <w:t>–</w:t>
      </w:r>
      <w:r>
        <w:rPr>
          <w:rFonts w:ascii="Times New Roman" w:hAnsi="Times New Roman"/>
          <w:sz w:val="24"/>
          <w:szCs w:val="24"/>
        </w:rPr>
        <w:t xml:space="preserve"> км 14+009                 (с. Могочино) в Молчановском районе Томской области;</w:t>
      </w:r>
    </w:p>
    <w:p w:rsidR="007E27CB" w:rsidRDefault="008F141F">
      <w:pPr>
        <w:pStyle w:val="a6"/>
        <w:numPr>
          <w:ilvl w:val="2"/>
          <w:numId w:val="108"/>
        </w:numPr>
        <w:tabs>
          <w:tab w:val="left" w:pos="993"/>
        </w:tabs>
        <w:spacing w:after="0" w:line="240" w:lineRule="auto"/>
        <w:ind w:left="0" w:firstLine="567"/>
        <w:jc w:val="both"/>
        <w:rPr>
          <w:rFonts w:ascii="Times New Roman" w:hAnsi="Times New Roman"/>
          <w:sz w:val="24"/>
          <w:szCs w:val="24"/>
        </w:rPr>
      </w:pPr>
      <w:r>
        <w:rPr>
          <w:rFonts w:ascii="Times New Roman" w:hAnsi="Times New Roman"/>
          <w:sz w:val="24"/>
          <w:szCs w:val="24"/>
        </w:rPr>
        <w:t>на реконструкцию автомобильной дороги Стрежевой – Нижневартовск примыкание к Самотлорскому кольцу на участке км 0 – км 12 в Александровском районе Томской области;</w:t>
      </w:r>
    </w:p>
    <w:p w:rsidR="007E27CB" w:rsidRDefault="008F141F">
      <w:pPr>
        <w:pStyle w:val="a6"/>
        <w:numPr>
          <w:ilvl w:val="2"/>
          <w:numId w:val="108"/>
        </w:numPr>
        <w:tabs>
          <w:tab w:val="left" w:pos="993"/>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на строительство мостового перехода через р. Яя на автомобильной дороге Большедорохово </w:t>
      </w:r>
      <w:r>
        <w:t>–</w:t>
      </w:r>
      <w:r>
        <w:rPr>
          <w:rFonts w:ascii="Times New Roman" w:hAnsi="Times New Roman"/>
          <w:sz w:val="24"/>
          <w:szCs w:val="24"/>
        </w:rPr>
        <w:t xml:space="preserve"> Тегульдет в Зырянском районе Томской области;</w:t>
      </w:r>
    </w:p>
    <w:p w:rsidR="007E27CB" w:rsidRDefault="008F141F">
      <w:pPr>
        <w:tabs>
          <w:tab w:val="left" w:pos="567"/>
        </w:tabs>
        <w:spacing w:after="0" w:line="240" w:lineRule="auto"/>
        <w:ind w:firstLine="567"/>
        <w:jc w:val="both"/>
        <w:rPr>
          <w:rFonts w:eastAsia="Calibri"/>
          <w:sz w:val="24"/>
          <w:szCs w:val="24"/>
        </w:rPr>
      </w:pPr>
      <w:r>
        <w:rPr>
          <w:sz w:val="24"/>
          <w:szCs w:val="24"/>
        </w:rPr>
        <w:t>В 2019 году за счет средств областного бюджета предоставлен межбюджетный трансферт бюджету Ханты-Мансийского автономного округа в размере 180,4 млн. рублей по оплате второго этапа строительства мостового перехода через реку Вах на автомобильной дороге Нижневартовск – Стрежевой.</w:t>
      </w:r>
    </w:p>
    <w:p w:rsidR="007E27CB" w:rsidRDefault="007E27CB">
      <w:pPr>
        <w:spacing w:after="0" w:line="240" w:lineRule="auto"/>
        <w:ind w:firstLine="567"/>
        <w:jc w:val="both"/>
        <w:rPr>
          <w:b/>
          <w:bCs/>
          <w:color w:val="000000"/>
          <w:sz w:val="24"/>
          <w:szCs w:val="24"/>
        </w:rPr>
      </w:pPr>
    </w:p>
    <w:p w:rsidR="007E27CB" w:rsidRDefault="008F141F">
      <w:pPr>
        <w:spacing w:after="0" w:line="240" w:lineRule="auto"/>
        <w:ind w:firstLine="567"/>
        <w:jc w:val="both"/>
        <w:rPr>
          <w:b/>
          <w:bCs/>
          <w:color w:val="000000"/>
          <w:sz w:val="24"/>
          <w:szCs w:val="24"/>
        </w:rPr>
      </w:pPr>
      <w:r>
        <w:rPr>
          <w:b/>
          <w:bCs/>
          <w:color w:val="000000"/>
          <w:sz w:val="24"/>
          <w:szCs w:val="24"/>
        </w:rPr>
        <w:t>ПАССАЖИРСКИЕ ПЕРЕВОЗКИ</w:t>
      </w:r>
    </w:p>
    <w:p w:rsidR="007E27CB" w:rsidRDefault="007E27CB">
      <w:pPr>
        <w:spacing w:after="0" w:line="240" w:lineRule="auto"/>
        <w:ind w:firstLine="567"/>
        <w:jc w:val="both"/>
        <w:rPr>
          <w:b/>
          <w:bCs/>
          <w:color w:val="000000"/>
          <w:sz w:val="24"/>
          <w:szCs w:val="24"/>
        </w:rPr>
      </w:pPr>
    </w:p>
    <w:p w:rsidR="007E27CB" w:rsidRDefault="008F141F">
      <w:pPr>
        <w:spacing w:after="0" w:line="240" w:lineRule="auto"/>
        <w:ind w:firstLine="567"/>
        <w:jc w:val="both"/>
        <w:rPr>
          <w:sz w:val="24"/>
          <w:szCs w:val="24"/>
        </w:rPr>
      </w:pPr>
      <w:r>
        <w:rPr>
          <w:i/>
          <w:iCs/>
          <w:color w:val="000000"/>
          <w:sz w:val="24"/>
          <w:szCs w:val="24"/>
        </w:rPr>
        <w:t>В СФЕРЕ ПАССАЖИРСКИХ ПЕРЕВОЗОК АВИАЦИОННЫМ ТРАНСПОРТОМ</w:t>
      </w:r>
    </w:p>
    <w:p w:rsidR="007E27CB" w:rsidRDefault="008F141F">
      <w:pPr>
        <w:spacing w:after="0" w:line="240" w:lineRule="auto"/>
        <w:ind w:firstLine="567"/>
        <w:jc w:val="both"/>
        <w:rPr>
          <w:sz w:val="24"/>
          <w:szCs w:val="24"/>
        </w:rPr>
      </w:pPr>
      <w:r>
        <w:rPr>
          <w:bCs/>
          <w:sz w:val="24"/>
          <w:szCs w:val="24"/>
        </w:rPr>
        <w:t>Пассажиропоток за 2019 год составил 759 174 человека. В сравнении с прошлым годом рост пассажиропотока на 20,6%</w:t>
      </w:r>
      <w:r>
        <w:rPr>
          <w:sz w:val="24"/>
          <w:szCs w:val="24"/>
        </w:rPr>
        <w:t>. Расширение межрегиональных направлений из аэропорта «Томск» позволяет жителям области осуществлять перелеты по России, минуя Москву, существенно снижая затраты на перелет.</w:t>
      </w:r>
    </w:p>
    <w:p w:rsidR="007E27CB" w:rsidRDefault="008F141F">
      <w:pPr>
        <w:spacing w:after="0" w:line="240" w:lineRule="auto"/>
        <w:ind w:firstLine="567"/>
        <w:jc w:val="both"/>
        <w:rPr>
          <w:sz w:val="24"/>
          <w:szCs w:val="24"/>
        </w:rPr>
      </w:pPr>
      <w:r>
        <w:rPr>
          <w:sz w:val="24"/>
          <w:szCs w:val="24"/>
        </w:rPr>
        <w:t xml:space="preserve">В 2019 году сформирована оптимальная и удобная для жителей Томской области маршрутная сеть из аэропорта «Томск», построенная на связях с узловыми аэропортами (Новосибирск, Красноярск, Екатеринбург, Иркутск, Тюмень, Казань). </w:t>
      </w:r>
    </w:p>
    <w:p w:rsidR="007E27CB" w:rsidRDefault="008F141F">
      <w:pPr>
        <w:spacing w:after="0" w:line="240" w:lineRule="auto"/>
        <w:ind w:firstLine="567"/>
        <w:jc w:val="both"/>
        <w:rPr>
          <w:sz w:val="24"/>
          <w:szCs w:val="24"/>
        </w:rPr>
      </w:pPr>
      <w:r>
        <w:rPr>
          <w:sz w:val="24"/>
          <w:szCs w:val="24"/>
        </w:rPr>
        <w:t>Сегодня томичам доступны 15 прямых региональных маршрутов (18 направлений) межрегиональных направлений из аэропорта «Томск», а с учетом транзитного потенциала 6 узловых аэропортов — более 100 направлений.</w:t>
      </w:r>
    </w:p>
    <w:p w:rsidR="007E27CB" w:rsidRDefault="008F141F">
      <w:pPr>
        <w:spacing w:after="0" w:line="240" w:lineRule="auto"/>
        <w:ind w:firstLine="567"/>
        <w:jc w:val="both"/>
        <w:rPr>
          <w:sz w:val="24"/>
          <w:szCs w:val="24"/>
        </w:rPr>
      </w:pPr>
      <w:r>
        <w:rPr>
          <w:sz w:val="24"/>
          <w:szCs w:val="24"/>
        </w:rPr>
        <w:t xml:space="preserve">В 2019 году 9 из 15 региональных маршрутов субсидировались из федерального бюджета, два из которых  софинансировались из областного бюджета (Абакан, Барнаул). Всего в 2019 году на субсидирование региональных авиамаршрутов привлечено более 500 млн. рублей из федерального бюджета. </w:t>
      </w:r>
    </w:p>
    <w:p w:rsidR="007E27CB" w:rsidRDefault="008F141F">
      <w:pPr>
        <w:spacing w:after="0" w:line="240" w:lineRule="auto"/>
        <w:ind w:firstLine="567"/>
        <w:jc w:val="both"/>
        <w:rPr>
          <w:sz w:val="24"/>
          <w:szCs w:val="24"/>
        </w:rPr>
      </w:pPr>
      <w:r>
        <w:rPr>
          <w:sz w:val="24"/>
          <w:szCs w:val="24"/>
        </w:rPr>
        <w:t>Министерством транспорта Российской Федерации в утвержденный перечень субсидируемых маршрутов на 2020 год включены все субсидируемые в 2019 году маршруты из г. Томска (Екатеринбург, Иркутск, Казань, Красноярск, Новосибирск, Абакан, Барнаул, Тюмень).</w:t>
      </w:r>
    </w:p>
    <w:p w:rsidR="007E27CB" w:rsidRDefault="008F141F">
      <w:pPr>
        <w:spacing w:after="0" w:line="240" w:lineRule="auto"/>
        <w:ind w:firstLine="567"/>
        <w:jc w:val="both"/>
        <w:rPr>
          <w:sz w:val="24"/>
          <w:szCs w:val="24"/>
        </w:rPr>
      </w:pPr>
      <w:r>
        <w:rPr>
          <w:sz w:val="24"/>
          <w:szCs w:val="24"/>
        </w:rPr>
        <w:t>Авиарейсы на Абакан и Барнаул на условиях софинансирования из федерального бюджета будут субсидироваться также из областного бюджета. В областном бюджете на 2020 год на эти цели заложено 9,5 млн. рублей.</w:t>
      </w:r>
    </w:p>
    <w:p w:rsidR="007E27CB" w:rsidRDefault="008F141F">
      <w:pPr>
        <w:spacing w:after="0" w:line="240" w:lineRule="auto"/>
        <w:ind w:firstLine="567"/>
        <w:jc w:val="both"/>
        <w:rPr>
          <w:sz w:val="24"/>
          <w:szCs w:val="24"/>
        </w:rPr>
      </w:pPr>
      <w:r>
        <w:rPr>
          <w:sz w:val="24"/>
          <w:szCs w:val="24"/>
        </w:rPr>
        <w:t>На международных направлениях были доступны маршруты на курорты Таиланда, Вьетнама, Турции и Китая, которыми воспользовались 54 тыс. человек. На постоянной основе ведется работа по привлечению авиакомпаний и открытию новых маршрутов.</w:t>
      </w:r>
    </w:p>
    <w:p w:rsidR="007E27CB" w:rsidRDefault="008F141F">
      <w:pPr>
        <w:spacing w:after="0" w:line="240" w:lineRule="auto"/>
        <w:ind w:firstLine="567"/>
        <w:jc w:val="both"/>
        <w:rPr>
          <w:sz w:val="24"/>
          <w:szCs w:val="24"/>
        </w:rPr>
      </w:pPr>
      <w:r>
        <w:rPr>
          <w:sz w:val="24"/>
          <w:szCs w:val="24"/>
        </w:rPr>
        <w:t xml:space="preserve">Продолжена программа восстановления местных воздушных перевозок, стартовавшая в 2017 году. В течение года выполнялось внутриобластное авиасообщение по направлению Томск – Каргасок </w:t>
      </w:r>
      <w:r>
        <w:t>–</w:t>
      </w:r>
      <w:r>
        <w:rPr>
          <w:sz w:val="24"/>
          <w:szCs w:val="24"/>
        </w:rPr>
        <w:t xml:space="preserve"> Новый Васюган – Каргасок – Томск. Стоимость перелета из Нового Васюгана до Томска составляет 7 тыс. рублей. Также в 2019 году восстановлен до требований к посадочным площадкам местный аэропорт в городе Кедровый, откуда с сентября 2019 года выполняются полеты в аэропорт Томск с частотой 2 раза в неделю. Стоимость билета составляет 2 тыс. рублей. Доступные цены на авиабилеты стали возможными благодаря субсидированию рейсов из бюджета Томской области. </w:t>
      </w:r>
    </w:p>
    <w:p w:rsidR="007E27CB" w:rsidRDefault="008F141F">
      <w:pPr>
        <w:spacing w:after="0" w:line="240" w:lineRule="auto"/>
        <w:ind w:firstLine="567"/>
        <w:jc w:val="both"/>
        <w:rPr>
          <w:sz w:val="24"/>
          <w:szCs w:val="24"/>
        </w:rPr>
      </w:pPr>
      <w:r>
        <w:rPr>
          <w:sz w:val="24"/>
          <w:szCs w:val="24"/>
        </w:rPr>
        <w:t xml:space="preserve">Три года подряд область субсидирует отдельные категории граждан на рейсе     Томск </w:t>
      </w:r>
      <w:r>
        <w:t xml:space="preserve">– </w:t>
      </w:r>
      <w:r>
        <w:rPr>
          <w:sz w:val="24"/>
          <w:szCs w:val="24"/>
        </w:rPr>
        <w:t xml:space="preserve">Стрежевой (граждане в возрасте до 23 лет включительно, женщины в возрасте свыше 55 лет, мужчины в возрасте свыше 60 лет). Стоимость авиабилета для молодежи и пенсионеров составляет 5 тыс. рублей без учета сборов авиакасс. В 2019 году этой возможностью воспользовались 8 258 человек, что составляет 28% от общего количества перевезенных пассажиров на данном рейсе. </w:t>
      </w:r>
    </w:p>
    <w:p w:rsidR="007E27CB" w:rsidRDefault="008F141F">
      <w:pPr>
        <w:spacing w:after="0" w:line="240" w:lineRule="auto"/>
        <w:ind w:firstLine="567"/>
        <w:jc w:val="both"/>
        <w:rPr>
          <w:sz w:val="24"/>
          <w:szCs w:val="24"/>
        </w:rPr>
      </w:pPr>
      <w:r>
        <w:rPr>
          <w:sz w:val="24"/>
          <w:szCs w:val="24"/>
        </w:rPr>
        <w:t>Проект реконструкции аэропортового комплекса «Богашево» (Томск) включен в государственную программу Российской Федерации «Развитие транспортной системы России» и Комплексный план развития магистральной инфраструктуры России. Реконструкция началась в 2019 году и рассчитана на 4 года. На эти цели федеральный бюджет выделит почти 3 млрд. рублей. Будет реконструирована взлетно-посадочная полоса и водосточно-дренажная сеть, построены очистные сооружения, аварийно-спасательная станция, новое ограждение аэродрома с техническими средствами охраны, патрульная автодорога, установлена новая система свето-сигнального оборудования, появятся новые линии связи и управления. Реконструкция будет проводиться в так называемые «окна», т.е. без остановки работы аэропорта.</w:t>
      </w:r>
    </w:p>
    <w:p w:rsidR="007E27CB" w:rsidRDefault="007E27CB">
      <w:pPr>
        <w:spacing w:after="0" w:line="240" w:lineRule="auto"/>
        <w:ind w:firstLine="567"/>
        <w:jc w:val="both"/>
        <w:rPr>
          <w:sz w:val="24"/>
          <w:szCs w:val="24"/>
        </w:rPr>
      </w:pPr>
    </w:p>
    <w:p w:rsidR="007E27CB" w:rsidRDefault="008F141F">
      <w:pPr>
        <w:spacing w:after="0" w:line="240" w:lineRule="auto"/>
        <w:ind w:firstLine="567"/>
        <w:jc w:val="both"/>
        <w:rPr>
          <w:sz w:val="24"/>
          <w:szCs w:val="24"/>
        </w:rPr>
      </w:pPr>
      <w:r>
        <w:rPr>
          <w:i/>
          <w:iCs/>
          <w:color w:val="000000"/>
          <w:sz w:val="24"/>
          <w:szCs w:val="24"/>
        </w:rPr>
        <w:t>В СФЕРЕ ПАССАЖИРСКИХ ПЕРЕВОЗОК АВТОМОБИЛЬНЫМ ТРАНСПОРТОМ</w:t>
      </w:r>
    </w:p>
    <w:p w:rsidR="007E27CB" w:rsidRDefault="008F141F">
      <w:pPr>
        <w:spacing w:after="0" w:line="240" w:lineRule="auto"/>
        <w:ind w:firstLine="567"/>
        <w:jc w:val="both"/>
        <w:rPr>
          <w:sz w:val="24"/>
          <w:szCs w:val="24"/>
        </w:rPr>
      </w:pPr>
      <w:r>
        <w:rPr>
          <w:sz w:val="24"/>
          <w:szCs w:val="24"/>
        </w:rPr>
        <w:t xml:space="preserve">По итогам 2019 года количество перевезенных пассажиров автомобильным транспортом составило 40,7 млн. человек </w:t>
      </w:r>
      <w:r>
        <w:t>–</w:t>
      </w:r>
      <w:r>
        <w:rPr>
          <w:sz w:val="24"/>
          <w:szCs w:val="24"/>
        </w:rPr>
        <w:t xml:space="preserve"> 90% от уровня 2018 года. Пассажирооборот составил 372,9 млн. пасс. км.</w:t>
      </w:r>
    </w:p>
    <w:p w:rsidR="007E27CB" w:rsidRDefault="008F141F">
      <w:pPr>
        <w:spacing w:after="0" w:line="240" w:lineRule="auto"/>
        <w:ind w:firstLine="567"/>
        <w:jc w:val="both"/>
        <w:rPr>
          <w:sz w:val="24"/>
          <w:szCs w:val="24"/>
        </w:rPr>
      </w:pPr>
      <w:r>
        <w:rPr>
          <w:sz w:val="24"/>
          <w:szCs w:val="24"/>
        </w:rPr>
        <w:t xml:space="preserve">В 2019 году проведена корректировка маршрутной сети агломерации «Томск </w:t>
      </w:r>
      <w:r>
        <w:t>–</w:t>
      </w:r>
      <w:r>
        <w:rPr>
          <w:sz w:val="24"/>
          <w:szCs w:val="24"/>
        </w:rPr>
        <w:t xml:space="preserve">Северск </w:t>
      </w:r>
      <w:r>
        <w:t xml:space="preserve">– </w:t>
      </w:r>
      <w:r>
        <w:rPr>
          <w:sz w:val="24"/>
          <w:szCs w:val="24"/>
        </w:rPr>
        <w:t xml:space="preserve">Томский район». Сняты проблемы дублирования и неравномерной загрузки маршрутов городского и пригородного сообщения, которые сдерживали развитие регулярных автобусных перевозок, приводили к снижению безопасности дорожного движения. </w:t>
      </w:r>
    </w:p>
    <w:p w:rsidR="007E27CB" w:rsidRDefault="008F141F">
      <w:pPr>
        <w:spacing w:after="0" w:line="240" w:lineRule="auto"/>
        <w:ind w:firstLine="567"/>
        <w:jc w:val="both"/>
        <w:rPr>
          <w:sz w:val="24"/>
          <w:szCs w:val="24"/>
        </w:rPr>
      </w:pPr>
      <w:r>
        <w:rPr>
          <w:sz w:val="24"/>
          <w:szCs w:val="24"/>
        </w:rPr>
        <w:t xml:space="preserve">Проведены конкурсы на межмуниципальные маршруты </w:t>
      </w:r>
      <w:r>
        <w:rPr>
          <w:bCs/>
          <w:sz w:val="24"/>
          <w:szCs w:val="24"/>
        </w:rPr>
        <w:t xml:space="preserve">№ 118 «Томск </w:t>
      </w:r>
      <w:r>
        <w:t xml:space="preserve">– </w:t>
      </w:r>
      <w:r>
        <w:rPr>
          <w:bCs/>
          <w:sz w:val="24"/>
          <w:szCs w:val="24"/>
        </w:rPr>
        <w:t xml:space="preserve">Басандайка» и № 150 «Томск </w:t>
      </w:r>
      <w:r>
        <w:t xml:space="preserve">– </w:t>
      </w:r>
      <w:r>
        <w:rPr>
          <w:bCs/>
          <w:sz w:val="24"/>
          <w:szCs w:val="24"/>
        </w:rPr>
        <w:t>Кисловка», по результатам которых произведено обновление подвижного состава.</w:t>
      </w:r>
    </w:p>
    <w:p w:rsidR="007E27CB" w:rsidRDefault="007E27CB">
      <w:pPr>
        <w:spacing w:after="0" w:line="240" w:lineRule="auto"/>
        <w:ind w:firstLine="567"/>
        <w:jc w:val="both"/>
        <w:rPr>
          <w:sz w:val="24"/>
          <w:szCs w:val="24"/>
        </w:rPr>
      </w:pPr>
    </w:p>
    <w:p w:rsidR="007E27CB" w:rsidRDefault="008F141F">
      <w:pPr>
        <w:spacing w:after="0" w:line="240" w:lineRule="auto"/>
        <w:ind w:firstLine="567"/>
        <w:jc w:val="both"/>
        <w:rPr>
          <w:sz w:val="24"/>
          <w:szCs w:val="24"/>
        </w:rPr>
      </w:pPr>
      <w:r>
        <w:rPr>
          <w:i/>
          <w:iCs/>
          <w:color w:val="000000"/>
          <w:sz w:val="24"/>
          <w:szCs w:val="24"/>
        </w:rPr>
        <w:t>В СФЕРЕ ПАССАЖИРСКИХ ПЕРЕВОЗОК ЖЕЛЕЗНОДОРОЖНЫМ ТРАНСПОРТОМ</w:t>
      </w:r>
    </w:p>
    <w:p w:rsidR="007E27CB" w:rsidRDefault="008F141F">
      <w:pPr>
        <w:spacing w:after="0" w:line="240" w:lineRule="auto"/>
        <w:ind w:firstLine="567"/>
        <w:jc w:val="both"/>
        <w:rPr>
          <w:sz w:val="24"/>
          <w:szCs w:val="24"/>
        </w:rPr>
      </w:pPr>
      <w:r>
        <w:rPr>
          <w:bCs/>
          <w:sz w:val="24"/>
          <w:szCs w:val="24"/>
        </w:rPr>
        <w:t>В 2019 году</w:t>
      </w:r>
      <w:r>
        <w:rPr>
          <w:sz w:val="24"/>
          <w:szCs w:val="24"/>
        </w:rPr>
        <w:t xml:space="preserve"> грузооборот эксплуатационный на территории Томской области составил 626,1 млн. тн-км (нетто), всего погружено 2 млн. 739 тыс. тонн грузов. </w:t>
      </w:r>
      <w:r>
        <w:rPr>
          <w:bCs/>
          <w:sz w:val="24"/>
          <w:szCs w:val="24"/>
        </w:rPr>
        <w:t>За 2019 год отправлено 837,7 тыс. пассажиров (прирост по отношению к прошлому году 1,4%), в том числе 349,6 тыс. пассажиров в дальнем сообщении и 488,1 тыс. пассажиров в пригородном сообщении</w:t>
      </w:r>
      <w:r>
        <w:rPr>
          <w:sz w:val="24"/>
          <w:szCs w:val="24"/>
        </w:rPr>
        <w:t>.</w:t>
      </w:r>
    </w:p>
    <w:p w:rsidR="007E27CB" w:rsidRDefault="008F141F">
      <w:pPr>
        <w:spacing w:after="0" w:line="240" w:lineRule="auto"/>
        <w:ind w:firstLine="567"/>
        <w:jc w:val="both"/>
        <w:rPr>
          <w:sz w:val="24"/>
          <w:szCs w:val="24"/>
        </w:rPr>
      </w:pPr>
      <w:r>
        <w:rPr>
          <w:sz w:val="24"/>
          <w:szCs w:val="24"/>
        </w:rPr>
        <w:t xml:space="preserve">В рамках реализации Соглашения о взаимодействии и сотрудничестве ОАО «РЖД» с Администрацией Томской области и Администрацией Города Томска в 2019 году были сохранены поезда №№ 141/142 сообщением «Томск </w:t>
      </w:r>
      <w:r>
        <w:t xml:space="preserve">– </w:t>
      </w:r>
      <w:r>
        <w:rPr>
          <w:sz w:val="24"/>
          <w:szCs w:val="24"/>
        </w:rPr>
        <w:t>Новосибирск» в рамках программы «Дневной экспресс», а также поезда дальнего следования «Томск – Белый Яр», «Томск – Риддер».</w:t>
      </w:r>
    </w:p>
    <w:p w:rsidR="007E27CB" w:rsidRDefault="008F141F">
      <w:pPr>
        <w:spacing w:after="0" w:line="240" w:lineRule="auto"/>
        <w:ind w:firstLine="567"/>
        <w:jc w:val="both"/>
        <w:rPr>
          <w:sz w:val="24"/>
          <w:szCs w:val="24"/>
        </w:rPr>
      </w:pPr>
      <w:r>
        <w:rPr>
          <w:sz w:val="24"/>
          <w:szCs w:val="24"/>
        </w:rPr>
        <w:t xml:space="preserve">Назначен новый поезд № 363/364 «Томск </w:t>
      </w:r>
      <w:r>
        <w:t xml:space="preserve">– </w:t>
      </w:r>
      <w:r>
        <w:rPr>
          <w:sz w:val="24"/>
          <w:szCs w:val="24"/>
        </w:rPr>
        <w:t xml:space="preserve">Караганда», увеличен график курсирования поезда № 133/134 «Томск </w:t>
      </w:r>
      <w:r>
        <w:t xml:space="preserve">– </w:t>
      </w:r>
      <w:r>
        <w:rPr>
          <w:sz w:val="24"/>
          <w:szCs w:val="24"/>
        </w:rPr>
        <w:t xml:space="preserve">Анапа» с частотой один раз в два дня (ранее: зима </w:t>
      </w:r>
      <w:r>
        <w:t>–</w:t>
      </w:r>
      <w:r>
        <w:rPr>
          <w:sz w:val="24"/>
          <w:szCs w:val="24"/>
        </w:rPr>
        <w:t xml:space="preserve"> 1 раз в 4 дня, лето </w:t>
      </w:r>
      <w:r>
        <w:t>–</w:t>
      </w:r>
      <w:r>
        <w:rPr>
          <w:sz w:val="24"/>
          <w:szCs w:val="24"/>
        </w:rPr>
        <w:t xml:space="preserve"> через день). В целях расширения транспортной доступности населения между региональными центрами продлен маршрут поезда № 602/601 «Бийск – Новосибирск» до Томска.</w:t>
      </w:r>
    </w:p>
    <w:p w:rsidR="007E27CB" w:rsidRDefault="008F141F">
      <w:pPr>
        <w:spacing w:after="0" w:line="240" w:lineRule="auto"/>
        <w:ind w:firstLine="567"/>
        <w:jc w:val="both"/>
        <w:rPr>
          <w:sz w:val="24"/>
          <w:szCs w:val="24"/>
        </w:rPr>
      </w:pPr>
      <w:r>
        <w:rPr>
          <w:sz w:val="24"/>
          <w:szCs w:val="24"/>
        </w:rPr>
        <w:t>Обустроен железнодорожный пешеходный переход в районе п. Киргизка в соответствии с инвестиционной программой ОАО «РЖД».</w:t>
      </w:r>
    </w:p>
    <w:p w:rsidR="007E27CB" w:rsidRDefault="008F141F">
      <w:pPr>
        <w:spacing w:after="0" w:line="240" w:lineRule="auto"/>
        <w:ind w:firstLine="567"/>
        <w:jc w:val="both"/>
        <w:rPr>
          <w:sz w:val="24"/>
          <w:szCs w:val="24"/>
        </w:rPr>
      </w:pPr>
      <w:r>
        <w:rPr>
          <w:sz w:val="24"/>
          <w:szCs w:val="24"/>
        </w:rPr>
        <w:t>С целью обеспечения транспортной доступности жилого микрорайона Мокрушино  г. Томска, п. Степановка г. Томска и поселка Зональная Станция Томского района в рамках Соглашения ограничено движение маневровых составов в «часы пик» через «Степановский» (78 км) и «Мокрушинский» (79 км) железнодорожные переезды.</w:t>
      </w:r>
    </w:p>
    <w:p w:rsidR="007E27CB" w:rsidRDefault="008F141F">
      <w:pPr>
        <w:spacing w:after="0" w:line="240" w:lineRule="auto"/>
        <w:ind w:firstLine="567"/>
        <w:jc w:val="both"/>
        <w:rPr>
          <w:sz w:val="24"/>
          <w:szCs w:val="24"/>
        </w:rPr>
      </w:pPr>
      <w:r>
        <w:rPr>
          <w:sz w:val="24"/>
          <w:szCs w:val="24"/>
        </w:rPr>
        <w:t xml:space="preserve">В сентябре 2019 года Управлением Западно-Сибирской железной дороги успешно проведены демонстрационно-испытательные поездки электропоездов «Ласточка» по маршруту «Томск </w:t>
      </w:r>
      <w:r>
        <w:t xml:space="preserve">– </w:t>
      </w:r>
      <w:r>
        <w:rPr>
          <w:sz w:val="24"/>
          <w:szCs w:val="24"/>
        </w:rPr>
        <w:t xml:space="preserve">Новосибирск </w:t>
      </w:r>
      <w:r>
        <w:t xml:space="preserve">– </w:t>
      </w:r>
      <w:r>
        <w:rPr>
          <w:sz w:val="24"/>
          <w:szCs w:val="24"/>
        </w:rPr>
        <w:t xml:space="preserve">Томск». Прорабатывается вопрос организации маршрута. </w:t>
      </w:r>
    </w:p>
    <w:p w:rsidR="007E27CB" w:rsidRDefault="008F141F">
      <w:pPr>
        <w:spacing w:after="0" w:line="240" w:lineRule="auto"/>
        <w:ind w:firstLine="567"/>
        <w:jc w:val="both"/>
        <w:rPr>
          <w:sz w:val="24"/>
          <w:szCs w:val="24"/>
        </w:rPr>
      </w:pPr>
      <w:r>
        <w:rPr>
          <w:sz w:val="24"/>
          <w:szCs w:val="24"/>
        </w:rPr>
        <w:t xml:space="preserve">Рассматриваются вопросы восстановления в 2020 году поездов Томск </w:t>
      </w:r>
      <w:r>
        <w:t xml:space="preserve">– </w:t>
      </w:r>
      <w:r>
        <w:rPr>
          <w:sz w:val="24"/>
          <w:szCs w:val="24"/>
        </w:rPr>
        <w:t xml:space="preserve">Адлер, Томск </w:t>
      </w:r>
      <w:r>
        <w:t xml:space="preserve">– </w:t>
      </w:r>
      <w:r>
        <w:rPr>
          <w:sz w:val="24"/>
          <w:szCs w:val="24"/>
        </w:rPr>
        <w:t>Абакан.</w:t>
      </w:r>
    </w:p>
    <w:p w:rsidR="007E27CB" w:rsidRDefault="007E27CB">
      <w:pPr>
        <w:spacing w:after="0" w:line="240" w:lineRule="auto"/>
        <w:ind w:firstLine="567"/>
        <w:jc w:val="both"/>
        <w:rPr>
          <w:sz w:val="24"/>
          <w:szCs w:val="24"/>
        </w:rPr>
      </w:pPr>
    </w:p>
    <w:p w:rsidR="007E27CB" w:rsidRDefault="008F141F">
      <w:pPr>
        <w:spacing w:after="0" w:line="240" w:lineRule="auto"/>
        <w:ind w:firstLine="567"/>
        <w:jc w:val="both"/>
        <w:rPr>
          <w:i/>
          <w:iCs/>
          <w:color w:val="000000"/>
          <w:sz w:val="24"/>
          <w:szCs w:val="24"/>
        </w:rPr>
      </w:pPr>
      <w:r>
        <w:rPr>
          <w:i/>
          <w:iCs/>
          <w:color w:val="000000"/>
          <w:sz w:val="24"/>
          <w:szCs w:val="24"/>
        </w:rPr>
        <w:t xml:space="preserve">В СФЕРЕ ПАССАЖИРСКИХ ПЕРЕВОЗОК ВОДНЫМ ТРАНСПОРТОМ </w:t>
      </w:r>
    </w:p>
    <w:p w:rsidR="007E27CB" w:rsidRDefault="008F141F">
      <w:pPr>
        <w:spacing w:after="0" w:line="240" w:lineRule="auto"/>
        <w:ind w:firstLine="567"/>
        <w:jc w:val="both"/>
        <w:rPr>
          <w:sz w:val="24"/>
          <w:szCs w:val="24"/>
        </w:rPr>
      </w:pPr>
      <w:r>
        <w:rPr>
          <w:sz w:val="24"/>
          <w:szCs w:val="24"/>
        </w:rPr>
        <w:t>Для обеспечения доступности водного транспорта в 2019 году в рамках реализации государственной программы «Развитие транспортной системы в Томской области» реализованы мероприятия по предоставлению субсидий бюджетам Верхнекетского (6,2 млн. рублей) и Колпашевского (14 млн. рублей) районов на организацию транспортного обслуживания населения внутренним водным транспортом в границах муниципальных районов. Сохранен межмуниципальный маршрут водного транспорта «Каргасок – Стрежевой».</w:t>
      </w:r>
    </w:p>
    <w:p w:rsidR="007E27CB" w:rsidRDefault="008F141F">
      <w:pPr>
        <w:spacing w:after="0" w:line="240" w:lineRule="auto"/>
        <w:ind w:firstLine="567"/>
        <w:jc w:val="both"/>
        <w:rPr>
          <w:sz w:val="24"/>
          <w:szCs w:val="24"/>
        </w:rPr>
      </w:pPr>
      <w:r>
        <w:rPr>
          <w:sz w:val="24"/>
          <w:szCs w:val="24"/>
        </w:rPr>
        <w:t>Объем дноуглубительных работ в навигацию 2019 года составил 2 073 тыс. тонн и позволил сохранить пропускную способность внутренних водных путей Томской области в навигацию 2019 года на уровне 2018 года, при этом объем отправленных грузов увеличился до 3,9 млн. тонн, что на 6% больше 2018 года.</w:t>
      </w:r>
    </w:p>
    <w:p w:rsidR="007E27CB" w:rsidRDefault="007E27CB">
      <w:pPr>
        <w:spacing w:after="0" w:line="240" w:lineRule="auto"/>
        <w:ind w:firstLine="708"/>
        <w:jc w:val="both"/>
        <w:rPr>
          <w:sz w:val="24"/>
          <w:szCs w:val="24"/>
        </w:rPr>
      </w:pPr>
    </w:p>
    <w:p w:rsidR="007E27CB" w:rsidRDefault="008F141F">
      <w:pPr>
        <w:shd w:val="clear" w:color="auto" w:fill="F2F2F2" w:themeFill="background1" w:themeFillShade="F2"/>
        <w:tabs>
          <w:tab w:val="left" w:pos="4962"/>
        </w:tabs>
        <w:spacing w:after="0" w:line="240" w:lineRule="auto"/>
        <w:jc w:val="both"/>
        <w:rPr>
          <w:b/>
          <w:color w:val="000000" w:themeColor="text1"/>
          <w:sz w:val="24"/>
          <w:szCs w:val="24"/>
        </w:rPr>
      </w:pPr>
      <w:r>
        <w:rPr>
          <w:b/>
          <w:color w:val="000000" w:themeColor="text1"/>
          <w:sz w:val="24"/>
          <w:szCs w:val="24"/>
        </w:rPr>
        <w:t xml:space="preserve">Перспективные задачи </w:t>
      </w:r>
    </w:p>
    <w:p w:rsidR="007E27CB" w:rsidRDefault="007E27CB">
      <w:pPr>
        <w:spacing w:after="0" w:line="240" w:lineRule="auto"/>
        <w:ind w:firstLine="708"/>
        <w:jc w:val="both"/>
        <w:rPr>
          <w:sz w:val="24"/>
          <w:szCs w:val="24"/>
        </w:rPr>
      </w:pPr>
    </w:p>
    <w:p w:rsidR="007E27CB" w:rsidRDefault="008F141F">
      <w:pPr>
        <w:spacing w:after="0" w:line="240" w:lineRule="auto"/>
        <w:jc w:val="both"/>
        <w:rPr>
          <w:sz w:val="24"/>
          <w:szCs w:val="24"/>
        </w:rPr>
      </w:pPr>
      <w:r>
        <w:rPr>
          <w:sz w:val="24"/>
          <w:szCs w:val="24"/>
        </w:rPr>
        <w:t>1. Дальнейшее развитие региональной авиамаршрутной сети.</w:t>
      </w:r>
    </w:p>
    <w:p w:rsidR="007E27CB" w:rsidRDefault="008F141F">
      <w:pPr>
        <w:spacing w:after="0" w:line="240" w:lineRule="auto"/>
        <w:jc w:val="both"/>
        <w:rPr>
          <w:sz w:val="24"/>
          <w:szCs w:val="24"/>
        </w:rPr>
      </w:pPr>
      <w:r>
        <w:rPr>
          <w:sz w:val="24"/>
          <w:szCs w:val="24"/>
        </w:rPr>
        <w:t>2. Развитие внутриобластной маршрутной сети, проработка вопроса открытия авиамаршрутов на с. Парабель и г. Колпашево.</w:t>
      </w:r>
    </w:p>
    <w:p w:rsidR="007E27CB" w:rsidRDefault="008F141F">
      <w:pPr>
        <w:spacing w:after="0" w:line="240" w:lineRule="auto"/>
        <w:jc w:val="both"/>
        <w:rPr>
          <w:sz w:val="24"/>
          <w:szCs w:val="24"/>
        </w:rPr>
      </w:pPr>
      <w:r>
        <w:rPr>
          <w:sz w:val="24"/>
          <w:szCs w:val="24"/>
        </w:rPr>
        <w:t>3. Реализация мероприятий по реконструкции аэропортового комплекса «Богашево», аэровокзала и аэровокзальной площади.</w:t>
      </w:r>
    </w:p>
    <w:p w:rsidR="007E27CB" w:rsidRDefault="008F141F">
      <w:pPr>
        <w:spacing w:after="0" w:line="240" w:lineRule="auto"/>
        <w:jc w:val="both"/>
        <w:rPr>
          <w:sz w:val="24"/>
          <w:szCs w:val="24"/>
        </w:rPr>
      </w:pPr>
      <w:r>
        <w:rPr>
          <w:sz w:val="24"/>
          <w:szCs w:val="24"/>
        </w:rPr>
        <w:t xml:space="preserve">4. Создание и внедрение региональной навигационно-информационной системы управления транспортом Томской области. </w:t>
      </w:r>
    </w:p>
    <w:p w:rsidR="007E27CB" w:rsidRDefault="008F141F">
      <w:pPr>
        <w:spacing w:after="0" w:line="240" w:lineRule="auto"/>
        <w:jc w:val="both"/>
        <w:rPr>
          <w:sz w:val="24"/>
          <w:szCs w:val="24"/>
          <w:lang w:eastAsia="ru-RU"/>
        </w:rPr>
      </w:pPr>
      <w:r>
        <w:rPr>
          <w:sz w:val="24"/>
          <w:szCs w:val="24"/>
        </w:rPr>
        <w:t xml:space="preserve">5. Завершение внедрения безналичной оплаты проезда в общественном транспорте на межмуниципальных маршрутах регулярных перевозок Томской области. </w:t>
      </w:r>
    </w:p>
    <w:p w:rsidR="007E27CB" w:rsidRDefault="008F141F">
      <w:pPr>
        <w:spacing w:after="0" w:line="240" w:lineRule="auto"/>
        <w:jc w:val="both"/>
        <w:rPr>
          <w:sz w:val="24"/>
          <w:szCs w:val="24"/>
        </w:rPr>
      </w:pPr>
      <w:r>
        <w:rPr>
          <w:sz w:val="24"/>
          <w:szCs w:val="24"/>
        </w:rPr>
        <w:t xml:space="preserve"> 6. Проведение конкурсов на выполнение работ, связанных с осуществлением регулярных перевозок пассажиров и багажа автомобильным транспортом по всем межмуниципальным маршрутам Томской области.</w:t>
      </w:r>
    </w:p>
    <w:p w:rsidR="007E27CB" w:rsidRDefault="008F141F">
      <w:pPr>
        <w:spacing w:after="0" w:line="240" w:lineRule="auto"/>
        <w:jc w:val="both"/>
        <w:rPr>
          <w:sz w:val="24"/>
          <w:szCs w:val="24"/>
        </w:rPr>
      </w:pPr>
      <w:r>
        <w:rPr>
          <w:sz w:val="24"/>
          <w:szCs w:val="24"/>
        </w:rPr>
        <w:t xml:space="preserve">7. Открытие ж/д маршрутов дальнего следования по направлениям: Томск </w:t>
      </w:r>
      <w:r>
        <w:t xml:space="preserve">– </w:t>
      </w:r>
      <w:r>
        <w:rPr>
          <w:sz w:val="24"/>
          <w:szCs w:val="24"/>
        </w:rPr>
        <w:t xml:space="preserve">Адлер,   Томск </w:t>
      </w:r>
      <w:r>
        <w:t xml:space="preserve">– </w:t>
      </w:r>
      <w:r>
        <w:rPr>
          <w:sz w:val="24"/>
          <w:szCs w:val="24"/>
        </w:rPr>
        <w:t>Абакан.</w:t>
      </w:r>
    </w:p>
    <w:p w:rsidR="007E27CB" w:rsidRDefault="008F141F">
      <w:pPr>
        <w:spacing w:after="0" w:line="240" w:lineRule="auto"/>
        <w:jc w:val="both"/>
        <w:rPr>
          <w:sz w:val="24"/>
          <w:szCs w:val="24"/>
        </w:rPr>
      </w:pPr>
      <w:r>
        <w:rPr>
          <w:sz w:val="24"/>
          <w:szCs w:val="24"/>
        </w:rPr>
        <w:t xml:space="preserve">8. Организация эксплуатации электропоезда «Ласточка» по направлению: «Томск </w:t>
      </w:r>
      <w:r>
        <w:t>–</w:t>
      </w:r>
      <w:r>
        <w:rPr>
          <w:sz w:val="24"/>
          <w:szCs w:val="24"/>
        </w:rPr>
        <w:t>Новосибирск».</w:t>
      </w:r>
    </w:p>
    <w:p w:rsidR="007E27CB" w:rsidRDefault="008F141F">
      <w:pPr>
        <w:spacing w:after="0" w:line="240" w:lineRule="auto"/>
        <w:jc w:val="both"/>
        <w:rPr>
          <w:sz w:val="24"/>
          <w:szCs w:val="24"/>
        </w:rPr>
      </w:pPr>
      <w:r>
        <w:rPr>
          <w:sz w:val="24"/>
          <w:szCs w:val="24"/>
        </w:rPr>
        <w:t>9. Продолжение совместной работы с Росморречфлотом и ФБУ «Администрация Обского бассейна внутренних водных путей» по дноуглубительным работам по Обскому бассейну, в том числе с привлечением средств федерального бюджета.</w:t>
      </w:r>
    </w:p>
    <w:p w:rsidR="007E27CB" w:rsidRDefault="007E27CB">
      <w:pPr>
        <w:tabs>
          <w:tab w:val="left" w:pos="4962"/>
        </w:tabs>
        <w:spacing w:after="0" w:line="240" w:lineRule="auto"/>
        <w:ind w:left="567" w:hanging="567"/>
        <w:rPr>
          <w:rFonts w:eastAsia="Times New Roman"/>
          <w:b/>
          <w:sz w:val="24"/>
          <w:szCs w:val="24"/>
        </w:rPr>
      </w:pPr>
    </w:p>
    <w:p w:rsidR="007E27CB" w:rsidRDefault="008F141F">
      <w:pPr>
        <w:tabs>
          <w:tab w:val="left" w:pos="4962"/>
        </w:tabs>
        <w:spacing w:after="0" w:line="240" w:lineRule="auto"/>
        <w:rPr>
          <w:rFonts w:eastAsia="Times New Roman"/>
          <w:b/>
          <w:sz w:val="24"/>
          <w:szCs w:val="24"/>
        </w:rPr>
      </w:pPr>
      <w:r>
        <w:rPr>
          <w:rFonts w:eastAsia="Times New Roman"/>
          <w:b/>
          <w:sz w:val="24"/>
          <w:szCs w:val="24"/>
        </w:rPr>
        <w:t xml:space="preserve">4.2. Обеспечение модернизации и развития коммунальной и информационно-коммуникационной инфраструктуры </w:t>
      </w:r>
    </w:p>
    <w:p w:rsidR="007E27CB" w:rsidRDefault="007E27CB">
      <w:pPr>
        <w:tabs>
          <w:tab w:val="left" w:pos="4962"/>
        </w:tabs>
        <w:spacing w:after="0" w:line="240" w:lineRule="auto"/>
        <w:rPr>
          <w:rFonts w:eastAsia="Times New Roman"/>
          <w:b/>
          <w:color w:val="FF0000"/>
          <w:sz w:val="24"/>
          <w:szCs w:val="24"/>
        </w:rPr>
      </w:pPr>
    </w:p>
    <w:p w:rsidR="007E27CB" w:rsidRDefault="008F141F">
      <w:pPr>
        <w:spacing w:after="0" w:line="240" w:lineRule="auto"/>
        <w:ind w:firstLine="567"/>
        <w:jc w:val="both"/>
        <w:rPr>
          <w:b/>
          <w:sz w:val="24"/>
          <w:szCs w:val="24"/>
        </w:rPr>
      </w:pPr>
      <w:r>
        <w:rPr>
          <w:b/>
          <w:sz w:val="24"/>
          <w:szCs w:val="24"/>
        </w:rPr>
        <w:t>ЖИЛИЩНО-КОММУНАЛЬНЫЙ КОМПЛЕКС</w:t>
      </w:r>
    </w:p>
    <w:p w:rsidR="007E27CB" w:rsidRDefault="007E27CB">
      <w:pPr>
        <w:spacing w:after="0" w:line="240" w:lineRule="auto"/>
        <w:ind w:firstLine="567"/>
        <w:jc w:val="both"/>
        <w:rPr>
          <w:b/>
          <w:sz w:val="24"/>
          <w:szCs w:val="24"/>
        </w:rPr>
      </w:pPr>
    </w:p>
    <w:p w:rsidR="007E27CB" w:rsidRDefault="008F141F">
      <w:pPr>
        <w:spacing w:after="0" w:line="240" w:lineRule="auto"/>
        <w:ind w:firstLine="567"/>
        <w:jc w:val="both"/>
        <w:rPr>
          <w:sz w:val="24"/>
          <w:szCs w:val="24"/>
        </w:rPr>
      </w:pPr>
      <w:r>
        <w:rPr>
          <w:sz w:val="24"/>
          <w:szCs w:val="24"/>
        </w:rPr>
        <w:t xml:space="preserve">В рамках исполнения Комплекса мер («дорожной карты») по развитию жилищно-коммунального хозяйства Томской области на 2017 – 2020 годы в 2019 году обеспечена подготовка хозяйственного комплекса Томской области к отопительному периоду 2019 </w:t>
      </w:r>
      <w:r>
        <w:t xml:space="preserve">– </w:t>
      </w:r>
      <w:r>
        <w:rPr>
          <w:sz w:val="24"/>
          <w:szCs w:val="24"/>
        </w:rPr>
        <w:t>2020 годов с организацией постоянного контроля за прохождением отопительного сезона, мониторинга запасов топлива и аварийных ситуаций на объектах коммунальной инфраструктуры.</w:t>
      </w:r>
    </w:p>
    <w:p w:rsidR="007E27CB" w:rsidRDefault="008F141F">
      <w:pPr>
        <w:spacing w:after="0" w:line="240" w:lineRule="auto"/>
        <w:ind w:firstLine="567"/>
        <w:jc w:val="both"/>
        <w:rPr>
          <w:sz w:val="24"/>
          <w:szCs w:val="24"/>
        </w:rPr>
      </w:pPr>
      <w:r>
        <w:rPr>
          <w:sz w:val="24"/>
          <w:szCs w:val="24"/>
        </w:rPr>
        <w:t xml:space="preserve">В результате реализации в 2019 году Региональной программы капитального ремонта общего имущества в многоквартирных домах, расположенных на территории Томской области, обеспечено оказание услуг и (или) выполнение работ по капитальному ремонту 242 многоквартирных домов, расположенных на территории 17 муниципальных образований, улучшены условия проживания более 26,5 тыс. человек. </w:t>
      </w:r>
    </w:p>
    <w:p w:rsidR="007E27CB" w:rsidRDefault="008F141F">
      <w:pPr>
        <w:spacing w:after="0" w:line="240" w:lineRule="auto"/>
        <w:ind w:firstLine="567"/>
        <w:jc w:val="both"/>
        <w:rPr>
          <w:sz w:val="24"/>
          <w:szCs w:val="24"/>
        </w:rPr>
      </w:pPr>
      <w:r>
        <w:rPr>
          <w:sz w:val="24"/>
          <w:szCs w:val="24"/>
        </w:rPr>
        <w:t>Краткосрочный план реализации Региональной программы выполнен на 100%. Уровень собираемости взносов по итогам 2019 года составил 98,14%.</w:t>
      </w:r>
    </w:p>
    <w:p w:rsidR="007E27CB" w:rsidRDefault="008F141F">
      <w:pPr>
        <w:spacing w:after="0" w:line="240" w:lineRule="auto"/>
        <w:ind w:firstLine="567"/>
        <w:jc w:val="both"/>
        <w:rPr>
          <w:sz w:val="24"/>
          <w:szCs w:val="24"/>
        </w:rPr>
      </w:pPr>
      <w:r>
        <w:rPr>
          <w:sz w:val="24"/>
          <w:szCs w:val="24"/>
        </w:rPr>
        <w:t>По состоянию на 31.12.2019 на территории Томской области лицензию на управление многоквартирными домами имели 138 управляющих организаций, из которых 8 лицензиатов не имели домов в управлении, а в управлении остальных 130 компаний находилось 3 151 многоквартирный дом.</w:t>
      </w:r>
    </w:p>
    <w:p w:rsidR="007E27CB" w:rsidRDefault="008F141F">
      <w:pPr>
        <w:spacing w:after="0" w:line="240" w:lineRule="auto"/>
        <w:ind w:firstLine="567"/>
        <w:jc w:val="both"/>
        <w:rPr>
          <w:sz w:val="24"/>
          <w:szCs w:val="24"/>
        </w:rPr>
      </w:pPr>
      <w:r>
        <w:rPr>
          <w:sz w:val="24"/>
          <w:szCs w:val="24"/>
        </w:rPr>
        <w:t>В 2019 году выданы лицензии 9 управляющим организациям. Действие 7 лицензий было прекращено в связи с прекращением лицензиатами деятельности по управлению многоквартирными домами.</w:t>
      </w:r>
    </w:p>
    <w:p w:rsidR="007E27CB" w:rsidRDefault="008F141F">
      <w:pPr>
        <w:pStyle w:val="a6"/>
        <w:spacing w:after="0" w:line="240" w:lineRule="auto"/>
        <w:ind w:left="0" w:firstLine="567"/>
        <w:jc w:val="both"/>
        <w:rPr>
          <w:rFonts w:ascii="Times New Roman" w:hAnsi="Times New Roman"/>
          <w:bCs/>
          <w:sz w:val="24"/>
          <w:szCs w:val="24"/>
        </w:rPr>
      </w:pPr>
      <w:r>
        <w:rPr>
          <w:rFonts w:ascii="Times New Roman" w:hAnsi="Times New Roman"/>
          <w:sz w:val="24"/>
          <w:szCs w:val="24"/>
        </w:rPr>
        <w:t xml:space="preserve">В Томской области с 2009 года наблюдалась устойчивая тенденция роста количества обращений граждан по вопросам жилищного и коммунального хозяйства. Наметившийся в 2018 году спад (5 668 обращений) в 2019 году сменился резким ростом </w:t>
      </w:r>
      <w:r>
        <w:t>–</w:t>
      </w:r>
      <w:r>
        <w:rPr>
          <w:rFonts w:ascii="Times New Roman" w:hAnsi="Times New Roman"/>
          <w:sz w:val="24"/>
          <w:szCs w:val="24"/>
        </w:rPr>
        <w:t xml:space="preserve"> на 31%, число обращений составило 7 425.</w:t>
      </w:r>
      <w:r>
        <w:rPr>
          <w:rFonts w:ascii="Times New Roman" w:hAnsi="Times New Roman"/>
          <w:bCs/>
          <w:sz w:val="24"/>
          <w:szCs w:val="24"/>
        </w:rPr>
        <w:t xml:space="preserve"> Причинами роста количества обращений послужили следующие факторы:</w:t>
      </w:r>
    </w:p>
    <w:p w:rsidR="007E27CB" w:rsidRDefault="008F141F">
      <w:pPr>
        <w:pStyle w:val="a6"/>
        <w:numPr>
          <w:ilvl w:val="0"/>
          <w:numId w:val="211"/>
        </w:numPr>
        <w:tabs>
          <w:tab w:val="left" w:pos="851"/>
        </w:tabs>
        <w:spacing w:after="0" w:line="240" w:lineRule="auto"/>
        <w:ind w:left="0" w:firstLine="567"/>
        <w:jc w:val="both"/>
        <w:rPr>
          <w:rFonts w:ascii="Times New Roman" w:hAnsi="Times New Roman"/>
          <w:bCs/>
          <w:sz w:val="24"/>
          <w:szCs w:val="24"/>
        </w:rPr>
      </w:pPr>
      <w:r>
        <w:rPr>
          <w:rFonts w:ascii="Times New Roman" w:hAnsi="Times New Roman"/>
          <w:bCs/>
          <w:sz w:val="24"/>
          <w:szCs w:val="24"/>
        </w:rPr>
        <w:t>включение платы за обращение с ТКО в состав платы за коммунальные услуги;</w:t>
      </w:r>
    </w:p>
    <w:p w:rsidR="007E27CB" w:rsidRDefault="008F141F">
      <w:pPr>
        <w:pStyle w:val="a6"/>
        <w:numPr>
          <w:ilvl w:val="0"/>
          <w:numId w:val="211"/>
        </w:numPr>
        <w:tabs>
          <w:tab w:val="left" w:pos="851"/>
        </w:tabs>
        <w:spacing w:after="0" w:line="240" w:lineRule="auto"/>
        <w:ind w:left="0" w:firstLine="567"/>
        <w:jc w:val="both"/>
        <w:rPr>
          <w:rFonts w:ascii="Times New Roman" w:hAnsi="Times New Roman"/>
          <w:bCs/>
          <w:sz w:val="24"/>
          <w:szCs w:val="24"/>
        </w:rPr>
      </w:pPr>
      <w:r>
        <w:rPr>
          <w:rFonts w:ascii="Times New Roman" w:hAnsi="Times New Roman"/>
          <w:bCs/>
          <w:sz w:val="24"/>
          <w:szCs w:val="24"/>
        </w:rPr>
        <w:t>нарушения сроков проведения капитального ремонта наружных систем теплоснабжения и ГВС;</w:t>
      </w:r>
    </w:p>
    <w:p w:rsidR="007E27CB" w:rsidRDefault="008F141F">
      <w:pPr>
        <w:pStyle w:val="a6"/>
        <w:numPr>
          <w:ilvl w:val="0"/>
          <w:numId w:val="211"/>
        </w:numPr>
        <w:tabs>
          <w:tab w:val="left" w:pos="851"/>
        </w:tabs>
        <w:spacing w:after="0" w:line="240" w:lineRule="auto"/>
        <w:ind w:left="0" w:firstLine="567"/>
        <w:jc w:val="both"/>
        <w:rPr>
          <w:rFonts w:ascii="Times New Roman" w:hAnsi="Times New Roman"/>
          <w:bCs/>
          <w:sz w:val="24"/>
          <w:szCs w:val="24"/>
        </w:rPr>
      </w:pPr>
      <w:r>
        <w:rPr>
          <w:rFonts w:ascii="Times New Roman" w:hAnsi="Times New Roman"/>
          <w:bCs/>
          <w:sz w:val="24"/>
          <w:szCs w:val="24"/>
        </w:rPr>
        <w:t>повышение юридической грамотности населения.</w:t>
      </w:r>
    </w:p>
    <w:p w:rsidR="007E27CB" w:rsidRDefault="008F141F">
      <w:pPr>
        <w:spacing w:after="0" w:line="240" w:lineRule="auto"/>
        <w:ind w:firstLine="567"/>
        <w:jc w:val="both"/>
        <w:rPr>
          <w:sz w:val="24"/>
          <w:szCs w:val="24"/>
        </w:rPr>
      </w:pPr>
      <w:r>
        <w:rPr>
          <w:sz w:val="24"/>
          <w:szCs w:val="24"/>
        </w:rPr>
        <w:t>В рамках лицензионного контроля в 2019 году проведено 745 проверок, по результатам которых выдано 369 предписаний об устранении нарушений лицензионных требований, составлено 119 протоколов об административных правонарушениях.</w:t>
      </w:r>
    </w:p>
    <w:p w:rsidR="007E27CB" w:rsidRDefault="008F141F">
      <w:pPr>
        <w:spacing w:after="0" w:line="240" w:lineRule="auto"/>
        <w:ind w:firstLine="567"/>
        <w:jc w:val="both"/>
        <w:rPr>
          <w:sz w:val="24"/>
          <w:szCs w:val="24"/>
        </w:rPr>
      </w:pPr>
      <w:r>
        <w:rPr>
          <w:sz w:val="24"/>
          <w:szCs w:val="24"/>
        </w:rPr>
        <w:t>В рамках государственного жилищного надзора проведено 588 проверок. По результатам проверок выявлено 533 нарушения, выдано 226 предписаний об устранении нарушений законодательства. По итогам проверок составлено 154 протокола об административных правонарушениях.</w:t>
      </w:r>
    </w:p>
    <w:p w:rsidR="007E27CB" w:rsidRDefault="008F141F">
      <w:pPr>
        <w:spacing w:after="0" w:line="240" w:lineRule="auto"/>
        <w:ind w:firstLine="567"/>
        <w:jc w:val="both"/>
        <w:rPr>
          <w:sz w:val="24"/>
          <w:szCs w:val="24"/>
        </w:rPr>
      </w:pPr>
      <w:r>
        <w:rPr>
          <w:sz w:val="24"/>
          <w:szCs w:val="24"/>
        </w:rPr>
        <w:t>По результатам рассмотрения дел об административных правонарушениях в рамках лицензионного контроля и государственного жилищного надзора на виновных лиц наложен штраф на общую сумму 3,4 млн. рублей.</w:t>
      </w:r>
    </w:p>
    <w:p w:rsidR="007E27CB" w:rsidRDefault="007E27CB">
      <w:pPr>
        <w:spacing w:after="0" w:line="240" w:lineRule="auto"/>
        <w:ind w:firstLine="567"/>
        <w:jc w:val="both"/>
        <w:rPr>
          <w:b/>
          <w:sz w:val="24"/>
          <w:szCs w:val="24"/>
        </w:rPr>
      </w:pPr>
    </w:p>
    <w:p w:rsidR="007E27CB" w:rsidRDefault="008F141F">
      <w:pPr>
        <w:spacing w:after="0" w:line="240" w:lineRule="auto"/>
        <w:ind w:firstLine="567"/>
        <w:jc w:val="both"/>
        <w:rPr>
          <w:b/>
          <w:sz w:val="24"/>
          <w:szCs w:val="24"/>
        </w:rPr>
      </w:pPr>
      <w:r>
        <w:rPr>
          <w:b/>
          <w:sz w:val="24"/>
          <w:szCs w:val="24"/>
        </w:rPr>
        <w:t>КОММУНАЛЬНАЯ ИНФРАСТРУКТУРА</w:t>
      </w:r>
      <w:r>
        <w:rPr>
          <w:rStyle w:val="af3"/>
          <w:b/>
          <w:sz w:val="24"/>
          <w:szCs w:val="24"/>
        </w:rPr>
        <w:footnoteReference w:id="22"/>
      </w:r>
    </w:p>
    <w:p w:rsidR="007E27CB" w:rsidRDefault="007E27CB">
      <w:pPr>
        <w:spacing w:after="0" w:line="240" w:lineRule="auto"/>
        <w:ind w:firstLine="567"/>
        <w:jc w:val="both"/>
        <w:rPr>
          <w:b/>
          <w:sz w:val="24"/>
          <w:szCs w:val="24"/>
        </w:rPr>
      </w:pPr>
    </w:p>
    <w:p w:rsidR="007E27CB" w:rsidRDefault="008F141F">
      <w:pPr>
        <w:tabs>
          <w:tab w:val="left" w:pos="993"/>
        </w:tabs>
        <w:spacing w:after="0" w:line="240" w:lineRule="auto"/>
        <w:ind w:firstLine="567"/>
        <w:jc w:val="both"/>
        <w:rPr>
          <w:sz w:val="24"/>
          <w:szCs w:val="24"/>
        </w:rPr>
      </w:pPr>
      <w:r>
        <w:rPr>
          <w:sz w:val="24"/>
          <w:szCs w:val="24"/>
        </w:rPr>
        <w:t>В рамках реализации государственной программы «Развитие коммунальной и коммуникационной инфраструктуры в Томской области» в 2019 году:</w:t>
      </w:r>
    </w:p>
    <w:p w:rsidR="007E27CB" w:rsidRDefault="008F141F">
      <w:pPr>
        <w:pStyle w:val="a6"/>
        <w:numPr>
          <w:ilvl w:val="2"/>
          <w:numId w:val="49"/>
        </w:numPr>
        <w:tabs>
          <w:tab w:val="left" w:pos="993"/>
        </w:tabs>
        <w:spacing w:after="0" w:line="240" w:lineRule="auto"/>
        <w:ind w:left="0" w:firstLine="567"/>
        <w:jc w:val="both"/>
        <w:rPr>
          <w:rFonts w:ascii="Times New Roman" w:hAnsi="Times New Roman"/>
          <w:sz w:val="24"/>
          <w:szCs w:val="24"/>
        </w:rPr>
      </w:pPr>
      <w:r>
        <w:rPr>
          <w:rFonts w:ascii="Times New Roman" w:hAnsi="Times New Roman"/>
          <w:sz w:val="24"/>
          <w:szCs w:val="24"/>
        </w:rPr>
        <w:t>за счет средств областного бюджета продолжена реализация Губернаторского проекта «Чистая вода» по установке локальных водоочистных комплексов в сельских территориях Томской области: установлены 23 водоочистных комплекса в 23 населенных пунктах. В результате численность сельского населения Томской области, получившего доступ к воде питьевого качества, возросла на 8,9 тыс. человек, до 90 тыс. человек.</w:t>
      </w:r>
    </w:p>
    <w:p w:rsidR="007E27CB" w:rsidRDefault="008F141F">
      <w:pPr>
        <w:tabs>
          <w:tab w:val="left" w:pos="993"/>
        </w:tabs>
        <w:spacing w:after="0" w:line="240" w:lineRule="auto"/>
        <w:ind w:firstLine="567"/>
        <w:jc w:val="both"/>
        <w:rPr>
          <w:sz w:val="24"/>
          <w:szCs w:val="24"/>
        </w:rPr>
      </w:pPr>
      <w:r>
        <w:rPr>
          <w:sz w:val="24"/>
          <w:szCs w:val="24"/>
        </w:rPr>
        <w:t>С участием средств федерального бюджета в рамках регионального проекта «Чистая вода» национального проекта «Экология» профинансировано строительство станции водоподготовки в д. Лоскутово муниципального образования «Город Томск»;</w:t>
      </w:r>
    </w:p>
    <w:p w:rsidR="007E27CB" w:rsidRDefault="008F141F">
      <w:pPr>
        <w:pStyle w:val="a6"/>
        <w:numPr>
          <w:ilvl w:val="2"/>
          <w:numId w:val="49"/>
        </w:numPr>
        <w:tabs>
          <w:tab w:val="left" w:pos="993"/>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на подготовку к зиме из областного бюджета выделено 64,6 млн. рублей (в 2018 году </w:t>
      </w:r>
      <w:r>
        <w:t>–</w:t>
      </w:r>
      <w:r>
        <w:rPr>
          <w:rFonts w:ascii="Times New Roman" w:hAnsi="Times New Roman"/>
          <w:sz w:val="24"/>
          <w:szCs w:val="24"/>
        </w:rPr>
        <w:t xml:space="preserve"> 48,4 млн. рублей). Средства направлены на капитальный ремонт 66 объектов коммунальной инфраструктуры в 19 муниципальных образованиях Томской области.</w:t>
      </w:r>
    </w:p>
    <w:p w:rsidR="007E27CB" w:rsidRDefault="008F141F">
      <w:pPr>
        <w:spacing w:after="0" w:line="240" w:lineRule="auto"/>
        <w:ind w:firstLine="567"/>
        <w:jc w:val="both"/>
        <w:rPr>
          <w:sz w:val="24"/>
          <w:szCs w:val="24"/>
        </w:rPr>
      </w:pPr>
      <w:r>
        <w:rPr>
          <w:sz w:val="24"/>
          <w:szCs w:val="24"/>
        </w:rPr>
        <w:t>Реализованы мероприятия по модернизации инфраструктуры в сфере теплоснабжения:</w:t>
      </w:r>
    </w:p>
    <w:p w:rsidR="007E27CB" w:rsidRDefault="008F141F">
      <w:pPr>
        <w:pStyle w:val="a6"/>
        <w:numPr>
          <w:ilvl w:val="0"/>
          <w:numId w:val="65"/>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строительство напорного канализационного коллектора от КНС-Обь в                   г. Стрежевой (участок коллектора КНС-Обь № 4);</w:t>
      </w:r>
    </w:p>
    <w:p w:rsidR="007E27CB" w:rsidRDefault="008F141F">
      <w:pPr>
        <w:pStyle w:val="a6"/>
        <w:numPr>
          <w:ilvl w:val="0"/>
          <w:numId w:val="65"/>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приобретение проектно-сметной документации на объект «Твердотопливные котельные на щепе и сети теплоснабжения Белоярского городского поселения»;</w:t>
      </w:r>
    </w:p>
    <w:p w:rsidR="007E27CB" w:rsidRDefault="008F141F">
      <w:pPr>
        <w:pStyle w:val="a6"/>
        <w:numPr>
          <w:ilvl w:val="0"/>
          <w:numId w:val="65"/>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приобретение газовой блочно-модульной котельной мощностью 12 МВт в             п. Аэропорт Томского района;</w:t>
      </w:r>
    </w:p>
    <w:p w:rsidR="007E27CB" w:rsidRDefault="008F141F">
      <w:pPr>
        <w:pStyle w:val="a6"/>
        <w:numPr>
          <w:ilvl w:val="0"/>
          <w:numId w:val="65"/>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произведен окончательный расчет по муниципальным контрактам на приобретение 2 котельных в муниципальную собственность: газовая котельная производительностью 4,5 МВт в с. Кривошеино и блочно-модульная газовая котельная мощностью 7,5 МВт с подводящими инженерными сетями и сооружениями в                     с. Моряковский Затон.</w:t>
      </w:r>
    </w:p>
    <w:p w:rsidR="007E27CB" w:rsidRDefault="008F141F">
      <w:pPr>
        <w:pStyle w:val="a6"/>
        <w:tabs>
          <w:tab w:val="left" w:pos="993"/>
        </w:tabs>
        <w:spacing w:after="0" w:line="240" w:lineRule="auto"/>
        <w:ind w:left="0" w:firstLine="567"/>
        <w:jc w:val="both"/>
        <w:rPr>
          <w:rFonts w:ascii="Times New Roman" w:hAnsi="Times New Roman"/>
          <w:sz w:val="24"/>
          <w:szCs w:val="24"/>
        </w:rPr>
      </w:pPr>
      <w:r>
        <w:rPr>
          <w:rFonts w:ascii="Times New Roman" w:hAnsi="Times New Roman"/>
          <w:sz w:val="24"/>
          <w:szCs w:val="24"/>
        </w:rPr>
        <w:t>За 2019 год число аварий в системах теплоснабжения, водоснабжения и очистки сточных вод составило 168.</w:t>
      </w:r>
    </w:p>
    <w:p w:rsidR="007E27CB" w:rsidRDefault="007E27CB">
      <w:pPr>
        <w:spacing w:after="0" w:line="240" w:lineRule="auto"/>
        <w:ind w:firstLine="709"/>
        <w:jc w:val="both"/>
        <w:rPr>
          <w:b/>
          <w:sz w:val="24"/>
          <w:szCs w:val="24"/>
        </w:rPr>
      </w:pPr>
    </w:p>
    <w:p w:rsidR="007E27CB" w:rsidRDefault="008F141F">
      <w:pPr>
        <w:shd w:val="clear" w:color="auto" w:fill="F2F2F2" w:themeFill="background1" w:themeFillShade="F2"/>
        <w:tabs>
          <w:tab w:val="left" w:pos="4962"/>
        </w:tabs>
        <w:spacing w:after="0" w:line="240" w:lineRule="auto"/>
        <w:jc w:val="both"/>
        <w:rPr>
          <w:b/>
          <w:color w:val="000000" w:themeColor="text1"/>
          <w:sz w:val="24"/>
          <w:szCs w:val="24"/>
        </w:rPr>
      </w:pPr>
      <w:r>
        <w:rPr>
          <w:b/>
          <w:color w:val="000000" w:themeColor="text1"/>
          <w:sz w:val="24"/>
          <w:szCs w:val="24"/>
        </w:rPr>
        <w:t xml:space="preserve">Перспективные задачи </w:t>
      </w:r>
    </w:p>
    <w:p w:rsidR="007E27CB" w:rsidRDefault="007E27CB">
      <w:pPr>
        <w:spacing w:after="0" w:line="240" w:lineRule="auto"/>
        <w:jc w:val="both"/>
        <w:rPr>
          <w:b/>
          <w:sz w:val="24"/>
          <w:szCs w:val="24"/>
        </w:rPr>
      </w:pPr>
    </w:p>
    <w:p w:rsidR="007E27CB" w:rsidRDefault="008F141F">
      <w:pPr>
        <w:pStyle w:val="a6"/>
        <w:numPr>
          <w:ilvl w:val="0"/>
          <w:numId w:val="212"/>
        </w:numPr>
        <w:tabs>
          <w:tab w:val="left" w:pos="284"/>
        </w:tabs>
        <w:spacing w:after="0" w:line="240" w:lineRule="auto"/>
        <w:ind w:left="0" w:firstLine="0"/>
        <w:jc w:val="both"/>
        <w:rPr>
          <w:rFonts w:ascii="Times New Roman" w:hAnsi="Times New Roman"/>
          <w:sz w:val="24"/>
          <w:szCs w:val="24"/>
        </w:rPr>
      </w:pPr>
      <w:r>
        <w:rPr>
          <w:rFonts w:ascii="Times New Roman" w:hAnsi="Times New Roman"/>
          <w:sz w:val="24"/>
          <w:szCs w:val="24"/>
        </w:rPr>
        <w:t>Реализация Региональной программы капитального ремонта общего имущества в многоквартирных домах, расположенных на территории Томской области, государственной программы «Жилье и городская среда Томской области».</w:t>
      </w:r>
    </w:p>
    <w:p w:rsidR="007E27CB" w:rsidRDefault="008F141F">
      <w:pPr>
        <w:pStyle w:val="a6"/>
        <w:numPr>
          <w:ilvl w:val="0"/>
          <w:numId w:val="212"/>
        </w:numPr>
        <w:tabs>
          <w:tab w:val="left" w:pos="284"/>
        </w:tabs>
        <w:spacing w:after="0" w:line="240" w:lineRule="auto"/>
        <w:ind w:left="0" w:firstLine="0"/>
        <w:jc w:val="both"/>
        <w:rPr>
          <w:rFonts w:ascii="Times New Roman" w:hAnsi="Times New Roman"/>
          <w:sz w:val="24"/>
          <w:szCs w:val="24"/>
        </w:rPr>
      </w:pPr>
      <w:r>
        <w:rPr>
          <w:rFonts w:ascii="Times New Roman" w:hAnsi="Times New Roman"/>
          <w:sz w:val="24"/>
          <w:szCs w:val="24"/>
        </w:rPr>
        <w:t>Продолжение реализации государственной программы «Развитие коммунальной инфраструктуры в Томской области» с целью недопущения увеличения аварийности в системах теплоснабжения, водоснабжения и очистки сточных вод.</w:t>
      </w:r>
    </w:p>
    <w:p w:rsidR="007E27CB" w:rsidRDefault="008F141F">
      <w:pPr>
        <w:pStyle w:val="a6"/>
        <w:numPr>
          <w:ilvl w:val="0"/>
          <w:numId w:val="212"/>
        </w:numPr>
        <w:tabs>
          <w:tab w:val="left" w:pos="284"/>
        </w:tabs>
        <w:spacing w:after="0" w:line="240" w:lineRule="auto"/>
        <w:ind w:left="0" w:firstLine="0"/>
        <w:jc w:val="both"/>
        <w:rPr>
          <w:rFonts w:ascii="Times New Roman" w:hAnsi="Times New Roman"/>
          <w:b/>
          <w:bCs/>
          <w:color w:val="000000"/>
          <w:sz w:val="24"/>
          <w:szCs w:val="24"/>
        </w:rPr>
      </w:pPr>
      <w:r>
        <w:rPr>
          <w:rFonts w:ascii="Times New Roman" w:hAnsi="Times New Roman"/>
          <w:iCs/>
          <w:sz w:val="24"/>
          <w:szCs w:val="24"/>
        </w:rPr>
        <w:t>Совершенствование деятельности государственного жилищного надзора и лицензионного контроля за счет укрепления кадрового состава и материально-технической базы регионального органа жилищного надзора.</w:t>
      </w:r>
    </w:p>
    <w:p w:rsidR="007E27CB" w:rsidRDefault="007E27CB">
      <w:pPr>
        <w:pStyle w:val="Pa3"/>
        <w:spacing w:line="240" w:lineRule="auto"/>
        <w:ind w:firstLine="709"/>
        <w:rPr>
          <w:rFonts w:ascii="Times New Roman" w:hAnsi="Times New Roman"/>
          <w:b/>
          <w:bCs/>
          <w:color w:val="000000"/>
        </w:rPr>
      </w:pPr>
    </w:p>
    <w:p w:rsidR="007E27CB" w:rsidRDefault="008F141F">
      <w:pPr>
        <w:pStyle w:val="Pa3"/>
        <w:spacing w:line="240" w:lineRule="auto"/>
        <w:ind w:firstLine="567"/>
        <w:rPr>
          <w:rFonts w:ascii="Times New Roman" w:hAnsi="Times New Roman"/>
          <w:b/>
          <w:bCs/>
          <w:color w:val="000000"/>
        </w:rPr>
      </w:pPr>
      <w:r>
        <w:rPr>
          <w:rFonts w:ascii="Times New Roman" w:hAnsi="Times New Roman"/>
          <w:b/>
          <w:bCs/>
          <w:color w:val="000000"/>
        </w:rPr>
        <w:t>СВЯЗЬ</w:t>
      </w:r>
      <w:r>
        <w:rPr>
          <w:rStyle w:val="af3"/>
          <w:rFonts w:ascii="Times New Roman" w:hAnsi="Times New Roman"/>
          <w:b/>
          <w:bCs/>
          <w:color w:val="000000"/>
        </w:rPr>
        <w:footnoteReference w:id="23"/>
      </w:r>
    </w:p>
    <w:p w:rsidR="007E27CB" w:rsidRDefault="007E27CB">
      <w:pPr>
        <w:spacing w:after="0" w:line="240" w:lineRule="auto"/>
        <w:ind w:firstLine="567"/>
        <w:rPr>
          <w:sz w:val="24"/>
          <w:szCs w:val="24"/>
          <w:lang w:eastAsia="ru-RU"/>
        </w:rPr>
      </w:pPr>
    </w:p>
    <w:p w:rsidR="007E27CB" w:rsidRDefault="008F141F">
      <w:pPr>
        <w:spacing w:after="0" w:line="240" w:lineRule="auto"/>
        <w:ind w:firstLine="567"/>
        <w:jc w:val="both"/>
        <w:rPr>
          <w:i/>
          <w:iCs/>
          <w:color w:val="000000"/>
          <w:sz w:val="24"/>
          <w:szCs w:val="24"/>
        </w:rPr>
      </w:pPr>
      <w:r>
        <w:rPr>
          <w:i/>
          <w:iCs/>
          <w:color w:val="000000"/>
          <w:sz w:val="24"/>
          <w:szCs w:val="24"/>
        </w:rPr>
        <w:t xml:space="preserve">ПОДВИЖНАЯ РАДИОТЕЛЕФОННАЯ СВЯЗЬ </w:t>
      </w:r>
    </w:p>
    <w:p w:rsidR="007E27CB" w:rsidRDefault="008F141F">
      <w:pPr>
        <w:spacing w:after="0" w:line="240" w:lineRule="auto"/>
        <w:ind w:firstLine="567"/>
        <w:jc w:val="both"/>
        <w:rPr>
          <w:sz w:val="24"/>
          <w:szCs w:val="24"/>
        </w:rPr>
      </w:pPr>
      <w:r>
        <w:rPr>
          <w:sz w:val="24"/>
          <w:szCs w:val="24"/>
        </w:rPr>
        <w:t xml:space="preserve">В 2019 году продолжена реализация программы по развитию сотовой связи в отдаленных населенных пунктах Томской области. </w:t>
      </w:r>
    </w:p>
    <w:p w:rsidR="007E27CB" w:rsidRDefault="008F141F">
      <w:pPr>
        <w:spacing w:after="0" w:line="240" w:lineRule="auto"/>
        <w:ind w:firstLine="567"/>
        <w:jc w:val="both"/>
        <w:rPr>
          <w:sz w:val="24"/>
          <w:szCs w:val="24"/>
        </w:rPr>
      </w:pPr>
      <w:r>
        <w:rPr>
          <w:sz w:val="24"/>
          <w:szCs w:val="24"/>
        </w:rPr>
        <w:t>За счет средств областного бюджета обеспечен доступ/улучшено качество подвижной радиотелефонной связи в 8 населенных пунктах Томской области:               пос. Октябрьский Александровского района, пос. Куржино Колпашевского района, с.Шиняево, с.Мишутино Зырянского района, д. Головина Томского района, с. Новая Бурка Бакчарского района, с. Новомариинка Первомайского района, с. Петровка Кривошеинского района (1,5 тыс. человек). Общий объем выделенных бюджетных средств в 2019 году составил 12 млн. рублей.</w:t>
      </w:r>
    </w:p>
    <w:p w:rsidR="007E27CB" w:rsidRDefault="007E27CB">
      <w:pPr>
        <w:spacing w:after="0" w:line="240" w:lineRule="auto"/>
        <w:ind w:firstLine="567"/>
        <w:jc w:val="both"/>
        <w:rPr>
          <w:sz w:val="24"/>
          <w:szCs w:val="24"/>
        </w:rPr>
      </w:pPr>
    </w:p>
    <w:p w:rsidR="007E27CB" w:rsidRDefault="008F141F">
      <w:pPr>
        <w:spacing w:after="0" w:line="240" w:lineRule="auto"/>
        <w:ind w:firstLine="567"/>
        <w:jc w:val="both"/>
        <w:rPr>
          <w:i/>
          <w:sz w:val="24"/>
          <w:szCs w:val="24"/>
        </w:rPr>
      </w:pPr>
      <w:r>
        <w:rPr>
          <w:i/>
          <w:sz w:val="24"/>
          <w:szCs w:val="24"/>
        </w:rPr>
        <w:t>ИНТЕРНЕТ</w:t>
      </w:r>
    </w:p>
    <w:p w:rsidR="007E27CB" w:rsidRDefault="008F141F">
      <w:pPr>
        <w:spacing w:after="0" w:line="240" w:lineRule="auto"/>
        <w:ind w:firstLine="567"/>
        <w:jc w:val="both"/>
        <w:rPr>
          <w:sz w:val="24"/>
          <w:szCs w:val="24"/>
        </w:rPr>
      </w:pPr>
      <w:r>
        <w:rPr>
          <w:sz w:val="24"/>
          <w:szCs w:val="24"/>
        </w:rPr>
        <w:t>Доступ к сети Интернет не представлен преимущественно в труднодоступных и удаленных населенных пунктах региона, где прокладка линий связи является экономически невыгодной для операторов. В целях обеспечения равного доступа населения к современным услугам связи на федеральном уровне с 2015 года реализуется проект «Устранение цифрового неравенства».</w:t>
      </w:r>
    </w:p>
    <w:p w:rsidR="007E27CB" w:rsidRDefault="008F141F">
      <w:pPr>
        <w:spacing w:after="0" w:line="240" w:lineRule="auto"/>
        <w:ind w:firstLine="567"/>
        <w:jc w:val="both"/>
        <w:rPr>
          <w:sz w:val="24"/>
          <w:szCs w:val="24"/>
        </w:rPr>
      </w:pPr>
      <w:r>
        <w:rPr>
          <w:sz w:val="24"/>
          <w:szCs w:val="24"/>
        </w:rPr>
        <w:t xml:space="preserve">Реализация проекта предусматривает предоставление услуги передачи данных на скорости не менее 10 Мбит/с в точках доступа, расположенных в населенных пунктах с численностью от 250 до 500 человек. </w:t>
      </w:r>
    </w:p>
    <w:p w:rsidR="007E27CB" w:rsidRDefault="008F141F">
      <w:pPr>
        <w:spacing w:after="0" w:line="240" w:lineRule="auto"/>
        <w:ind w:firstLine="567"/>
        <w:jc w:val="both"/>
        <w:rPr>
          <w:sz w:val="24"/>
          <w:szCs w:val="24"/>
        </w:rPr>
      </w:pPr>
      <w:r>
        <w:rPr>
          <w:sz w:val="24"/>
          <w:szCs w:val="24"/>
        </w:rPr>
        <w:t xml:space="preserve">В 2019 году точки доступа организованы в 18 населенных пунктах Томской области: Копыловка Колпашевского района, Напас и Сосновка Каргасокского района, Калмаки, Крутоложное, Куяново, Торбеево Первомайского района, Эушта, Белоусово, Березкино, Борики, Коларово, Кудринский участок, Новомихайловка, Петровка, Петрово, Синий Утес, Яр Томского района. </w:t>
      </w:r>
    </w:p>
    <w:p w:rsidR="007E27CB" w:rsidRDefault="008F141F">
      <w:pPr>
        <w:spacing w:after="0" w:line="240" w:lineRule="auto"/>
        <w:ind w:firstLine="567"/>
        <w:jc w:val="both"/>
        <w:rPr>
          <w:sz w:val="24"/>
          <w:szCs w:val="24"/>
        </w:rPr>
      </w:pPr>
      <w:r>
        <w:rPr>
          <w:sz w:val="24"/>
          <w:szCs w:val="24"/>
        </w:rPr>
        <w:t xml:space="preserve">В 2019 году стартовала реализация регионального проекта «Информационная инфраструктура» национального проекта «Цифровая экономика», в рамках которого предусмотрено подключение социально значимых объектов (учреждения образования, больницы, ФАП, пожарные части, ОМСУ, избирательные комиссии) к сети Интернет. </w:t>
      </w:r>
    </w:p>
    <w:p w:rsidR="007E27CB" w:rsidRDefault="007E27CB">
      <w:pPr>
        <w:spacing w:after="0" w:line="240" w:lineRule="auto"/>
        <w:ind w:firstLine="567"/>
        <w:jc w:val="both"/>
        <w:rPr>
          <w:sz w:val="24"/>
          <w:szCs w:val="24"/>
        </w:rPr>
      </w:pPr>
    </w:p>
    <w:p w:rsidR="007E27CB" w:rsidRDefault="008F141F">
      <w:pPr>
        <w:spacing w:after="0" w:line="240" w:lineRule="auto"/>
        <w:ind w:firstLine="567"/>
        <w:jc w:val="both"/>
        <w:rPr>
          <w:i/>
          <w:sz w:val="24"/>
          <w:szCs w:val="24"/>
        </w:rPr>
      </w:pPr>
      <w:r>
        <w:rPr>
          <w:i/>
          <w:sz w:val="24"/>
          <w:szCs w:val="24"/>
        </w:rPr>
        <w:t>ЦИФРОВОЕ ТВ</w:t>
      </w:r>
    </w:p>
    <w:p w:rsidR="007E27CB" w:rsidRDefault="008F141F">
      <w:pPr>
        <w:spacing w:after="0" w:line="240" w:lineRule="auto"/>
        <w:ind w:firstLine="567"/>
        <w:jc w:val="both"/>
        <w:rPr>
          <w:sz w:val="24"/>
          <w:szCs w:val="24"/>
        </w:rPr>
      </w:pPr>
      <w:r>
        <w:rPr>
          <w:sz w:val="24"/>
          <w:szCs w:val="24"/>
        </w:rPr>
        <w:t xml:space="preserve">В 2019 году Томская область перешла на эфирное цифровое телевидение. </w:t>
      </w:r>
    </w:p>
    <w:p w:rsidR="007E27CB" w:rsidRDefault="008F141F">
      <w:pPr>
        <w:spacing w:after="0" w:line="240" w:lineRule="auto"/>
        <w:ind w:firstLine="567"/>
        <w:jc w:val="both"/>
        <w:rPr>
          <w:sz w:val="24"/>
          <w:szCs w:val="24"/>
        </w:rPr>
      </w:pPr>
      <w:r>
        <w:rPr>
          <w:sz w:val="24"/>
          <w:szCs w:val="24"/>
        </w:rPr>
        <w:t xml:space="preserve">Отказ России от аналогового телевещания в пользу более современного цифрового формата был предусмотрен федеральной целевой программой «Развитие телерадиовещания на 2009 </w:t>
      </w:r>
      <w:r>
        <w:t xml:space="preserve">– </w:t>
      </w:r>
      <w:r>
        <w:rPr>
          <w:sz w:val="24"/>
          <w:szCs w:val="24"/>
        </w:rPr>
        <w:t>2018 годы» (далее по разделу – Программа), принятой в 2008 году.</w:t>
      </w:r>
    </w:p>
    <w:p w:rsidR="007E27CB" w:rsidRDefault="008F141F">
      <w:pPr>
        <w:spacing w:after="0" w:line="240" w:lineRule="auto"/>
        <w:ind w:firstLine="567"/>
        <w:jc w:val="both"/>
        <w:rPr>
          <w:sz w:val="24"/>
          <w:szCs w:val="24"/>
        </w:rPr>
      </w:pPr>
      <w:r>
        <w:rPr>
          <w:sz w:val="24"/>
          <w:szCs w:val="24"/>
        </w:rPr>
        <w:t>На начало реализации Программы более 40% жителей Томской области имели возможность принимать только до пяти аналоговых телевизионных программ.</w:t>
      </w:r>
    </w:p>
    <w:p w:rsidR="007E27CB" w:rsidRDefault="008F141F">
      <w:pPr>
        <w:spacing w:after="0" w:line="240" w:lineRule="auto"/>
        <w:ind w:firstLine="567"/>
        <w:jc w:val="both"/>
        <w:rPr>
          <w:sz w:val="24"/>
          <w:szCs w:val="24"/>
        </w:rPr>
      </w:pPr>
      <w:r>
        <w:rPr>
          <w:sz w:val="24"/>
          <w:szCs w:val="24"/>
        </w:rPr>
        <w:t>По результатам завершения реализации Программы сигнал двадцати обязательных общедоступных телеканалов и трех радиостанций в составе первого и второго мультиплекса доступен для 97,1% населения региона.</w:t>
      </w:r>
    </w:p>
    <w:p w:rsidR="007E27CB" w:rsidRDefault="008F141F">
      <w:pPr>
        <w:spacing w:after="0" w:line="240" w:lineRule="auto"/>
        <w:ind w:firstLine="567"/>
        <w:jc w:val="both"/>
        <w:rPr>
          <w:sz w:val="24"/>
          <w:szCs w:val="24"/>
        </w:rPr>
      </w:pPr>
      <w:r>
        <w:rPr>
          <w:sz w:val="24"/>
          <w:szCs w:val="24"/>
        </w:rPr>
        <w:t>Для жителей, проживающих вне зоны эфирного цифрового ТВ, оказана поддержка по установке спутникового приемного оборудования (адресная помощь предоставлена 6023 домохозяйствам). Для оказания помощи населению в настройке оборудования и консультирования на базе Томского областного МФЦ с февраля 2019 года работал единый многоканальный телефонный номер, принято более 10,5 тыс. звонков. Было задействовано более 400 волонтеров, которыми оказана помощь почти 5 тыс. домохозяйствах в настройке телевизионного оборудования. Во взаимодействии с торговыми сетями и ФГУП «Почта России» обеспечено наличие в свободной продаже, в том числе в отдаленных населенных пунктах, пользовательского оборудования  для приема телесигнала в цифровом формате. Благодаря слаженной работе всех задействованных органов власти, как региональных, так и местных, МФЦ, волонтеров данный переход прошел без сбоев и по итогам заседания правительственной комиссии по развитию телерадиовещания признан успешным.</w:t>
      </w:r>
    </w:p>
    <w:p w:rsidR="007E27CB" w:rsidRDefault="008F141F">
      <w:pPr>
        <w:spacing w:after="0" w:line="240" w:lineRule="auto"/>
        <w:ind w:firstLine="567"/>
        <w:jc w:val="both"/>
        <w:rPr>
          <w:i/>
          <w:iCs/>
          <w:sz w:val="24"/>
          <w:szCs w:val="24"/>
        </w:rPr>
      </w:pPr>
      <w:r>
        <w:rPr>
          <w:sz w:val="24"/>
          <w:szCs w:val="24"/>
        </w:rPr>
        <w:t xml:space="preserve">В ноябре 2019 года был реализован комплекс мероприятий по обеспечению врезок региональных телеканалов на федеральном телеканале «Общественное телевидение России» (ОТР), который входит в 1-й цифровой мультиплекс. </w:t>
      </w:r>
      <w:r>
        <w:rPr>
          <w:iCs/>
          <w:sz w:val="24"/>
          <w:szCs w:val="24"/>
        </w:rPr>
        <w:t xml:space="preserve">Обязательным общедоступным телеканалом на территории Томской области признан телеканал «Региональная телекомпания «Томское время» (вещатель </w:t>
      </w:r>
      <w:r>
        <w:t xml:space="preserve">– </w:t>
      </w:r>
      <w:r>
        <w:rPr>
          <w:iCs/>
          <w:sz w:val="24"/>
          <w:szCs w:val="24"/>
        </w:rPr>
        <w:t>ООО «Томское время») – телеканал «21 кнопки».</w:t>
      </w:r>
    </w:p>
    <w:p w:rsidR="007E27CB" w:rsidRDefault="008F141F">
      <w:pPr>
        <w:spacing w:after="0" w:line="240" w:lineRule="auto"/>
        <w:jc w:val="both"/>
        <w:rPr>
          <w:rStyle w:val="A90"/>
          <w:rFonts w:cs="Times New Roman"/>
          <w:b/>
          <w:sz w:val="24"/>
          <w:szCs w:val="24"/>
        </w:rPr>
      </w:pPr>
      <w:r>
        <w:rPr>
          <w:rStyle w:val="A90"/>
          <w:rFonts w:cs="Times New Roman"/>
          <w:b/>
          <w:sz w:val="24"/>
          <w:szCs w:val="24"/>
        </w:rPr>
        <w:t>Перспективные задачи</w:t>
      </w:r>
    </w:p>
    <w:p w:rsidR="007E27CB" w:rsidRDefault="007E27CB">
      <w:pPr>
        <w:spacing w:after="0" w:line="240" w:lineRule="auto"/>
        <w:jc w:val="both"/>
        <w:rPr>
          <w:sz w:val="24"/>
          <w:szCs w:val="24"/>
        </w:rPr>
      </w:pPr>
    </w:p>
    <w:p w:rsidR="007E27CB" w:rsidRDefault="008F141F">
      <w:pPr>
        <w:spacing w:after="0" w:line="240" w:lineRule="auto"/>
        <w:jc w:val="both"/>
        <w:rPr>
          <w:sz w:val="24"/>
          <w:szCs w:val="24"/>
        </w:rPr>
      </w:pPr>
      <w:r>
        <w:rPr>
          <w:sz w:val="24"/>
          <w:szCs w:val="24"/>
        </w:rPr>
        <w:t>1. Обеспечение доступности сотовой связи в 4 населенных пунктах Томской области: Высокое Зырянского района, Сухой Лог Чаниского района, Белояровка Колпашевского район, Сосновка Каргасокского района.</w:t>
      </w:r>
    </w:p>
    <w:p w:rsidR="007E27CB" w:rsidRDefault="008F141F">
      <w:pPr>
        <w:spacing w:after="0" w:line="240" w:lineRule="auto"/>
        <w:jc w:val="both"/>
        <w:rPr>
          <w:sz w:val="24"/>
          <w:szCs w:val="24"/>
        </w:rPr>
      </w:pPr>
      <w:r>
        <w:rPr>
          <w:sz w:val="24"/>
          <w:szCs w:val="24"/>
        </w:rPr>
        <w:t>2. Организация работ по созданию точек доступа к сети Интернет в 13 населенных пунктах Томской области: с. Беловодовка, с. Громышевка, с. Окунево Зырянского района, с. Белосток, с. Малиновка, с. Пудовка, с. Иштан Кривошеинского района, д. Туендат,       д. Ломовицк-2,  д. Успенка и  д. Березовка, п. Аргат-Юл и с. Альмяково Первомайского района.</w:t>
      </w:r>
    </w:p>
    <w:p w:rsidR="007E27CB" w:rsidRDefault="007E27CB">
      <w:pPr>
        <w:tabs>
          <w:tab w:val="left" w:pos="4962"/>
        </w:tabs>
        <w:spacing w:after="0" w:line="240" w:lineRule="auto"/>
        <w:ind w:left="567" w:hanging="567"/>
        <w:rPr>
          <w:rFonts w:eastAsia="Times New Roman"/>
          <w:b/>
          <w:sz w:val="24"/>
          <w:szCs w:val="24"/>
        </w:rPr>
      </w:pPr>
    </w:p>
    <w:p w:rsidR="007E27CB" w:rsidRDefault="008F141F">
      <w:pPr>
        <w:tabs>
          <w:tab w:val="left" w:pos="4962"/>
        </w:tabs>
        <w:spacing w:after="0" w:line="240" w:lineRule="auto"/>
        <w:rPr>
          <w:rFonts w:eastAsia="Times New Roman"/>
          <w:b/>
          <w:sz w:val="24"/>
          <w:szCs w:val="24"/>
        </w:rPr>
      </w:pPr>
      <w:r>
        <w:rPr>
          <w:rFonts w:eastAsia="Times New Roman"/>
          <w:b/>
          <w:sz w:val="24"/>
          <w:szCs w:val="24"/>
        </w:rPr>
        <w:t>4.3. Повышение энергоэффективности и обеспечение развития энергетической инфраструктуры</w:t>
      </w:r>
    </w:p>
    <w:p w:rsidR="007E27CB" w:rsidRDefault="007E27CB">
      <w:pPr>
        <w:tabs>
          <w:tab w:val="left" w:pos="4962"/>
        </w:tabs>
        <w:spacing w:after="0" w:line="240" w:lineRule="auto"/>
        <w:ind w:firstLine="709"/>
        <w:rPr>
          <w:rFonts w:eastAsia="Times New Roman"/>
          <w:b/>
          <w:sz w:val="24"/>
          <w:szCs w:val="24"/>
        </w:rPr>
      </w:pPr>
    </w:p>
    <w:p w:rsidR="007E27CB" w:rsidRDefault="008F141F">
      <w:pPr>
        <w:tabs>
          <w:tab w:val="left" w:pos="4962"/>
        </w:tabs>
        <w:spacing w:after="0" w:line="240" w:lineRule="auto"/>
        <w:ind w:firstLine="567"/>
        <w:jc w:val="both"/>
        <w:rPr>
          <w:b/>
          <w:sz w:val="24"/>
          <w:szCs w:val="24"/>
        </w:rPr>
      </w:pPr>
      <w:r>
        <w:rPr>
          <w:b/>
          <w:sz w:val="24"/>
          <w:szCs w:val="24"/>
        </w:rPr>
        <w:t>ЭНЕРГОЭФФЕКТИВНОСТЬ</w:t>
      </w:r>
    </w:p>
    <w:p w:rsidR="007E27CB" w:rsidRDefault="007E27CB">
      <w:pPr>
        <w:tabs>
          <w:tab w:val="left" w:pos="4962"/>
        </w:tabs>
        <w:spacing w:after="0" w:line="240" w:lineRule="auto"/>
        <w:ind w:firstLine="567"/>
        <w:jc w:val="both"/>
        <w:rPr>
          <w:b/>
          <w:sz w:val="24"/>
          <w:szCs w:val="24"/>
        </w:rPr>
      </w:pPr>
    </w:p>
    <w:p w:rsidR="007E27CB" w:rsidRDefault="008F141F">
      <w:pPr>
        <w:autoSpaceDE w:val="0"/>
        <w:autoSpaceDN w:val="0"/>
        <w:adjustRightInd w:val="0"/>
        <w:spacing w:after="0" w:line="240" w:lineRule="auto"/>
        <w:ind w:firstLine="567"/>
        <w:jc w:val="both"/>
        <w:rPr>
          <w:rFonts w:eastAsia="Times New Roman"/>
          <w:spacing w:val="-4"/>
          <w:sz w:val="24"/>
          <w:szCs w:val="24"/>
          <w:lang w:eastAsia="ru-RU"/>
        </w:rPr>
      </w:pPr>
      <w:r>
        <w:rPr>
          <w:rFonts w:eastAsia="Times New Roman"/>
          <w:spacing w:val="-4"/>
          <w:sz w:val="24"/>
          <w:szCs w:val="24"/>
          <w:lang w:eastAsia="ru-RU"/>
        </w:rPr>
        <w:t xml:space="preserve">Для решения задач снижения энергоемкости ВРП, расширения сферы использования местных возобновляемых источников энергии и повышения доступности потребителей к сетям газоснабжения на территории Томской области в 2019 году реализовывалась государственная программа «Повышение энергоэффективности в Томской области». </w:t>
      </w:r>
    </w:p>
    <w:p w:rsidR="007E27CB" w:rsidRDefault="008F141F">
      <w:pPr>
        <w:autoSpaceDE w:val="0"/>
        <w:autoSpaceDN w:val="0"/>
        <w:adjustRightInd w:val="0"/>
        <w:spacing w:after="0" w:line="240" w:lineRule="auto"/>
        <w:ind w:firstLine="567"/>
        <w:jc w:val="both"/>
        <w:rPr>
          <w:rFonts w:eastAsia="Times New Roman"/>
          <w:spacing w:val="-4"/>
          <w:sz w:val="24"/>
          <w:szCs w:val="24"/>
          <w:lang w:eastAsia="ru-RU"/>
        </w:rPr>
      </w:pPr>
      <w:r>
        <w:rPr>
          <w:rFonts w:eastAsia="Times New Roman"/>
          <w:spacing w:val="-4"/>
          <w:sz w:val="24"/>
          <w:szCs w:val="24"/>
          <w:lang w:eastAsia="ru-RU"/>
        </w:rPr>
        <w:t>В реализацию мероприятий по энергосбережению и повышению энергоэффективности вовлечены органы исполнительной власти Томской области, энергетические и газотранспортные организации, промышленные предприятия, научное сообщество и население. Внебюджетные инвестиции осуществляются в рамках инвестиционных программ сетевых компаний, Программы развития газоснабжения и газификации Томской области на период с 2016 по 2020 годы ПАО «Газпром», энергосервисных контрактов, а также за счет средств конечных потребителей энергетических ресурсов. Общий объем инвестиций в реализацию программных мероприятий в 2019 году составил 4 484,2 млн. рублей, в том числе за счет средств областного бюджета 134,3 млн. рублей.</w:t>
      </w:r>
      <w:r>
        <w:rPr>
          <w:rFonts w:eastAsia="Times New Roman"/>
          <w:spacing w:val="-4"/>
          <w:sz w:val="24"/>
          <w:szCs w:val="24"/>
          <w:lang w:eastAsia="ru-RU"/>
        </w:rPr>
        <w:tab/>
      </w:r>
    </w:p>
    <w:p w:rsidR="007E27CB" w:rsidRDefault="008F141F">
      <w:pPr>
        <w:autoSpaceDE w:val="0"/>
        <w:autoSpaceDN w:val="0"/>
        <w:adjustRightInd w:val="0"/>
        <w:spacing w:after="0" w:line="240" w:lineRule="auto"/>
        <w:ind w:firstLine="567"/>
        <w:jc w:val="both"/>
        <w:rPr>
          <w:rFonts w:eastAsia="Times New Roman"/>
          <w:sz w:val="24"/>
          <w:szCs w:val="24"/>
          <w:lang w:eastAsia="ru-RU"/>
        </w:rPr>
      </w:pPr>
      <w:r>
        <w:rPr>
          <w:rFonts w:eastAsia="Times New Roman"/>
          <w:spacing w:val="-4"/>
          <w:sz w:val="24"/>
          <w:szCs w:val="24"/>
          <w:lang w:eastAsia="ru-RU"/>
        </w:rPr>
        <w:t xml:space="preserve">В 2019 году </w:t>
      </w:r>
      <w:r>
        <w:rPr>
          <w:rFonts w:eastAsia="Times New Roman"/>
          <w:sz w:val="24"/>
          <w:szCs w:val="24"/>
          <w:lang w:eastAsia="ru-RU"/>
        </w:rPr>
        <w:t xml:space="preserve">реализованы следующие мероприятия: </w:t>
      </w:r>
    </w:p>
    <w:p w:rsidR="007E27CB" w:rsidRDefault="008F141F">
      <w:pPr>
        <w:widowControl w:val="0"/>
        <w:numPr>
          <w:ilvl w:val="0"/>
          <w:numId w:val="67"/>
        </w:numPr>
        <w:tabs>
          <w:tab w:val="left" w:pos="851"/>
          <w:tab w:val="left" w:pos="993"/>
        </w:tabs>
        <w:autoSpaceDE w:val="0"/>
        <w:autoSpaceDN w:val="0"/>
        <w:adjustRightInd w:val="0"/>
        <w:spacing w:after="0" w:line="240" w:lineRule="auto"/>
        <w:ind w:left="0" w:firstLine="567"/>
        <w:jc w:val="both"/>
        <w:rPr>
          <w:rFonts w:eastAsia="Times New Roman"/>
          <w:sz w:val="24"/>
          <w:szCs w:val="24"/>
          <w:lang w:eastAsia="ru-RU"/>
        </w:rPr>
      </w:pPr>
      <w:r>
        <w:rPr>
          <w:rFonts w:eastAsia="Times New Roman"/>
          <w:sz w:val="24"/>
          <w:szCs w:val="24"/>
          <w:lang w:eastAsia="ru-RU"/>
        </w:rPr>
        <w:t>актуализирована схема теплоснабжения г. Асино и ее электронная модель, а также подготовлена финансово-экономическая модель модернизации системы теплоснабжения города Асино;</w:t>
      </w:r>
    </w:p>
    <w:p w:rsidR="007E27CB" w:rsidRDefault="008F141F">
      <w:pPr>
        <w:widowControl w:val="0"/>
        <w:numPr>
          <w:ilvl w:val="0"/>
          <w:numId w:val="67"/>
        </w:numPr>
        <w:tabs>
          <w:tab w:val="left" w:pos="567"/>
          <w:tab w:val="left" w:pos="993"/>
        </w:tabs>
        <w:autoSpaceDE w:val="0"/>
        <w:autoSpaceDN w:val="0"/>
        <w:adjustRightInd w:val="0"/>
        <w:spacing w:after="0" w:line="240" w:lineRule="auto"/>
        <w:ind w:left="0" w:firstLine="567"/>
        <w:jc w:val="both"/>
        <w:rPr>
          <w:rFonts w:eastAsia="Times New Roman"/>
          <w:sz w:val="24"/>
          <w:szCs w:val="24"/>
          <w:lang w:eastAsia="ru-RU"/>
        </w:rPr>
      </w:pPr>
      <w:r>
        <w:rPr>
          <w:rFonts w:eastAsia="Times New Roman"/>
          <w:sz w:val="24"/>
          <w:szCs w:val="24"/>
          <w:lang w:eastAsia="ru-RU"/>
        </w:rPr>
        <w:t>разработаны схемы теплоснабжения с переходом на местные виды топлива (пеллеты) в Верхнекетском районе Томской области (п. Степановка и п. Катайга). Подготовлены их электронные модели и финансово-экономическое обоснование реализации проекта по их модернизации;</w:t>
      </w:r>
    </w:p>
    <w:p w:rsidR="007E27CB" w:rsidRDefault="008F141F">
      <w:pPr>
        <w:widowControl w:val="0"/>
        <w:numPr>
          <w:ilvl w:val="0"/>
          <w:numId w:val="67"/>
        </w:numPr>
        <w:tabs>
          <w:tab w:val="left" w:pos="851"/>
          <w:tab w:val="left" w:pos="993"/>
        </w:tabs>
        <w:autoSpaceDE w:val="0"/>
        <w:autoSpaceDN w:val="0"/>
        <w:adjustRightInd w:val="0"/>
        <w:spacing w:after="0" w:line="240" w:lineRule="auto"/>
        <w:ind w:left="0" w:firstLine="567"/>
        <w:jc w:val="both"/>
        <w:rPr>
          <w:rFonts w:eastAsia="Times New Roman"/>
          <w:sz w:val="24"/>
          <w:szCs w:val="24"/>
          <w:lang w:eastAsia="ru-RU"/>
        </w:rPr>
      </w:pPr>
      <w:r>
        <w:rPr>
          <w:rFonts w:eastAsia="Times New Roman"/>
          <w:sz w:val="24"/>
          <w:szCs w:val="24"/>
          <w:lang w:eastAsia="ru-RU"/>
        </w:rPr>
        <w:t>проведен анализ договоров на теплоснабжение муниципальных учреждений Верхнекетского и Первомайского районов Томской области. В результате работы скорректированы пункты договоров на теплоснабжение у 22 муниципальных учреждений, позволяющие снизить размеры штрафных санкций учреждений и дополнительных платежей. В результате реализации данного мероприятия общая экономия по оплате коммунальных услуг составит более 1</w:t>
      </w:r>
      <w:r>
        <w:rPr>
          <w:sz w:val="24"/>
          <w:szCs w:val="24"/>
        </w:rPr>
        <w:t> </w:t>
      </w:r>
      <w:r>
        <w:rPr>
          <w:rFonts w:eastAsia="Times New Roman"/>
          <w:sz w:val="24"/>
          <w:szCs w:val="24"/>
          <w:lang w:eastAsia="ru-RU"/>
        </w:rPr>
        <w:t xml:space="preserve">500 тыс. рублей (более 4% от общей суммы, уплаченной за услуги по теплоснабжению); </w:t>
      </w:r>
    </w:p>
    <w:p w:rsidR="007E27CB" w:rsidRDefault="008F141F">
      <w:pPr>
        <w:numPr>
          <w:ilvl w:val="0"/>
          <w:numId w:val="67"/>
        </w:numPr>
        <w:tabs>
          <w:tab w:val="left" w:pos="851"/>
          <w:tab w:val="left" w:pos="993"/>
        </w:tabs>
        <w:spacing w:after="0" w:line="240" w:lineRule="auto"/>
        <w:ind w:left="0" w:firstLine="567"/>
        <w:jc w:val="both"/>
        <w:rPr>
          <w:rFonts w:eastAsia="Times New Roman"/>
          <w:sz w:val="24"/>
          <w:szCs w:val="24"/>
          <w:lang w:eastAsia="ru-RU"/>
        </w:rPr>
      </w:pPr>
      <w:r>
        <w:rPr>
          <w:rFonts w:eastAsia="Times New Roman"/>
          <w:sz w:val="24"/>
          <w:szCs w:val="24"/>
          <w:lang w:eastAsia="ru-RU"/>
        </w:rPr>
        <w:t>проведен анализ договоров на электроснабжение муниципальных учреждений города Томска и Первомайского района Томской области. В результате анализа и корректировки договоров по 15 муниципальным учреждениям произведен и согласован перерасчет по снижению технологических потерь в сетях. Общая экономия по оплате коммунальных услуг для данных учреждений снизится более чем на 125 тыс. рублей в год.</w:t>
      </w:r>
    </w:p>
    <w:p w:rsidR="007E27CB" w:rsidRDefault="007E27CB">
      <w:pPr>
        <w:tabs>
          <w:tab w:val="left" w:pos="851"/>
        </w:tabs>
        <w:spacing w:after="0" w:line="240" w:lineRule="auto"/>
        <w:ind w:firstLine="567"/>
        <w:jc w:val="both"/>
        <w:rPr>
          <w:rFonts w:eastAsia="Times New Roman"/>
          <w:sz w:val="24"/>
          <w:szCs w:val="24"/>
          <w:lang w:eastAsia="ru-RU"/>
        </w:rPr>
      </w:pPr>
    </w:p>
    <w:p w:rsidR="007E27CB" w:rsidRDefault="008F141F">
      <w:pPr>
        <w:tabs>
          <w:tab w:val="left" w:pos="851"/>
        </w:tabs>
        <w:spacing w:after="0" w:line="240" w:lineRule="auto"/>
        <w:ind w:firstLine="567"/>
        <w:jc w:val="both"/>
        <w:rPr>
          <w:rFonts w:eastAsia="Times New Roman"/>
          <w:sz w:val="24"/>
          <w:szCs w:val="24"/>
          <w:lang w:eastAsia="ru-RU"/>
        </w:rPr>
      </w:pPr>
      <w:r>
        <w:rPr>
          <w:rFonts w:eastAsia="Times New Roman"/>
          <w:sz w:val="24"/>
          <w:szCs w:val="24"/>
          <w:lang w:eastAsia="ru-RU"/>
        </w:rPr>
        <w:t>Оказано содействие органам местного самоуправления по следующим направлениям:</w:t>
      </w:r>
    </w:p>
    <w:p w:rsidR="007E27CB" w:rsidRDefault="008F141F">
      <w:pPr>
        <w:numPr>
          <w:ilvl w:val="0"/>
          <w:numId w:val="68"/>
        </w:numPr>
        <w:tabs>
          <w:tab w:val="left" w:pos="851"/>
          <w:tab w:val="left" w:pos="993"/>
        </w:tabs>
        <w:spacing w:after="0" w:line="240" w:lineRule="auto"/>
        <w:ind w:left="0" w:firstLine="567"/>
        <w:jc w:val="both"/>
        <w:rPr>
          <w:rFonts w:eastAsia="Times New Roman"/>
          <w:sz w:val="24"/>
          <w:szCs w:val="24"/>
          <w:lang w:eastAsia="ru-RU"/>
        </w:rPr>
      </w:pPr>
      <w:r>
        <w:rPr>
          <w:rFonts w:eastAsia="Times New Roman"/>
          <w:sz w:val="24"/>
          <w:szCs w:val="24"/>
          <w:lang w:eastAsia="ru-RU"/>
        </w:rPr>
        <w:t>модернизация уличного освещения ЗАТО Северск. Произведено обследование и расчет параметров для заключения энергосервисного контракта.  В рамках модернизации планируется заменить 4 125 светильников на светодиодные;</w:t>
      </w:r>
    </w:p>
    <w:p w:rsidR="007E27CB" w:rsidRDefault="008F141F">
      <w:pPr>
        <w:numPr>
          <w:ilvl w:val="0"/>
          <w:numId w:val="68"/>
        </w:numPr>
        <w:tabs>
          <w:tab w:val="left" w:pos="851"/>
          <w:tab w:val="left" w:pos="993"/>
        </w:tabs>
        <w:spacing w:after="0" w:line="240" w:lineRule="auto"/>
        <w:ind w:left="0" w:firstLine="567"/>
        <w:jc w:val="both"/>
        <w:rPr>
          <w:rFonts w:eastAsia="Times New Roman"/>
          <w:sz w:val="24"/>
          <w:szCs w:val="24"/>
          <w:lang w:eastAsia="ru-RU"/>
        </w:rPr>
      </w:pPr>
      <w:r>
        <w:rPr>
          <w:rFonts w:eastAsia="Times New Roman"/>
          <w:sz w:val="24"/>
          <w:szCs w:val="24"/>
          <w:lang w:eastAsia="ru-RU"/>
        </w:rPr>
        <w:t>модернизация наружного и/или внутреннего освещения бюджетных учреждений в рамках реализации энергосервисных контрактов. Произведены замеры, расчеты и подготовлена конкурсная документация для заключения энергосервисного контракта для 9 муниципальных учреждений города Томска.</w:t>
      </w:r>
    </w:p>
    <w:p w:rsidR="007E27CB" w:rsidRDefault="008F141F">
      <w:pPr>
        <w:tabs>
          <w:tab w:val="left" w:pos="851"/>
          <w:tab w:val="left" w:pos="1276"/>
        </w:tabs>
        <w:spacing w:after="0" w:line="240" w:lineRule="auto"/>
        <w:ind w:firstLine="567"/>
        <w:jc w:val="both"/>
        <w:rPr>
          <w:rFonts w:eastAsia="Times New Roman"/>
          <w:sz w:val="24"/>
          <w:szCs w:val="24"/>
          <w:lang w:eastAsia="ru-RU"/>
        </w:rPr>
      </w:pPr>
      <w:r>
        <w:rPr>
          <w:rFonts w:eastAsia="Times New Roman"/>
          <w:sz w:val="24"/>
          <w:szCs w:val="24"/>
          <w:lang w:eastAsia="ru-RU"/>
        </w:rPr>
        <w:t>Совместно с предприятиями ТЭК и нефтегазового комплекса, учреждениями культуры и образования проведены мероприятия социальной кампании Всероссийского фестиваля энергосбережения и экологии #ВместеЯрче. Организован и проведен региональный этап Всероссийского конкурса СМИ, пресс-служб компаний ТЭК и региональных администраций «МедиаТЭК».</w:t>
      </w:r>
    </w:p>
    <w:p w:rsidR="007E27CB" w:rsidRDefault="007E27CB">
      <w:pPr>
        <w:tabs>
          <w:tab w:val="left" w:pos="851"/>
        </w:tabs>
        <w:spacing w:after="0" w:line="240" w:lineRule="auto"/>
        <w:ind w:firstLine="709"/>
        <w:jc w:val="both"/>
        <w:rPr>
          <w:rFonts w:eastAsia="Times New Roman"/>
          <w:sz w:val="24"/>
          <w:szCs w:val="24"/>
          <w:lang w:eastAsia="ru-RU"/>
        </w:rPr>
      </w:pPr>
    </w:p>
    <w:p w:rsidR="007E27CB" w:rsidRDefault="008F141F">
      <w:pPr>
        <w:tabs>
          <w:tab w:val="left" w:pos="284"/>
        </w:tabs>
        <w:spacing w:after="0" w:line="240" w:lineRule="auto"/>
        <w:jc w:val="both"/>
        <w:rPr>
          <w:rFonts w:eastAsia="Times New Roman"/>
          <w:b/>
          <w:sz w:val="24"/>
          <w:szCs w:val="24"/>
          <w:lang w:eastAsia="ru-RU"/>
        </w:rPr>
      </w:pPr>
      <w:r>
        <w:rPr>
          <w:rFonts w:eastAsia="Times New Roman"/>
          <w:b/>
          <w:sz w:val="24"/>
          <w:szCs w:val="24"/>
          <w:lang w:eastAsia="ru-RU"/>
        </w:rPr>
        <w:t>Перспективные задачи</w:t>
      </w:r>
    </w:p>
    <w:p w:rsidR="007E27CB" w:rsidRDefault="007E27CB">
      <w:pPr>
        <w:tabs>
          <w:tab w:val="left" w:pos="284"/>
        </w:tabs>
        <w:spacing w:after="0" w:line="240" w:lineRule="auto"/>
        <w:jc w:val="both"/>
        <w:rPr>
          <w:rFonts w:eastAsia="Times New Roman"/>
          <w:b/>
          <w:sz w:val="24"/>
          <w:szCs w:val="24"/>
          <w:lang w:eastAsia="ru-RU"/>
        </w:rPr>
      </w:pPr>
    </w:p>
    <w:p w:rsidR="007E27CB" w:rsidRDefault="008F141F">
      <w:pPr>
        <w:numPr>
          <w:ilvl w:val="0"/>
          <w:numId w:val="66"/>
        </w:numPr>
        <w:tabs>
          <w:tab w:val="left" w:pos="284"/>
        </w:tabs>
        <w:spacing w:after="0" w:line="240" w:lineRule="auto"/>
        <w:ind w:left="0" w:firstLine="0"/>
        <w:jc w:val="both"/>
        <w:rPr>
          <w:rFonts w:eastAsia="Times New Roman"/>
          <w:sz w:val="24"/>
          <w:szCs w:val="24"/>
          <w:lang w:eastAsia="ru-RU"/>
        </w:rPr>
      </w:pPr>
      <w:r>
        <w:rPr>
          <w:rFonts w:eastAsia="Times New Roman"/>
          <w:sz w:val="24"/>
          <w:szCs w:val="24"/>
          <w:lang w:eastAsia="ru-RU"/>
        </w:rPr>
        <w:t xml:space="preserve">Реализация энергосервисных контрактов по модернизации инженерных систем для государственных и муниципальных учреждений и уличного освещения в населенных пунктах Томской области. </w:t>
      </w:r>
    </w:p>
    <w:p w:rsidR="007E27CB" w:rsidRDefault="008F141F">
      <w:pPr>
        <w:numPr>
          <w:ilvl w:val="0"/>
          <w:numId w:val="66"/>
        </w:numPr>
        <w:tabs>
          <w:tab w:val="left" w:pos="284"/>
        </w:tabs>
        <w:spacing w:after="0" w:line="240" w:lineRule="auto"/>
        <w:ind w:left="0" w:firstLine="0"/>
        <w:jc w:val="both"/>
        <w:rPr>
          <w:rFonts w:eastAsia="Times New Roman"/>
          <w:sz w:val="24"/>
          <w:szCs w:val="24"/>
          <w:lang w:eastAsia="ru-RU"/>
        </w:rPr>
      </w:pPr>
      <w:r>
        <w:rPr>
          <w:rFonts w:eastAsia="Times New Roman"/>
          <w:sz w:val="24"/>
          <w:szCs w:val="24"/>
          <w:lang w:eastAsia="ru-RU"/>
        </w:rPr>
        <w:t>Разработка (актуализация) схем теплоснабжения и финансово-экономических моделей для с. Первомайское Первомайского района, г. Колпашево Колпашевского района.</w:t>
      </w:r>
    </w:p>
    <w:p w:rsidR="007E27CB" w:rsidRDefault="008F141F">
      <w:pPr>
        <w:numPr>
          <w:ilvl w:val="0"/>
          <w:numId w:val="66"/>
        </w:numPr>
        <w:tabs>
          <w:tab w:val="left" w:pos="284"/>
        </w:tabs>
        <w:spacing w:after="0" w:line="240" w:lineRule="auto"/>
        <w:ind w:left="0" w:firstLine="0"/>
        <w:jc w:val="both"/>
        <w:rPr>
          <w:rFonts w:eastAsia="Times New Roman"/>
          <w:sz w:val="24"/>
          <w:szCs w:val="24"/>
          <w:lang w:eastAsia="ru-RU"/>
        </w:rPr>
      </w:pPr>
      <w:r>
        <w:rPr>
          <w:rFonts w:eastAsia="Times New Roman"/>
          <w:sz w:val="24"/>
          <w:szCs w:val="24"/>
          <w:lang w:eastAsia="ru-RU"/>
        </w:rPr>
        <w:t xml:space="preserve">Подготовка технического задания для проектирования объектов теплоснабжения, взаимодействие с потенциальными инвесторами в рамках Комплексного проекта модернизации системы теплоснабжения г. Асино. </w:t>
      </w:r>
    </w:p>
    <w:p w:rsidR="007E27CB" w:rsidRDefault="008F141F">
      <w:pPr>
        <w:numPr>
          <w:ilvl w:val="0"/>
          <w:numId w:val="66"/>
        </w:numPr>
        <w:tabs>
          <w:tab w:val="left" w:pos="284"/>
        </w:tabs>
        <w:spacing w:after="0" w:line="240" w:lineRule="auto"/>
        <w:ind w:left="0" w:firstLine="0"/>
        <w:jc w:val="both"/>
        <w:rPr>
          <w:rFonts w:eastAsia="Times New Roman"/>
          <w:sz w:val="24"/>
          <w:szCs w:val="24"/>
          <w:lang w:eastAsia="ru-RU"/>
        </w:rPr>
      </w:pPr>
      <w:r>
        <w:rPr>
          <w:rFonts w:eastAsia="Times New Roman"/>
          <w:sz w:val="24"/>
          <w:szCs w:val="24"/>
          <w:lang w:eastAsia="ru-RU"/>
        </w:rPr>
        <w:t>Анализ и корректировка договоров на тепло- и электроснабжение государственных учреждений с целью оптимизации затрат бюджетов на оплату энергоресурсов.</w:t>
      </w:r>
    </w:p>
    <w:p w:rsidR="007E27CB" w:rsidRDefault="007E27CB">
      <w:pPr>
        <w:spacing w:after="0" w:line="240" w:lineRule="auto"/>
        <w:ind w:firstLine="567"/>
        <w:jc w:val="both"/>
        <w:rPr>
          <w:rFonts w:eastAsia="Times New Roman"/>
          <w:color w:val="0070C0"/>
          <w:sz w:val="24"/>
          <w:szCs w:val="24"/>
          <w:lang w:eastAsia="ru-RU"/>
        </w:rPr>
      </w:pPr>
    </w:p>
    <w:p w:rsidR="007E27CB" w:rsidRDefault="008F141F">
      <w:pPr>
        <w:spacing w:after="0" w:line="240" w:lineRule="auto"/>
        <w:ind w:firstLine="567"/>
        <w:jc w:val="both"/>
        <w:rPr>
          <w:b/>
          <w:sz w:val="24"/>
          <w:szCs w:val="24"/>
        </w:rPr>
      </w:pPr>
      <w:r>
        <w:rPr>
          <w:b/>
          <w:sz w:val="24"/>
          <w:szCs w:val="24"/>
        </w:rPr>
        <w:t>ЭНЕРГЕТИЧЕСКИЙ КОМПЛЕКС</w:t>
      </w:r>
    </w:p>
    <w:p w:rsidR="007E27CB" w:rsidRDefault="007E27CB">
      <w:pPr>
        <w:spacing w:after="0" w:line="240" w:lineRule="auto"/>
        <w:ind w:firstLine="567"/>
        <w:jc w:val="both"/>
        <w:rPr>
          <w:b/>
          <w:sz w:val="24"/>
          <w:szCs w:val="24"/>
        </w:rPr>
      </w:pPr>
    </w:p>
    <w:p w:rsidR="007E27CB" w:rsidRDefault="008F141F">
      <w:pPr>
        <w:tabs>
          <w:tab w:val="left" w:pos="720"/>
        </w:tabs>
        <w:spacing w:after="0" w:line="240" w:lineRule="auto"/>
        <w:ind w:right="-6" w:firstLine="567"/>
        <w:jc w:val="both"/>
        <w:rPr>
          <w:rFonts w:eastAsia="Times New Roman"/>
          <w:sz w:val="24"/>
          <w:szCs w:val="24"/>
          <w:lang w:eastAsia="ru-RU"/>
        </w:rPr>
      </w:pPr>
      <w:r>
        <w:rPr>
          <w:rFonts w:eastAsia="Times New Roman"/>
          <w:sz w:val="24"/>
          <w:szCs w:val="24"/>
          <w:lang w:eastAsia="ru-RU"/>
        </w:rPr>
        <w:t xml:space="preserve">В 2019 году разработана и утверждена распоряжением Губернатора Томской области Схема и программа развития электроэнергетики Томской области на период 2020 </w:t>
      </w:r>
      <w:r>
        <w:t xml:space="preserve">– </w:t>
      </w:r>
      <w:r>
        <w:rPr>
          <w:rFonts w:eastAsia="Times New Roman"/>
          <w:sz w:val="24"/>
          <w:szCs w:val="24"/>
          <w:lang w:eastAsia="ru-RU"/>
        </w:rPr>
        <w:t>2024 годов, являющаяся основой для формирования инвестиционных программ субъектов электроэнергетики.</w:t>
      </w:r>
    </w:p>
    <w:p w:rsidR="007E27CB" w:rsidRDefault="008F141F">
      <w:pPr>
        <w:spacing w:after="0" w:line="240" w:lineRule="auto"/>
        <w:ind w:firstLine="567"/>
        <w:jc w:val="both"/>
        <w:rPr>
          <w:sz w:val="24"/>
          <w:szCs w:val="24"/>
        </w:rPr>
      </w:pPr>
      <w:r>
        <w:rPr>
          <w:sz w:val="24"/>
          <w:szCs w:val="24"/>
        </w:rPr>
        <w:t>Организациями энергетического комплекса в 2019 году реализованы предусмотренные инвестиционными программами мероприятия по новому строительству, реконструкции и техническому перевооружению на объектах генерации и электросетевого хозяйства в общем объеме более 1 627 млн. рублей, что на 8,9% больше аналогичного показателя 2018 года.</w:t>
      </w:r>
    </w:p>
    <w:p w:rsidR="007E27CB" w:rsidRDefault="008F141F">
      <w:pPr>
        <w:spacing w:after="0" w:line="240" w:lineRule="auto"/>
        <w:ind w:firstLine="567"/>
        <w:jc w:val="both"/>
        <w:rPr>
          <w:sz w:val="24"/>
          <w:szCs w:val="24"/>
        </w:rPr>
      </w:pPr>
      <w:r>
        <w:rPr>
          <w:sz w:val="24"/>
          <w:szCs w:val="24"/>
        </w:rPr>
        <w:t>В сфере генерации реализованы крупные инвестиционные проекты, обеспечивающие технологию производства электро- и теплоэнергии: на Томской ГРЭС-2 выполнена в полном объеме реконструкция системы газоснабжения котла № 12, реконструкция золоулавливающей установки данного котлоагрегата с установкой эмульгаторов 2-го поколения, реконструкция поверхностей нагрева котлоагрегата            ст. № 10, реконструкция турбоагрегата ст. № 6, реконструкция защит главного щита управления на ГРЭС-2; на Томской ТЭЦ-3 завершены работы по реконструкции открытого распределительного устройства 110 кВ с заменой масляных выключателей, монтаж интегрированного комплекса инженерно-технических средств охраны.</w:t>
      </w:r>
    </w:p>
    <w:p w:rsidR="007E27CB" w:rsidRDefault="008F141F">
      <w:pPr>
        <w:spacing w:after="0" w:line="240" w:lineRule="auto"/>
        <w:ind w:firstLine="567"/>
        <w:jc w:val="both"/>
        <w:rPr>
          <w:sz w:val="24"/>
          <w:szCs w:val="24"/>
        </w:rPr>
      </w:pPr>
      <w:r>
        <w:rPr>
          <w:sz w:val="24"/>
          <w:szCs w:val="24"/>
        </w:rPr>
        <w:t xml:space="preserve">В сфере электросетевого хозяйства на крупнейшей системообразующей подстанции региона – (ТП </w:t>
      </w:r>
      <w:r>
        <w:t>–</w:t>
      </w:r>
      <w:r>
        <w:rPr>
          <w:sz w:val="24"/>
          <w:szCs w:val="24"/>
        </w:rPr>
        <w:t xml:space="preserve"> 500 кВ Томской) силами ПАО «ФСК ЕЭС» </w:t>
      </w:r>
      <w:r>
        <w:t>–</w:t>
      </w:r>
      <w:r>
        <w:rPr>
          <w:sz w:val="24"/>
          <w:szCs w:val="24"/>
        </w:rPr>
        <w:t xml:space="preserve"> МЭС Сибири введены в эксплуатацию современные элегазовые выключатели, что способствует увеличению надежности Южного и Северного транзита электроэнергии Томской области.</w:t>
      </w:r>
    </w:p>
    <w:p w:rsidR="007E27CB" w:rsidRDefault="008F141F">
      <w:pPr>
        <w:spacing w:after="0" w:line="240" w:lineRule="auto"/>
        <w:ind w:firstLine="567"/>
        <w:jc w:val="both"/>
        <w:rPr>
          <w:sz w:val="24"/>
          <w:szCs w:val="24"/>
        </w:rPr>
      </w:pPr>
      <w:r>
        <w:rPr>
          <w:sz w:val="24"/>
          <w:szCs w:val="24"/>
        </w:rPr>
        <w:t>В 2019 году силами ПАО «ФСК ЕЭС» также проведена модернизация ПС 220 кВ Зональная – крупного питающего центра Томска, в результате чего обеспечена возможность выдачи до 22 МВт мощности для построенной ПС 110кВ Трубачево и подключения к централизованному электроснабжению тепличного комплекса для надежности электроснабжения и  снижения себестоимости выпускаемой продукции.</w:t>
      </w:r>
    </w:p>
    <w:p w:rsidR="007E27CB" w:rsidRDefault="008F141F">
      <w:pPr>
        <w:spacing w:after="0" w:line="240" w:lineRule="auto"/>
        <w:ind w:firstLine="567"/>
        <w:jc w:val="both"/>
        <w:rPr>
          <w:sz w:val="24"/>
          <w:szCs w:val="24"/>
        </w:rPr>
      </w:pPr>
      <w:r>
        <w:rPr>
          <w:sz w:val="24"/>
          <w:szCs w:val="24"/>
        </w:rPr>
        <w:t>На распределительных сетях выполнены работы по реконструкции ПС Заводская 35/10 кВ, ПС 110 кВ Коломинские Гривы, ПС 110 кВ Вахская, ПС 110 кВ Останинская, ПС 110 кВ Стрежевская. Продолжается реконструкция подстанции ПС 35/10 Аэропорт (цифровая ПС) для обеспечения надежности внешнего энергоснабжения аэропорта «Богашево». На распределительных системообразующих сетях реконструировано 555,49 км линий электропередач для улучшения качества и надежности электроснабжения, 70,64 км – строительство линий электропередач для обеспечения возможности технологического присоединения к электрическим сетям новых потребителей.</w:t>
      </w:r>
    </w:p>
    <w:p w:rsidR="007E27CB" w:rsidRDefault="008F141F">
      <w:pPr>
        <w:spacing w:after="0" w:line="240" w:lineRule="auto"/>
        <w:ind w:firstLine="567"/>
        <w:jc w:val="both"/>
        <w:rPr>
          <w:sz w:val="24"/>
          <w:szCs w:val="24"/>
        </w:rPr>
      </w:pPr>
      <w:r>
        <w:rPr>
          <w:sz w:val="24"/>
          <w:szCs w:val="24"/>
        </w:rPr>
        <w:t xml:space="preserve">Особое внимание уделяется выполнению графика расчистки и расширения просек линий электропередачи – в 2019 году расчищено 2 406,9 га просек ЛЭП 6-110 кВ, работы по расширению просек ЛЭП в объеме 329,7 га. В результате расчистки/расширения просек линий электропередачи за 7 лет выполнения графика (2012 </w:t>
      </w:r>
      <w:r>
        <w:t xml:space="preserve">– </w:t>
      </w:r>
      <w:r>
        <w:rPr>
          <w:sz w:val="24"/>
          <w:szCs w:val="24"/>
        </w:rPr>
        <w:t>2019 годы) сокращено более чем в 3 раза количество технологических отключений из-за падения деревьев на ЛЭП.</w:t>
      </w:r>
    </w:p>
    <w:p w:rsidR="007E27CB" w:rsidRDefault="008F141F">
      <w:pPr>
        <w:spacing w:after="0" w:line="240" w:lineRule="auto"/>
        <w:ind w:firstLine="567"/>
        <w:jc w:val="both"/>
        <w:rPr>
          <w:sz w:val="24"/>
          <w:szCs w:val="24"/>
        </w:rPr>
      </w:pPr>
      <w:r>
        <w:rPr>
          <w:sz w:val="24"/>
          <w:szCs w:val="24"/>
        </w:rPr>
        <w:t xml:space="preserve">В областном центре установлены 5 трансформаторных подстанций с питающими линиями в районах малоэтажной застройки (Наука, Росинка) для улучшения качества и надежности электроснабжения потребителей г. Томска (Кировский, Советский районы) и Томского района, осуществлен перевод части нагрузок с существующих подстанций на вновь установленные в целях обеспечения требуемого уровня качества электроэнергии согласно требованиям ГОСТ. Построен распределительный пункт Московский для технологического присоединения здания общежития по ул. А. Иванова, построено более 36 км кабельных и воздушных ЛЭП классом напряжения 10/6/0,4 кВ, в том числе в поселках Родионово, Заварзино, Бактин, Аникино, в Ленинском районе г. Томска по        ул. Б. Подгорная, Р. Люксембург, ул. Угрюмова и ул. Причальная. </w:t>
      </w:r>
    </w:p>
    <w:p w:rsidR="007E27CB" w:rsidRDefault="008F141F">
      <w:pPr>
        <w:spacing w:after="0" w:line="240" w:lineRule="auto"/>
        <w:ind w:firstLine="567"/>
        <w:jc w:val="both"/>
        <w:rPr>
          <w:sz w:val="24"/>
          <w:szCs w:val="24"/>
        </w:rPr>
      </w:pPr>
      <w:r>
        <w:rPr>
          <w:sz w:val="24"/>
          <w:szCs w:val="24"/>
        </w:rPr>
        <w:t>В целом, по энергосистеме Томской области введено в эксплуатацию 131,4 МВА трансформаторных мощностей, сетевыми организациями (ПАО «ТРК», ООО «Горсети», ООО «Электросети» ЗАТО Северск, ООО «Сибирская электросеть», ООО «Томские электрические сети», ООО «Энергонефть Томск») заключено 4 526 договоров на технологическое присоединение к электрическим сетям.</w:t>
      </w:r>
    </w:p>
    <w:p w:rsidR="007E27CB" w:rsidRDefault="008F141F">
      <w:pPr>
        <w:spacing w:after="0" w:line="240" w:lineRule="auto"/>
        <w:ind w:firstLine="567"/>
        <w:jc w:val="both"/>
        <w:rPr>
          <w:sz w:val="24"/>
          <w:szCs w:val="24"/>
        </w:rPr>
      </w:pPr>
      <w:r>
        <w:rPr>
          <w:sz w:val="24"/>
          <w:szCs w:val="24"/>
        </w:rPr>
        <w:t>В 2019 году Администрация Томской области и компания Россети в лице ПАО «ТРК» подписали соглашение о реализации мероприятий, предусмотренных Концепцией «Цифровая трансформация 2030», которым установлены формат, порядок и способы реализации Концепции в энергетической отрасли региона, а также мероприятия, направленные на инвестиционно-инновационное развитие Томской области, обеспечение надежного и качественного электроснабжения потребителей.</w:t>
      </w:r>
    </w:p>
    <w:p w:rsidR="007E27CB" w:rsidRDefault="008F141F">
      <w:pPr>
        <w:spacing w:after="0" w:line="240" w:lineRule="auto"/>
        <w:ind w:firstLine="567"/>
        <w:jc w:val="both"/>
        <w:rPr>
          <w:sz w:val="24"/>
          <w:szCs w:val="24"/>
        </w:rPr>
      </w:pPr>
      <w:r>
        <w:rPr>
          <w:sz w:val="24"/>
          <w:szCs w:val="24"/>
        </w:rPr>
        <w:t xml:space="preserve">В рамках заключенного соглашения в настоящее время реализуются проекты по «цифровизации» подстанций «Аэропорт» и «Подгорное» со сроком ввода объектов в эксплуатацию в 2021 </w:t>
      </w:r>
      <w:r>
        <w:t xml:space="preserve">– </w:t>
      </w:r>
      <w:r>
        <w:rPr>
          <w:sz w:val="24"/>
          <w:szCs w:val="24"/>
        </w:rPr>
        <w:t>2022 годах и активно реализуются мероприятия по внедрению телемеханики, установке интеллектуальных приборов учета, модернизации центров обработки данных по управлению электросетевыми объектами.</w:t>
      </w:r>
    </w:p>
    <w:p w:rsidR="007E27CB" w:rsidRDefault="008F141F">
      <w:pPr>
        <w:spacing w:after="0" w:line="240" w:lineRule="auto"/>
        <w:ind w:firstLine="567"/>
        <w:jc w:val="both"/>
        <w:rPr>
          <w:sz w:val="24"/>
          <w:szCs w:val="24"/>
        </w:rPr>
      </w:pPr>
      <w:r>
        <w:rPr>
          <w:sz w:val="24"/>
          <w:szCs w:val="24"/>
        </w:rPr>
        <w:t>Также в 2019 году при активной инициативе Томской области принят Федеральный закон от 02.08.2019 № 300-ФЗ, предусматривающий внесение изменений в Федеральный закон от 26.03.2003 № 35-ФЗ «Об электроэнергетике», которые предоставляют субъектам Российской Федерации право заключать с сетевыми организациями соглашения об условиях осуществления регулируемых видов деятельности в сфере оказания услуг по передаче электрической энергии на территории региона («регуляторные соглашения»), предоставляющие возможность на долгосрочный основе (порядка 10 лет) учитывать в необходимой валовой выручке доходов и расходов на возврат и обслуживание заемных средств, направляемых на финансирование капитальных вложений в электросетевое хозяйство и «цифровизацию» энергетики.</w:t>
      </w:r>
    </w:p>
    <w:p w:rsidR="007E27CB" w:rsidRDefault="008F141F">
      <w:pPr>
        <w:spacing w:after="0" w:line="240" w:lineRule="auto"/>
        <w:ind w:firstLine="567"/>
        <w:jc w:val="both"/>
        <w:rPr>
          <w:sz w:val="24"/>
          <w:szCs w:val="24"/>
        </w:rPr>
      </w:pPr>
      <w:r>
        <w:rPr>
          <w:sz w:val="24"/>
          <w:szCs w:val="24"/>
        </w:rPr>
        <w:t xml:space="preserve">В сфере централизованного теплоснабжения в областном центре в 2019 году силами АО «ТомскРТС» подготовлено к зиме более 600 км тепловых сетей в двухтрубном исполнении и большой комплекс оборудования и зданий. В 2019 году устранено на тепловых сетях почти 2,4 тысячи дефектов, произведена замена 5 км изношенных трубопроводов, а также реконструкция ЦТП-43 по адресу: г. Томск, ул. Клюева, 18/2 участка тепломагистрали № 7 от ПНС-4 до ТК-728, от У-725 до НО-42 по адресу: г.Томск, ул.Говорова; здания ПНС-4 по адресу: г. Томск, ул. Говорова, 70/2 и другие мероприятия. </w:t>
      </w:r>
    </w:p>
    <w:p w:rsidR="007E27CB" w:rsidRDefault="008F141F">
      <w:pPr>
        <w:spacing w:after="0" w:line="240" w:lineRule="auto"/>
        <w:ind w:firstLine="567"/>
        <w:jc w:val="both"/>
        <w:rPr>
          <w:sz w:val="24"/>
          <w:szCs w:val="24"/>
        </w:rPr>
      </w:pPr>
      <w:r>
        <w:rPr>
          <w:sz w:val="24"/>
          <w:szCs w:val="24"/>
        </w:rPr>
        <w:t xml:space="preserve">При подготовке к осенне-зимнему периоду 2019 </w:t>
      </w:r>
      <w:r>
        <w:t xml:space="preserve">– </w:t>
      </w:r>
      <w:r>
        <w:rPr>
          <w:sz w:val="24"/>
          <w:szCs w:val="24"/>
        </w:rPr>
        <w:t>2020 годов организациями энергетического комплекса выполнены запланированные мероприятия по повышению надежности и эффективности работы оборудования станций, тепловых и электрических сетей, трансформаторов и трансформаторных подстанций, снижению аварийности, а также предупреждению повреждения оборудования в условиях низких температур наружного воздуха. Все предприятия подготовились к проведению аварийно-восстановительных работ, создав необходимые для этого запасы материалов и средств, провели противоаварийные тренировки. Все организации энергетического комплекса выполнили ремонтные программы согласно утвержденным графикам и получили Паспорта готовности. На предприятиях энергетики в постоянной готовности к применению находятся 25 передвижных резервных источников электроснабжения общей мощностью 2,642 МВт.</w:t>
      </w:r>
    </w:p>
    <w:p w:rsidR="007E27CB" w:rsidRDefault="008F141F">
      <w:pPr>
        <w:spacing w:after="0" w:line="240" w:lineRule="auto"/>
        <w:ind w:firstLine="567"/>
        <w:jc w:val="both"/>
        <w:rPr>
          <w:sz w:val="24"/>
          <w:szCs w:val="24"/>
        </w:rPr>
      </w:pPr>
      <w:r>
        <w:rPr>
          <w:sz w:val="24"/>
          <w:szCs w:val="24"/>
        </w:rPr>
        <w:t xml:space="preserve">В 2019 году на мероприятия по газификации в рамках подпрограммы «Развитие газоснабжения и повышение уровня газификации Томской области» из областного и местных бюджетов направлено 148,5 млн. рублей. </w:t>
      </w:r>
    </w:p>
    <w:p w:rsidR="007E27CB" w:rsidRDefault="008F141F">
      <w:pPr>
        <w:spacing w:after="0" w:line="240" w:lineRule="auto"/>
        <w:ind w:firstLine="567"/>
        <w:jc w:val="both"/>
        <w:rPr>
          <w:sz w:val="24"/>
          <w:szCs w:val="24"/>
        </w:rPr>
      </w:pPr>
      <w:r>
        <w:rPr>
          <w:sz w:val="24"/>
          <w:szCs w:val="24"/>
        </w:rPr>
        <w:t xml:space="preserve">В 2019 году были заключены двухлетние контракты по строительству газопроводов в г. Асино, с. Итатка, с. Дзержинское. По состоянию на 31.12.2019 продолжается строительство данных объектов в соответствии с графиками производства работ. Общая протяженность строящихся объектов в трех населенных пунктах составит 76,2 км.  </w:t>
      </w:r>
    </w:p>
    <w:p w:rsidR="007E27CB" w:rsidRDefault="008F141F">
      <w:pPr>
        <w:spacing w:after="0" w:line="240" w:lineRule="auto"/>
        <w:ind w:firstLine="567"/>
        <w:jc w:val="both"/>
        <w:rPr>
          <w:sz w:val="24"/>
          <w:szCs w:val="24"/>
        </w:rPr>
      </w:pPr>
      <w:r>
        <w:rPr>
          <w:sz w:val="24"/>
          <w:szCs w:val="24"/>
        </w:rPr>
        <w:t xml:space="preserve">В 2019 году введены в эксплуатацию газораспределительные сети в г. Колпашево и с. Тогур Колпашевского района, в микрорайонах жилой застройки п. Мирный, в Спасском и Богашевском сельских поселениях Томского района, ведется подключение потребителей. </w:t>
      </w:r>
    </w:p>
    <w:p w:rsidR="007E27CB" w:rsidRDefault="008F141F">
      <w:pPr>
        <w:spacing w:after="0" w:line="240" w:lineRule="auto"/>
        <w:ind w:firstLine="567"/>
        <w:jc w:val="both"/>
        <w:rPr>
          <w:sz w:val="24"/>
          <w:szCs w:val="24"/>
        </w:rPr>
      </w:pPr>
      <w:r>
        <w:rPr>
          <w:sz w:val="24"/>
          <w:szCs w:val="24"/>
        </w:rPr>
        <w:t xml:space="preserve">По программе газификации, подлежащей финансированию за счет средств специальной надбавки к тарифу на услуги по транспортировке газа ООО «Газпром газораспределение Томск», в 2019 году завершено строительство и осуществлен ввод в эксплуатацию газораспределительных сетей в мкр. Наука и мкр. Энтузиастов муниципального образования «Город Томск». </w:t>
      </w:r>
    </w:p>
    <w:p w:rsidR="007E27CB" w:rsidRDefault="008F141F">
      <w:pPr>
        <w:spacing w:after="0" w:line="240" w:lineRule="auto"/>
        <w:ind w:firstLine="567"/>
        <w:jc w:val="both"/>
        <w:rPr>
          <w:sz w:val="24"/>
          <w:szCs w:val="24"/>
        </w:rPr>
      </w:pPr>
      <w:r>
        <w:rPr>
          <w:sz w:val="24"/>
          <w:szCs w:val="24"/>
        </w:rPr>
        <w:t>По итогам года обеспечена техническая возможность подключения к природному газу более 1 900 домовладений.</w:t>
      </w:r>
    </w:p>
    <w:p w:rsidR="007E27CB" w:rsidRDefault="008F141F">
      <w:pPr>
        <w:spacing w:after="0" w:line="240" w:lineRule="auto"/>
        <w:ind w:firstLine="567"/>
        <w:jc w:val="both"/>
        <w:rPr>
          <w:sz w:val="24"/>
          <w:szCs w:val="24"/>
        </w:rPr>
      </w:pPr>
      <w:r>
        <w:rPr>
          <w:sz w:val="24"/>
          <w:szCs w:val="24"/>
        </w:rPr>
        <w:t>В 2019 году для обеспечения бесперебойного газоснабжения населения сжиженным газом в баллонах выделена субсидия ООО «Торговый дом ОАО «Томскоблгаз» в объеме 5,0 млн. рублей для возмещения недополученных доходов в связи с реализацией сжиженного углеводородного газа.</w:t>
      </w:r>
    </w:p>
    <w:p w:rsidR="007E27CB" w:rsidRDefault="008F141F">
      <w:pPr>
        <w:spacing w:after="0" w:line="240" w:lineRule="auto"/>
        <w:ind w:firstLine="567"/>
        <w:jc w:val="both"/>
        <w:rPr>
          <w:sz w:val="24"/>
          <w:szCs w:val="24"/>
        </w:rPr>
      </w:pPr>
      <w:r>
        <w:rPr>
          <w:sz w:val="24"/>
          <w:szCs w:val="24"/>
        </w:rPr>
        <w:t xml:space="preserve">В рамках утвержденной Губернатором Томской области и председателем Правления ПАО «Газпром» Программы развития газоснабжения и газификации Томской области на период с 2016 по 2020 годы в настоящее время завершено строительство линейной части газопровода-отвода Томск </w:t>
      </w:r>
      <w:r>
        <w:t xml:space="preserve">– </w:t>
      </w:r>
      <w:r>
        <w:rPr>
          <w:sz w:val="24"/>
          <w:szCs w:val="24"/>
        </w:rPr>
        <w:t xml:space="preserve">Асино (протяженностью 78 км) и ведутся работы по площадным объектам (две газораспределительные станции </w:t>
      </w:r>
      <w:r>
        <w:t>–</w:t>
      </w:r>
      <w:r>
        <w:rPr>
          <w:sz w:val="24"/>
          <w:szCs w:val="24"/>
        </w:rPr>
        <w:t xml:space="preserve"> ГРС Асино и ГРС Итатка, системы автоматизации, мачты связи). Подрядными организациями со стороны ПАО «Газпром» завершено строительство межпоселкового газопровода до с. Победа Шегарского района (8,7 км) и ведутся работы по ГРС Победа и газопроводу-отводу. В 2019 году ПАО «Газпром» также ведет строительство 6 межпоселковых газопроводов (общей протяженностью 87 км) до 11 населенных пунктов восточной части Томской области, в том числе районных центров Асино, Первомайское и Зырянское, для обеспечения технической возможности подачи газа потребителям.</w:t>
      </w:r>
    </w:p>
    <w:p w:rsidR="007E27CB" w:rsidRDefault="007E27CB">
      <w:pPr>
        <w:tabs>
          <w:tab w:val="left" w:pos="284"/>
        </w:tabs>
        <w:spacing w:after="0" w:line="240" w:lineRule="auto"/>
        <w:jc w:val="both"/>
        <w:rPr>
          <w:b/>
          <w:sz w:val="24"/>
          <w:szCs w:val="24"/>
        </w:rPr>
      </w:pPr>
    </w:p>
    <w:p w:rsidR="007E27CB" w:rsidRDefault="008F141F">
      <w:pPr>
        <w:tabs>
          <w:tab w:val="left" w:pos="284"/>
        </w:tabs>
        <w:spacing w:after="0" w:line="240" w:lineRule="auto"/>
        <w:jc w:val="both"/>
        <w:rPr>
          <w:b/>
          <w:sz w:val="24"/>
          <w:szCs w:val="24"/>
        </w:rPr>
      </w:pPr>
      <w:r>
        <w:rPr>
          <w:b/>
          <w:sz w:val="24"/>
          <w:szCs w:val="24"/>
        </w:rPr>
        <w:t>Перспективные задачи</w:t>
      </w:r>
    </w:p>
    <w:p w:rsidR="007E27CB" w:rsidRDefault="007E27CB">
      <w:pPr>
        <w:tabs>
          <w:tab w:val="left" w:pos="284"/>
        </w:tabs>
        <w:spacing w:after="0" w:line="240" w:lineRule="auto"/>
        <w:jc w:val="both"/>
        <w:rPr>
          <w:b/>
          <w:sz w:val="24"/>
          <w:szCs w:val="24"/>
        </w:rPr>
      </w:pPr>
    </w:p>
    <w:p w:rsidR="007E27CB" w:rsidRDefault="008F141F">
      <w:pPr>
        <w:pStyle w:val="a6"/>
        <w:numPr>
          <w:ilvl w:val="3"/>
          <w:numId w:val="142"/>
        </w:numPr>
        <w:tabs>
          <w:tab w:val="left" w:pos="284"/>
        </w:tabs>
        <w:spacing w:after="0" w:line="240" w:lineRule="auto"/>
        <w:ind w:left="0" w:firstLine="0"/>
        <w:jc w:val="both"/>
        <w:rPr>
          <w:rFonts w:ascii="Times New Roman" w:hAnsi="Times New Roman"/>
          <w:sz w:val="24"/>
          <w:szCs w:val="24"/>
        </w:rPr>
      </w:pPr>
      <w:r>
        <w:rPr>
          <w:rFonts w:ascii="Times New Roman" w:hAnsi="Times New Roman"/>
          <w:sz w:val="24"/>
          <w:szCs w:val="24"/>
        </w:rPr>
        <w:t>Завершение реконструкции подстанции ПС 35/10 Аэропорт (цифровая ПС) для обеспечения надежности внешнего энергоснабжения аэропорта «Богашево».</w:t>
      </w:r>
    </w:p>
    <w:p w:rsidR="007E27CB" w:rsidRDefault="008F141F">
      <w:pPr>
        <w:pStyle w:val="a6"/>
        <w:numPr>
          <w:ilvl w:val="0"/>
          <w:numId w:val="142"/>
        </w:numPr>
        <w:tabs>
          <w:tab w:val="left" w:pos="284"/>
        </w:tabs>
        <w:spacing w:after="0" w:line="240" w:lineRule="auto"/>
        <w:ind w:left="0" w:firstLine="0"/>
        <w:jc w:val="both"/>
        <w:rPr>
          <w:rFonts w:ascii="Times New Roman" w:hAnsi="Times New Roman"/>
          <w:sz w:val="24"/>
          <w:szCs w:val="24"/>
          <w:shd w:val="clear" w:color="auto" w:fill="FFFFFF"/>
          <w:lang w:eastAsia="ar-SA"/>
        </w:rPr>
      </w:pPr>
      <w:r>
        <w:rPr>
          <w:rFonts w:ascii="Times New Roman" w:hAnsi="Times New Roman"/>
          <w:sz w:val="24"/>
          <w:szCs w:val="24"/>
        </w:rPr>
        <w:t>Проработка возможности заключения регуляторных соглашений между регионом и сетевыми организациями, предусматривающих создание объектов электросетевого хозяйства.</w:t>
      </w:r>
      <w:r>
        <w:rPr>
          <w:rFonts w:ascii="Times New Roman" w:hAnsi="Times New Roman"/>
          <w:sz w:val="24"/>
          <w:szCs w:val="24"/>
          <w:shd w:val="clear" w:color="auto" w:fill="FFFFFF"/>
          <w:lang w:eastAsia="ar-SA"/>
        </w:rPr>
        <w:t xml:space="preserve"> </w:t>
      </w:r>
    </w:p>
    <w:p w:rsidR="007E27CB" w:rsidRDefault="008F141F">
      <w:pPr>
        <w:pStyle w:val="a6"/>
        <w:numPr>
          <w:ilvl w:val="0"/>
          <w:numId w:val="142"/>
        </w:numPr>
        <w:tabs>
          <w:tab w:val="left" w:pos="284"/>
        </w:tabs>
        <w:spacing w:after="0" w:line="240" w:lineRule="auto"/>
        <w:ind w:left="0" w:firstLine="0"/>
        <w:jc w:val="both"/>
        <w:rPr>
          <w:rFonts w:ascii="Times New Roman" w:hAnsi="Times New Roman"/>
          <w:sz w:val="24"/>
          <w:szCs w:val="24"/>
          <w:shd w:val="clear" w:color="auto" w:fill="FFFFFF"/>
          <w:lang w:eastAsia="ar-SA"/>
        </w:rPr>
      </w:pPr>
      <w:r>
        <w:rPr>
          <w:rFonts w:ascii="Times New Roman" w:hAnsi="Times New Roman"/>
          <w:sz w:val="24"/>
          <w:szCs w:val="24"/>
          <w:shd w:val="clear" w:color="auto" w:fill="FFFFFF"/>
          <w:lang w:eastAsia="ar-SA"/>
        </w:rPr>
        <w:t xml:space="preserve">Завершение строительства и ввод в эксплуатацию межпоселковых газопроводов до       г. Асино,  с. Победа Шегарского района, районных центров Первомайское и Зырянское. </w:t>
      </w:r>
    </w:p>
    <w:p w:rsidR="007E27CB" w:rsidRDefault="008F141F">
      <w:pPr>
        <w:pStyle w:val="a6"/>
        <w:numPr>
          <w:ilvl w:val="0"/>
          <w:numId w:val="142"/>
        </w:numPr>
        <w:tabs>
          <w:tab w:val="left" w:pos="284"/>
        </w:tabs>
        <w:spacing w:after="0" w:line="240" w:lineRule="auto"/>
        <w:ind w:left="0" w:firstLine="0"/>
        <w:jc w:val="both"/>
        <w:rPr>
          <w:rFonts w:ascii="Times New Roman" w:hAnsi="Times New Roman"/>
          <w:sz w:val="24"/>
          <w:szCs w:val="24"/>
        </w:rPr>
      </w:pPr>
      <w:r>
        <w:rPr>
          <w:rFonts w:ascii="Times New Roman" w:hAnsi="Times New Roman"/>
          <w:sz w:val="24"/>
          <w:szCs w:val="24"/>
          <w:shd w:val="clear" w:color="auto" w:fill="FFFFFF"/>
          <w:lang w:eastAsia="ar-SA"/>
        </w:rPr>
        <w:t>Начало строительства завода по сжижению природного газа в с. Каргала и 5 станций регазификации в с. Тегульдет, с. Бакчар, с. Подгорное, с. Кожевниково и д. Вороновка.</w:t>
      </w:r>
    </w:p>
    <w:p w:rsidR="007E27CB" w:rsidRDefault="008F141F">
      <w:pPr>
        <w:pStyle w:val="a6"/>
        <w:numPr>
          <w:ilvl w:val="0"/>
          <w:numId w:val="142"/>
        </w:numPr>
        <w:tabs>
          <w:tab w:val="left" w:pos="284"/>
          <w:tab w:val="left" w:pos="720"/>
        </w:tabs>
        <w:spacing w:after="0" w:line="240" w:lineRule="auto"/>
        <w:ind w:left="0" w:right="-6" w:firstLine="0"/>
        <w:jc w:val="both"/>
        <w:rPr>
          <w:rFonts w:ascii="Times New Roman" w:eastAsia="Times New Roman" w:hAnsi="Times New Roman"/>
          <w:b/>
          <w:caps/>
          <w:sz w:val="24"/>
          <w:szCs w:val="24"/>
        </w:rPr>
      </w:pPr>
      <w:r>
        <w:rPr>
          <w:rFonts w:ascii="Times New Roman" w:eastAsia="Times New Roman" w:hAnsi="Times New Roman"/>
          <w:bCs/>
          <w:sz w:val="24"/>
          <w:szCs w:val="24"/>
          <w:shd w:val="clear" w:color="auto" w:fill="FFFFFF"/>
          <w:lang w:eastAsia="ar-SA"/>
        </w:rPr>
        <w:t>Разработка проектно-сметной документации для газоснабжения территории опережающего социально-экономического развития «Северск».</w:t>
      </w:r>
    </w:p>
    <w:p w:rsidR="007E27CB" w:rsidRDefault="008F141F">
      <w:pPr>
        <w:pStyle w:val="a6"/>
        <w:tabs>
          <w:tab w:val="left" w:pos="284"/>
          <w:tab w:val="left" w:pos="720"/>
        </w:tabs>
        <w:spacing w:after="0" w:line="240" w:lineRule="auto"/>
        <w:ind w:left="0" w:right="-6"/>
        <w:jc w:val="both"/>
        <w:rPr>
          <w:rFonts w:ascii="Times New Roman" w:eastAsia="Times New Roman" w:hAnsi="Times New Roman"/>
          <w:b/>
          <w:caps/>
          <w:sz w:val="24"/>
          <w:szCs w:val="24"/>
        </w:rPr>
      </w:pPr>
      <w:r>
        <w:rPr>
          <w:rFonts w:ascii="Times New Roman" w:eastAsia="Times New Roman" w:hAnsi="Times New Roman"/>
          <w:b/>
          <w:color w:val="FF0000"/>
          <w:sz w:val="24"/>
          <w:szCs w:val="24"/>
        </w:rPr>
        <w:br w:type="page"/>
      </w:r>
      <w:hyperlink r:id="rId23" w:history="1">
        <w:r>
          <w:rPr>
            <w:rFonts w:ascii="Times New Roman" w:eastAsia="Times New Roman" w:hAnsi="Times New Roman"/>
            <w:b/>
            <w:caps/>
            <w:sz w:val="24"/>
            <w:szCs w:val="24"/>
          </w:rPr>
          <w:t xml:space="preserve">РАЗДЕЛ </w:t>
        </w:r>
      </w:hyperlink>
      <w:r>
        <w:rPr>
          <w:rFonts w:ascii="Times New Roman" w:eastAsia="Times New Roman" w:hAnsi="Times New Roman"/>
          <w:b/>
          <w:caps/>
          <w:sz w:val="24"/>
          <w:szCs w:val="24"/>
          <w:lang w:val="en-US"/>
        </w:rPr>
        <w:t>V</w:t>
      </w:r>
    </w:p>
    <w:p w:rsidR="007E27CB" w:rsidRDefault="008F141F">
      <w:pPr>
        <w:tabs>
          <w:tab w:val="left" w:pos="4962"/>
        </w:tabs>
        <w:spacing w:after="0" w:line="240" w:lineRule="auto"/>
        <w:rPr>
          <w:rFonts w:eastAsia="Times New Roman"/>
          <w:b/>
          <w:caps/>
          <w:sz w:val="24"/>
          <w:szCs w:val="24"/>
        </w:rPr>
      </w:pPr>
      <w:r>
        <w:rPr>
          <w:rFonts w:eastAsia="Times New Roman"/>
          <w:b/>
          <w:caps/>
          <w:sz w:val="24"/>
          <w:szCs w:val="24"/>
        </w:rPr>
        <w:t>Эффективное управление регионом</w:t>
      </w:r>
    </w:p>
    <w:p w:rsidR="007E27CB" w:rsidRDefault="007E27CB">
      <w:pPr>
        <w:tabs>
          <w:tab w:val="left" w:pos="4962"/>
        </w:tabs>
        <w:spacing w:after="0" w:line="240" w:lineRule="auto"/>
        <w:rPr>
          <w:rFonts w:eastAsia="Times New Roman"/>
          <w:b/>
          <w:sz w:val="24"/>
          <w:szCs w:val="24"/>
        </w:rPr>
      </w:pPr>
    </w:p>
    <w:p w:rsidR="007E27CB" w:rsidRDefault="008F141F">
      <w:pPr>
        <w:tabs>
          <w:tab w:val="left" w:pos="4962"/>
        </w:tabs>
        <w:spacing w:after="0" w:line="240" w:lineRule="auto"/>
        <w:ind w:left="567" w:hanging="567"/>
        <w:rPr>
          <w:rFonts w:eastAsia="Times New Roman"/>
          <w:b/>
          <w:sz w:val="24"/>
          <w:szCs w:val="24"/>
        </w:rPr>
      </w:pPr>
      <w:r>
        <w:rPr>
          <w:rFonts w:eastAsia="Times New Roman"/>
          <w:b/>
          <w:sz w:val="24"/>
          <w:szCs w:val="24"/>
        </w:rPr>
        <w:t xml:space="preserve">5.1. Обеспечение развития информационного общества </w:t>
      </w:r>
    </w:p>
    <w:p w:rsidR="007E27CB" w:rsidRDefault="007E27CB">
      <w:pPr>
        <w:tabs>
          <w:tab w:val="left" w:pos="4962"/>
        </w:tabs>
        <w:spacing w:after="0" w:line="240" w:lineRule="auto"/>
        <w:ind w:firstLine="567"/>
        <w:rPr>
          <w:rFonts w:eastAsia="Times New Roman"/>
          <w:color w:val="FF0000"/>
          <w:sz w:val="24"/>
          <w:szCs w:val="24"/>
        </w:rPr>
      </w:pPr>
    </w:p>
    <w:p w:rsidR="007E27CB" w:rsidRDefault="008F141F">
      <w:pPr>
        <w:tabs>
          <w:tab w:val="left" w:pos="4962"/>
        </w:tabs>
        <w:spacing w:after="0" w:line="240" w:lineRule="auto"/>
        <w:ind w:firstLine="567"/>
        <w:jc w:val="both"/>
        <w:rPr>
          <w:sz w:val="24"/>
          <w:szCs w:val="24"/>
        </w:rPr>
      </w:pPr>
      <w:r>
        <w:rPr>
          <w:sz w:val="24"/>
          <w:szCs w:val="24"/>
        </w:rPr>
        <w:t>С целью планомерного и эффективного развития информационного общества на территории Томской области в 2019 году осуществлялись следующие мероприятия:</w:t>
      </w:r>
    </w:p>
    <w:p w:rsidR="007E27CB" w:rsidRDefault="008F141F">
      <w:pPr>
        <w:pStyle w:val="a6"/>
        <w:numPr>
          <w:ilvl w:val="0"/>
          <w:numId w:val="69"/>
        </w:numPr>
        <w:tabs>
          <w:tab w:val="left" w:pos="993"/>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формирование инфраструктуры «электронного правительства», «открытого правительства», «электронной демократии»;</w:t>
      </w:r>
    </w:p>
    <w:p w:rsidR="007E27CB" w:rsidRDefault="008F141F">
      <w:pPr>
        <w:pStyle w:val="a6"/>
        <w:numPr>
          <w:ilvl w:val="0"/>
          <w:numId w:val="69"/>
        </w:numPr>
        <w:tabs>
          <w:tab w:val="left" w:pos="993"/>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совершенствование системы государственного управления на основе информационно-коммуникационных технологий (далее по разделу </w:t>
      </w:r>
      <w:r>
        <w:t>–</w:t>
      </w:r>
      <w:r>
        <w:rPr>
          <w:rFonts w:ascii="Times New Roman" w:hAnsi="Times New Roman"/>
          <w:sz w:val="24"/>
          <w:szCs w:val="24"/>
        </w:rPr>
        <w:t xml:space="preserve"> ИКТ), в том числе организация и содействие повышению компьютерной грамотности населения Томской области и навыков использования ИКТ государственными гражданскими служащими Томской области и муниципальными служащими Томской области;</w:t>
      </w:r>
    </w:p>
    <w:p w:rsidR="007E27CB" w:rsidRDefault="008F141F">
      <w:pPr>
        <w:pStyle w:val="a6"/>
        <w:numPr>
          <w:ilvl w:val="0"/>
          <w:numId w:val="69"/>
        </w:numPr>
        <w:tabs>
          <w:tab w:val="left" w:pos="993"/>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содействие повышению качества и доступности предоставления государственных и муниципальных услуг на территории Томской области, в том числе реализация принципа «одного окна».</w:t>
      </w:r>
    </w:p>
    <w:p w:rsidR="007E27CB" w:rsidRDefault="008F141F">
      <w:pPr>
        <w:pStyle w:val="a6"/>
        <w:tabs>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В рамках государственной программы «Развитие информационного общества в Томской области» реализуются мероприятия, большинство из которых направлены на достижение показателей Указа Президента Российской Федерации от 07.05.2012 № 601 «Об основных направлениях совершенствования системы государственного управления». </w:t>
      </w:r>
    </w:p>
    <w:p w:rsidR="007E27CB" w:rsidRDefault="008F141F">
      <w:pPr>
        <w:pStyle w:val="a6"/>
        <w:tabs>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В результате исполнения данных мероприятий и проведения мониторинга качества и доступности предоставления государственных и муниципальных услуг, в том числе на базе многофункциональных центров в Томской области:</w:t>
      </w:r>
    </w:p>
    <w:p w:rsidR="007E27CB" w:rsidRDefault="008F141F">
      <w:pPr>
        <w:pStyle w:val="a6"/>
        <w:numPr>
          <w:ilvl w:val="0"/>
          <w:numId w:val="8"/>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среднее значение уровня удовлетворенности заявителей качеством и доступностью государственных и муниципальных услуг на территории Томской области  в 2019 году составило 95,1%;</w:t>
      </w:r>
    </w:p>
    <w:p w:rsidR="007E27CB" w:rsidRDefault="008F141F">
      <w:pPr>
        <w:pStyle w:val="a6"/>
        <w:numPr>
          <w:ilvl w:val="0"/>
          <w:numId w:val="8"/>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среднее количество обращений представителей бизнес-сообщества в органы государственной власти (органы местного самоуправления) для получения одной государственной (муниципальной) услуги, связанной со сферой предпринимательской деятельности, на территории Томской области в 2019 году составило 1,77 обращения;</w:t>
      </w:r>
    </w:p>
    <w:p w:rsidR="007E27CB" w:rsidRDefault="008F141F">
      <w:pPr>
        <w:pStyle w:val="a6"/>
        <w:numPr>
          <w:ilvl w:val="0"/>
          <w:numId w:val="8"/>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время ожидания в очереди при обращении заявителя в орган государственной власти (орган местного самоуправления) для получения государственных (муниципальных) услуг на территории Томской области в 2019 году – 7,8 минуты;</w:t>
      </w:r>
    </w:p>
    <w:p w:rsidR="007E27CB" w:rsidRDefault="008F141F">
      <w:pPr>
        <w:pStyle w:val="a6"/>
        <w:numPr>
          <w:ilvl w:val="0"/>
          <w:numId w:val="8"/>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доля граждан, использующих механизм получения государственных и муниципальных услуг в электронной форме составила в 2019 году 86,9%.</w:t>
      </w:r>
    </w:p>
    <w:p w:rsidR="007E27CB" w:rsidRDefault="008F141F">
      <w:pPr>
        <w:pStyle w:val="af4"/>
        <w:tabs>
          <w:tab w:val="left" w:pos="4962"/>
        </w:tabs>
        <w:ind w:firstLine="567"/>
        <w:rPr>
          <w:b/>
          <w:sz w:val="24"/>
          <w:szCs w:val="24"/>
        </w:rPr>
      </w:pPr>
      <w:r>
        <w:rPr>
          <w:b/>
          <w:sz w:val="24"/>
          <w:szCs w:val="24"/>
        </w:rPr>
        <w:t>Совершенствование процесса предоставления государственных и муниципальных услуг, в том числе по принципу «одного окна»</w:t>
      </w:r>
    </w:p>
    <w:p w:rsidR="007E27CB" w:rsidRDefault="008F141F">
      <w:pPr>
        <w:tabs>
          <w:tab w:val="left" w:pos="4962"/>
        </w:tabs>
        <w:spacing w:after="0" w:line="240" w:lineRule="auto"/>
        <w:ind w:firstLine="567"/>
        <w:jc w:val="both"/>
        <w:rPr>
          <w:sz w:val="24"/>
          <w:szCs w:val="24"/>
        </w:rPr>
      </w:pPr>
      <w:r>
        <w:rPr>
          <w:sz w:val="24"/>
          <w:szCs w:val="24"/>
        </w:rPr>
        <w:t>На базе областного государственного казенного учреждения «Томский областной многофункциональный центр по предоставлению государственных и муниципальных услуг» (далее по разделу – МФЦ) на 31.12.2019 предоставляется 565 государственных и муниципальных услуг. Вследствие применения единых подходов в организации деятельности МФЦ региона получены следующие положительные результаты:</w:t>
      </w:r>
    </w:p>
    <w:p w:rsidR="007E27CB" w:rsidRDefault="008F141F">
      <w:pPr>
        <w:pStyle w:val="a6"/>
        <w:numPr>
          <w:ilvl w:val="0"/>
          <w:numId w:val="7"/>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количество многофункциональных центров в Томской области составляет 18 единиц, охват населения государственными и муниципальными услугами, предоставляемыми на базе МФЦ, составляет 92,19% (выполнен пп. б) пункта 1 Указа Президента Российской Федерации от 07.05.2012 № 601, согласно которому доля граждан, имеющих доступ к получению государственных и муниципальных услуг по принципу «одного окна» по месту пребывания, в том числе в многофункциональных центрах оказания государственных и муниципальных услуг, должна быть не менее 90 %);</w:t>
      </w:r>
    </w:p>
    <w:p w:rsidR="007E27CB" w:rsidRDefault="008F141F">
      <w:pPr>
        <w:pStyle w:val="af4"/>
        <w:numPr>
          <w:ilvl w:val="0"/>
          <w:numId w:val="7"/>
        </w:numPr>
        <w:tabs>
          <w:tab w:val="left" w:pos="851"/>
          <w:tab w:val="left" w:pos="4962"/>
        </w:tabs>
        <w:ind w:left="0" w:firstLine="567"/>
        <w:rPr>
          <w:sz w:val="24"/>
          <w:szCs w:val="24"/>
        </w:rPr>
      </w:pPr>
      <w:r>
        <w:rPr>
          <w:sz w:val="24"/>
          <w:szCs w:val="24"/>
        </w:rPr>
        <w:t>уровень удовлетворенности граждан качеством и доступностью предоставления государственных и муниципальных услуг, в том числе на базе многофункциональных центров, в Томской области в 2019 году составил 95,1% (выполнен пп. а) пункта 1 Указа Президента Российской Федерации от 07.05.2012 № 601, согласно которому указанный показатель должен быть не менее 90 %).</w:t>
      </w:r>
    </w:p>
    <w:p w:rsidR="007E27CB" w:rsidRDefault="008F141F">
      <w:pPr>
        <w:pStyle w:val="af4"/>
        <w:tabs>
          <w:tab w:val="left" w:pos="4962"/>
        </w:tabs>
        <w:ind w:firstLine="567"/>
        <w:jc w:val="center"/>
        <w:rPr>
          <w:sz w:val="24"/>
          <w:szCs w:val="24"/>
        </w:rPr>
      </w:pPr>
      <w:r>
        <w:rPr>
          <w:noProof/>
          <w:sz w:val="24"/>
          <w:szCs w:val="24"/>
        </w:rPr>
        <w:drawing>
          <wp:inline distT="0" distB="0" distL="0" distR="0">
            <wp:extent cx="4828265" cy="2352979"/>
            <wp:effectExtent l="0" t="0" r="0" b="0"/>
            <wp:docPr id="11" name="Диаграмма 1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7E27CB" w:rsidRDefault="007E27CB">
      <w:pPr>
        <w:tabs>
          <w:tab w:val="left" w:pos="4962"/>
        </w:tabs>
        <w:spacing w:after="0" w:line="240" w:lineRule="auto"/>
        <w:ind w:firstLine="567"/>
        <w:jc w:val="both"/>
        <w:rPr>
          <w:sz w:val="24"/>
          <w:szCs w:val="24"/>
        </w:rPr>
      </w:pPr>
    </w:p>
    <w:p w:rsidR="007E27CB" w:rsidRDefault="008F141F">
      <w:pPr>
        <w:tabs>
          <w:tab w:val="left" w:pos="4962"/>
        </w:tabs>
        <w:spacing w:after="0" w:line="240" w:lineRule="auto"/>
        <w:ind w:firstLine="567"/>
        <w:jc w:val="both"/>
        <w:rPr>
          <w:sz w:val="24"/>
          <w:szCs w:val="24"/>
        </w:rPr>
      </w:pPr>
      <w:r>
        <w:rPr>
          <w:sz w:val="24"/>
          <w:szCs w:val="24"/>
        </w:rPr>
        <w:t>В целях оказания поддержки субъектам малого и среднего предпринимательства в рамках соглашения на базе ОГКУ «Томский областной многофункциональный центр по предоставлению государственных и муниципальных услуг» оказываются 7 услуг АО «Федеральная корпорация по развитию малого и среднего предпринимательства». Всего в 2019 году поступило 3 000 заявок на оказание указанных услуг.</w:t>
      </w:r>
    </w:p>
    <w:p w:rsidR="007E27CB" w:rsidRDefault="008F141F">
      <w:pPr>
        <w:tabs>
          <w:tab w:val="left" w:pos="4962"/>
        </w:tabs>
        <w:autoSpaceDE w:val="0"/>
        <w:autoSpaceDN w:val="0"/>
        <w:adjustRightInd w:val="0"/>
        <w:spacing w:after="0" w:line="240" w:lineRule="auto"/>
        <w:ind w:firstLine="567"/>
        <w:jc w:val="both"/>
        <w:rPr>
          <w:rFonts w:eastAsia="Calibri"/>
          <w:sz w:val="24"/>
          <w:szCs w:val="24"/>
        </w:rPr>
      </w:pPr>
      <w:r>
        <w:rPr>
          <w:rFonts w:eastAsia="Calibri"/>
          <w:sz w:val="24"/>
          <w:szCs w:val="24"/>
        </w:rPr>
        <w:t>Открытыми в декабре 2017 года центрами оказания услуг для бизнеса путем создания дополнительных окон для приема и выдачи документов для юридических лиц и индивидуальных предпринимателей на базе кредитных организаций (ПАО «Промсвязьбанк», ПАО «Банк Уралсиб», ПАО «Томскпромстройбанк», ПАО «Левобережный», ПАО «Сбербанк», АО «Альфа Банк», ПАО «БИН Банк») в 2019 году предоставлено более 34</w:t>
      </w:r>
      <w:r>
        <w:rPr>
          <w:rStyle w:val="aff"/>
          <w:sz w:val="24"/>
          <w:szCs w:val="24"/>
        </w:rPr>
        <w:t> </w:t>
      </w:r>
      <w:r>
        <w:rPr>
          <w:rFonts w:eastAsia="Calibri"/>
          <w:sz w:val="24"/>
          <w:szCs w:val="24"/>
        </w:rPr>
        <w:t xml:space="preserve">000 услуг юридическим лицам и индивидуальным предпринимателям. </w:t>
      </w:r>
    </w:p>
    <w:p w:rsidR="007E27CB" w:rsidRDefault="007E27CB">
      <w:pPr>
        <w:tabs>
          <w:tab w:val="left" w:pos="4962"/>
        </w:tabs>
        <w:autoSpaceDE w:val="0"/>
        <w:autoSpaceDN w:val="0"/>
        <w:adjustRightInd w:val="0"/>
        <w:spacing w:after="0" w:line="240" w:lineRule="auto"/>
        <w:ind w:firstLine="567"/>
        <w:jc w:val="both"/>
        <w:rPr>
          <w:rFonts w:eastAsia="Calibri"/>
          <w:sz w:val="24"/>
          <w:szCs w:val="24"/>
        </w:rPr>
      </w:pPr>
    </w:p>
    <w:p w:rsidR="007E27CB" w:rsidRDefault="008F141F">
      <w:pPr>
        <w:tabs>
          <w:tab w:val="left" w:pos="4962"/>
        </w:tabs>
        <w:spacing w:after="0" w:line="240" w:lineRule="auto"/>
        <w:ind w:firstLine="567"/>
        <w:jc w:val="both"/>
        <w:rPr>
          <w:b/>
          <w:sz w:val="24"/>
          <w:szCs w:val="24"/>
        </w:rPr>
      </w:pPr>
      <w:r>
        <w:rPr>
          <w:b/>
          <w:sz w:val="24"/>
          <w:szCs w:val="24"/>
        </w:rPr>
        <w:t>ЭЛЕКТРОННОЕ ПРАВИТЕЛЬСТВО</w:t>
      </w:r>
      <w:r>
        <w:rPr>
          <w:rStyle w:val="af3"/>
          <w:rFonts w:eastAsia="Times New Roman"/>
          <w:b/>
          <w:sz w:val="24"/>
          <w:szCs w:val="24"/>
        </w:rPr>
        <w:footnoteReference w:id="24"/>
      </w:r>
    </w:p>
    <w:p w:rsidR="007E27CB" w:rsidRDefault="007E27CB">
      <w:pPr>
        <w:tabs>
          <w:tab w:val="left" w:pos="4962"/>
        </w:tabs>
        <w:spacing w:after="0" w:line="240" w:lineRule="auto"/>
        <w:ind w:firstLine="567"/>
        <w:jc w:val="both"/>
        <w:rPr>
          <w:b/>
          <w:sz w:val="24"/>
          <w:szCs w:val="24"/>
        </w:rPr>
      </w:pPr>
    </w:p>
    <w:p w:rsidR="007E27CB" w:rsidRDefault="008F141F">
      <w:pPr>
        <w:tabs>
          <w:tab w:val="left" w:pos="4962"/>
        </w:tabs>
        <w:spacing w:after="0" w:line="240" w:lineRule="auto"/>
        <w:ind w:firstLine="567"/>
        <w:jc w:val="both"/>
        <w:rPr>
          <w:sz w:val="24"/>
          <w:szCs w:val="24"/>
        </w:rPr>
      </w:pPr>
      <w:r>
        <w:rPr>
          <w:sz w:val="24"/>
          <w:szCs w:val="24"/>
        </w:rPr>
        <w:t>В целях обеспечения доступности предоставления государственных и муниципальных услуг Администрация Томской области с 2012 года проводит мероприятия по переходу на предоставление услуг органов власти региона в электронном виде.</w:t>
      </w:r>
    </w:p>
    <w:p w:rsidR="007E27CB" w:rsidRDefault="008F141F">
      <w:pPr>
        <w:tabs>
          <w:tab w:val="left" w:pos="4962"/>
        </w:tabs>
        <w:spacing w:after="0" w:line="240" w:lineRule="auto"/>
        <w:ind w:firstLine="567"/>
        <w:jc w:val="both"/>
        <w:rPr>
          <w:sz w:val="24"/>
          <w:szCs w:val="24"/>
        </w:rPr>
      </w:pPr>
      <w:r>
        <w:rPr>
          <w:sz w:val="24"/>
          <w:szCs w:val="24"/>
        </w:rPr>
        <w:t xml:space="preserve">Участие Томской области в 2019 году в проекте «Мультирегиональность» совместно с Минкомсвязью России обеспечило для жителей региона доступ к региональным, муниципальным и федеральным услугам в цифровой форме посредством единой точки входа – портала «Госуслуги». В первую очередь это сделало электронные услуги доступнее для томичей (на одной платформе в 2019 году доступны 142 региональных и 356 федеральных услуг). </w:t>
      </w:r>
    </w:p>
    <w:p w:rsidR="007E27CB" w:rsidRDefault="008F141F">
      <w:pPr>
        <w:tabs>
          <w:tab w:val="left" w:pos="4962"/>
        </w:tabs>
        <w:spacing w:after="0" w:line="240" w:lineRule="auto"/>
        <w:ind w:firstLine="567"/>
        <w:jc w:val="both"/>
        <w:rPr>
          <w:sz w:val="24"/>
          <w:szCs w:val="24"/>
        </w:rPr>
      </w:pPr>
      <w:r>
        <w:rPr>
          <w:sz w:val="24"/>
          <w:szCs w:val="24"/>
        </w:rPr>
        <w:t>В конце 2019 года дополнительно переведена в электронный вид популярная услуга «Назначение и выплата ежемесячной денежной выплаты по оплате проезда на общественном транспорте» (в размере 200 рублей), а так же 4 услуги в сфере гостехнадзора.</w:t>
      </w:r>
    </w:p>
    <w:p w:rsidR="007E27CB" w:rsidRDefault="008F141F">
      <w:pPr>
        <w:tabs>
          <w:tab w:val="left" w:pos="4962"/>
        </w:tabs>
        <w:spacing w:after="0" w:line="240" w:lineRule="auto"/>
        <w:ind w:firstLine="567"/>
        <w:jc w:val="both"/>
        <w:rPr>
          <w:sz w:val="24"/>
          <w:szCs w:val="24"/>
        </w:rPr>
      </w:pPr>
      <w:r>
        <w:rPr>
          <w:sz w:val="24"/>
          <w:szCs w:val="24"/>
        </w:rPr>
        <w:t>Кроме того, в 2019 году произведена оптимизация 17 электронных форм взаимодействия граждан с органами власти с использованием принципов понятности, а также внедрена возможность записи в ведомство в электронной форме с использованием портала «Госуслуги».</w:t>
      </w:r>
    </w:p>
    <w:p w:rsidR="007E27CB" w:rsidRDefault="008F141F">
      <w:pPr>
        <w:tabs>
          <w:tab w:val="left" w:pos="4962"/>
        </w:tabs>
        <w:spacing w:after="0" w:line="240" w:lineRule="auto"/>
        <w:ind w:firstLine="567"/>
        <w:jc w:val="both"/>
        <w:rPr>
          <w:sz w:val="24"/>
          <w:szCs w:val="24"/>
        </w:rPr>
      </w:pPr>
      <w:r>
        <w:rPr>
          <w:sz w:val="24"/>
          <w:szCs w:val="24"/>
        </w:rPr>
        <w:t xml:space="preserve">В целях реализации задач программы «Цифровая экономика» в 2019 году обеспечено нормативное регулирование цифровой среды в части предоставления государственных (муниципальных) услуг, ведется инвентаризация региональных нормативно-правовых актов и гармонизация регионального законодательства. </w:t>
      </w:r>
    </w:p>
    <w:p w:rsidR="007E27CB" w:rsidRDefault="008F141F">
      <w:pPr>
        <w:tabs>
          <w:tab w:val="left" w:pos="4962"/>
        </w:tabs>
        <w:spacing w:after="0" w:line="240" w:lineRule="auto"/>
        <w:ind w:firstLine="567"/>
        <w:jc w:val="both"/>
        <w:rPr>
          <w:sz w:val="24"/>
          <w:szCs w:val="24"/>
        </w:rPr>
      </w:pPr>
      <w:r>
        <w:rPr>
          <w:sz w:val="24"/>
          <w:szCs w:val="24"/>
        </w:rPr>
        <w:t>Органы власти Томской области активно используют электронное межведомственное взаимодействие при предоставлении государственных и муниципальных услуг, что снижает нагрузку на заявителей в части предоставления справок и документов. За 2019 год количество сотрудников, подключенных к Модулю межведомственного электронного взаимодействия Томской области, увеличено с 1 974 до 2 332 человек, при этом в 2019 году ими направлено 349 тысяч электронных запросов (в 2018 г. – 204 тысячи), что соответствует количеству справок, не истребованных у граждан.</w:t>
      </w:r>
    </w:p>
    <w:p w:rsidR="007E27CB" w:rsidRDefault="007E27CB">
      <w:pPr>
        <w:pStyle w:val="Default"/>
        <w:tabs>
          <w:tab w:val="left" w:pos="4962"/>
        </w:tabs>
        <w:ind w:firstLine="567"/>
        <w:jc w:val="center"/>
        <w:rPr>
          <w:b/>
        </w:rPr>
      </w:pPr>
    </w:p>
    <w:p w:rsidR="007E27CB" w:rsidRDefault="008F141F">
      <w:pPr>
        <w:tabs>
          <w:tab w:val="left" w:pos="4962"/>
        </w:tabs>
        <w:spacing w:after="0" w:line="240" w:lineRule="auto"/>
        <w:ind w:firstLine="567"/>
        <w:rPr>
          <w:b/>
          <w:sz w:val="24"/>
          <w:szCs w:val="24"/>
        </w:rPr>
      </w:pPr>
      <w:r>
        <w:rPr>
          <w:b/>
          <w:sz w:val="24"/>
          <w:szCs w:val="24"/>
        </w:rPr>
        <w:t>ОТКРЫТОЕ ПРАВИТЕЛЬСТВО</w:t>
      </w:r>
    </w:p>
    <w:p w:rsidR="007E27CB" w:rsidRDefault="007E27CB">
      <w:pPr>
        <w:tabs>
          <w:tab w:val="left" w:pos="4962"/>
        </w:tabs>
        <w:spacing w:after="0" w:line="240" w:lineRule="auto"/>
        <w:ind w:firstLine="567"/>
        <w:rPr>
          <w:b/>
          <w:sz w:val="24"/>
          <w:szCs w:val="24"/>
        </w:rPr>
      </w:pPr>
    </w:p>
    <w:p w:rsidR="007E27CB" w:rsidRDefault="008F141F">
      <w:pPr>
        <w:tabs>
          <w:tab w:val="left" w:pos="4962"/>
        </w:tabs>
        <w:spacing w:after="0" w:line="240" w:lineRule="auto"/>
        <w:ind w:firstLine="567"/>
        <w:jc w:val="both"/>
        <w:rPr>
          <w:sz w:val="24"/>
          <w:szCs w:val="24"/>
        </w:rPr>
      </w:pPr>
      <w:r>
        <w:rPr>
          <w:sz w:val="24"/>
          <w:szCs w:val="24"/>
        </w:rPr>
        <w:t xml:space="preserve">Поэтапно проводится комплекс мероприятий, направленных на создание и развитие сегментов Ситуационного центра Губернатора Томской области (далее по разделу – Ситуационный центр). </w:t>
      </w:r>
    </w:p>
    <w:p w:rsidR="007E27CB" w:rsidRDefault="008F141F">
      <w:pPr>
        <w:tabs>
          <w:tab w:val="left" w:pos="4962"/>
        </w:tabs>
        <w:spacing w:after="0" w:line="240" w:lineRule="auto"/>
        <w:ind w:firstLine="567"/>
        <w:jc w:val="both"/>
        <w:rPr>
          <w:sz w:val="24"/>
          <w:szCs w:val="24"/>
        </w:rPr>
      </w:pPr>
      <w:r>
        <w:rPr>
          <w:sz w:val="24"/>
          <w:szCs w:val="24"/>
        </w:rPr>
        <w:t xml:space="preserve">В целях формирования единого информационного пространства Томской области обеспечена интеграция Ситуационного центра с пятью федеральными информационными системами (система космического мониторинга Рослесхоза, государственный кадастр недвижимости Росреестра, спутниковый сервис мониторинга возобновляемых биоресурсов, ЕСИА, СМЭВ) и с 16 региональными информационными системами органов власти Томской области (система мониторинга лесопожарной обстановки органов авиационной охраны лесов и лесного хозяйства Томской области, инвестиционный портал Томской области, автоматизированная система контроля радиационной обстановки Томской области, система мониторинга городского пассажирского транспорта Томской области и пр.). </w:t>
      </w:r>
    </w:p>
    <w:p w:rsidR="007E27CB" w:rsidRDefault="008F141F">
      <w:pPr>
        <w:tabs>
          <w:tab w:val="left" w:pos="4962"/>
        </w:tabs>
        <w:spacing w:after="0" w:line="240" w:lineRule="auto"/>
        <w:ind w:firstLine="567"/>
        <w:jc w:val="both"/>
        <w:rPr>
          <w:sz w:val="24"/>
          <w:szCs w:val="24"/>
        </w:rPr>
      </w:pPr>
      <w:r>
        <w:rPr>
          <w:sz w:val="24"/>
          <w:szCs w:val="24"/>
        </w:rPr>
        <w:t xml:space="preserve">Выполнены работы по созданию рабочих мест (презентационных панелей) руководителей регионального уровня, обеспечено их первоначальное информационное наполнение, а также выполнены работы по организации защищенного соединения, модернизации функционала системы, в том числе разработаны модули ведения паспортов муниципальных образований Томской области, мониторинга национальной безопасности, прогнозирования развития лесного пожара. </w:t>
      </w:r>
    </w:p>
    <w:p w:rsidR="007E27CB" w:rsidRDefault="008F141F">
      <w:pPr>
        <w:tabs>
          <w:tab w:val="left" w:pos="4962"/>
        </w:tabs>
        <w:spacing w:after="0" w:line="240" w:lineRule="auto"/>
        <w:ind w:firstLine="567"/>
        <w:jc w:val="both"/>
        <w:rPr>
          <w:sz w:val="24"/>
          <w:szCs w:val="24"/>
        </w:rPr>
      </w:pPr>
      <w:r>
        <w:rPr>
          <w:sz w:val="24"/>
          <w:szCs w:val="24"/>
        </w:rPr>
        <w:t>В конце 2019 года создан отдел по обеспечению деятельности Ситуационного центра.</w:t>
      </w:r>
    </w:p>
    <w:p w:rsidR="007E27CB" w:rsidRDefault="008F141F">
      <w:pPr>
        <w:tabs>
          <w:tab w:val="left" w:pos="4962"/>
        </w:tabs>
        <w:spacing w:after="0" w:line="240" w:lineRule="auto"/>
        <w:ind w:firstLine="567"/>
        <w:jc w:val="both"/>
        <w:rPr>
          <w:sz w:val="24"/>
          <w:szCs w:val="24"/>
        </w:rPr>
      </w:pPr>
      <w:r>
        <w:rPr>
          <w:sz w:val="24"/>
          <w:szCs w:val="24"/>
        </w:rPr>
        <w:t>В целях преодоления цифрового неравенства реализуется проект по развитию сети центров общественного доступа к социально значимой информации в информационно-телекоммуникационной сети «Интернет» (далее по разделу – ЦОД). По состоянию на конец 2019 года в 106 населенных пунктах Томской области функционируют 119 ЦОД на базе муниципальных учреждений и библиотек, учреждений высшего и среднего профессионального образования (на конец 2018 года функционировало 118 ЦОД в 106 населенных пунктах). Карта расположения ЦОД в Томской области представлена на рисунке.</w:t>
      </w:r>
    </w:p>
    <w:p w:rsidR="007E27CB" w:rsidRDefault="008F141F">
      <w:pPr>
        <w:tabs>
          <w:tab w:val="left" w:pos="4962"/>
        </w:tabs>
        <w:spacing w:after="0" w:line="240" w:lineRule="auto"/>
        <w:ind w:firstLine="567"/>
        <w:jc w:val="both"/>
        <w:rPr>
          <w:sz w:val="24"/>
          <w:szCs w:val="24"/>
        </w:rPr>
      </w:pPr>
      <w:r>
        <w:rPr>
          <w:noProof/>
          <w:sz w:val="24"/>
          <w:szCs w:val="24"/>
          <w:lang w:eastAsia="ru-RU"/>
        </w:rPr>
        <w:drawing>
          <wp:anchor distT="0" distB="0" distL="114300" distR="114300" simplePos="0" relativeHeight="251668480" behindDoc="0" locked="0" layoutInCell="1" allowOverlap="1">
            <wp:simplePos x="0" y="0"/>
            <wp:positionH relativeFrom="column">
              <wp:posOffset>-50800</wp:posOffset>
            </wp:positionH>
            <wp:positionV relativeFrom="paragraph">
              <wp:posOffset>-282575</wp:posOffset>
            </wp:positionV>
            <wp:extent cx="3673475" cy="2672715"/>
            <wp:effectExtent l="0" t="0" r="3175" b="0"/>
            <wp:wrapSquare wrapText="bothSides"/>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673475" cy="267271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4"/>
          <w:szCs w:val="24"/>
        </w:rPr>
        <w:t>Силами ЦОД решаются задачи обеспечения доступа жителей Томской области к интернет-ресурсам органов власти, порталу «Госуслуги» и другим сервисам цифрового правительства, повышения информационной, правовой и компьютерной грамотности населения Томской области. В 2019 году ЦОДы посетило более 100 тыс. жителей Томской области.</w:t>
      </w:r>
    </w:p>
    <w:p w:rsidR="007E27CB" w:rsidRDefault="007E27CB">
      <w:pPr>
        <w:tabs>
          <w:tab w:val="left" w:pos="4962"/>
        </w:tabs>
        <w:spacing w:after="0" w:line="240" w:lineRule="auto"/>
        <w:ind w:firstLine="567"/>
        <w:jc w:val="both"/>
        <w:rPr>
          <w:sz w:val="24"/>
          <w:szCs w:val="24"/>
        </w:rPr>
      </w:pPr>
    </w:p>
    <w:p w:rsidR="007E27CB" w:rsidRDefault="008F141F">
      <w:pPr>
        <w:tabs>
          <w:tab w:val="left" w:pos="4962"/>
        </w:tabs>
        <w:spacing w:after="0" w:line="240" w:lineRule="auto"/>
        <w:ind w:firstLine="567"/>
        <w:jc w:val="both"/>
        <w:rPr>
          <w:sz w:val="24"/>
          <w:szCs w:val="24"/>
        </w:rPr>
      </w:pPr>
      <w:r>
        <w:rPr>
          <w:sz w:val="24"/>
          <w:szCs w:val="24"/>
        </w:rPr>
        <w:t>Вместе с развитием сети ЦОД на территории Томской области реализуется проект по бесплатному обучению граждан основам цифровой и компьютерной грамотности по международной программе «e-Citizen – Электронный гражданин». В 2019 году курс был значительно расширен с учетом текущей потребности граждан в изучении не только основ компьютерной, но цифровой грамотности. В новую программу «Цифровой гражданин» вошли дополнительные темы: «Мобильные устройства» (изучение мобильных приложений, в т.ч. мессенджеров), «Электронные банковские услуги» (оплата товаров и услуг банковской картой, интернет-банки, переводы денег частным лицам, подача заявок на банковские продукты через Интернет), «Безопасность Интернет-транзакций» (безопасное использование пластиковых карт в Интернете, безопасное пользование Интернет-банкингом и др.), «Защита персональных данных», «Безопасность в социальных сетях» и др. Объем изучения курса был увеличен с 34 до 45 академических часов.</w:t>
      </w:r>
    </w:p>
    <w:p w:rsidR="007E27CB" w:rsidRDefault="008F141F">
      <w:pPr>
        <w:tabs>
          <w:tab w:val="left" w:pos="4962"/>
        </w:tabs>
        <w:spacing w:after="0" w:line="240" w:lineRule="auto"/>
        <w:ind w:firstLine="567"/>
        <w:jc w:val="both"/>
        <w:rPr>
          <w:sz w:val="24"/>
          <w:szCs w:val="24"/>
        </w:rPr>
      </w:pPr>
      <w:r>
        <w:rPr>
          <w:sz w:val="24"/>
          <w:szCs w:val="24"/>
        </w:rPr>
        <w:t>Новые учебно-методические комплекты выдавались слушателям, как и ранее, бесплатно (учебник в 3 частях «Основы компьютерной грамотности», «Ресурсы цифровой экономики», «Электронная коммерция и информационная безопасность» и рабочая тетрадь).</w:t>
      </w:r>
    </w:p>
    <w:p w:rsidR="007E27CB" w:rsidRDefault="008F141F">
      <w:pPr>
        <w:tabs>
          <w:tab w:val="left" w:pos="4962"/>
        </w:tabs>
        <w:spacing w:after="0" w:line="240" w:lineRule="auto"/>
        <w:ind w:firstLine="567"/>
        <w:jc w:val="both"/>
        <w:rPr>
          <w:sz w:val="24"/>
          <w:szCs w:val="24"/>
        </w:rPr>
      </w:pPr>
      <w:r>
        <w:rPr>
          <w:sz w:val="24"/>
          <w:szCs w:val="24"/>
        </w:rPr>
        <w:t>Курс оказался крайне востребованным среди населения. Все заявки на обучение, которые поступили  после набора групп на текущий год, обработаны, и желающие будут приглашены на обучение в 2020 году. При этом необходимо отметить, что аудитория проекта «омолодилась», ранее среди слушателей преобладали представители старшего поколения (более половины), теперь статистика обратная (слушателей до 50 лет почти 60%).</w:t>
      </w:r>
    </w:p>
    <w:p w:rsidR="007E27CB" w:rsidRDefault="008F141F">
      <w:pPr>
        <w:tabs>
          <w:tab w:val="left" w:pos="4962"/>
        </w:tabs>
        <w:spacing w:after="0" w:line="240" w:lineRule="auto"/>
        <w:ind w:firstLine="567"/>
        <w:jc w:val="both"/>
        <w:rPr>
          <w:sz w:val="24"/>
          <w:szCs w:val="24"/>
        </w:rPr>
      </w:pPr>
      <w:r>
        <w:rPr>
          <w:sz w:val="24"/>
          <w:szCs w:val="24"/>
        </w:rPr>
        <w:t xml:space="preserve">Всего с момента начала реализации проекта в 2013 году обучение прошли  более      8 500 граждан. Обучение проходит во всех районах области. В 2019 году было задействовано порядка 70 площадок, в основном на базе ЦОД, что позволило охватить и отдаленные поселки. </w:t>
      </w:r>
    </w:p>
    <w:p w:rsidR="007E27CB" w:rsidRDefault="008F141F">
      <w:pPr>
        <w:tabs>
          <w:tab w:val="left" w:pos="4962"/>
        </w:tabs>
        <w:spacing w:after="0" w:line="240" w:lineRule="auto"/>
        <w:ind w:firstLine="567"/>
        <w:jc w:val="both"/>
        <w:rPr>
          <w:sz w:val="24"/>
          <w:szCs w:val="24"/>
        </w:rPr>
      </w:pPr>
      <w:r>
        <w:rPr>
          <w:sz w:val="24"/>
          <w:szCs w:val="24"/>
        </w:rPr>
        <w:t xml:space="preserve">На губернском телеканале «Томское время» периодически транслируется видеокурс по повышению компьютерной грамотности жителей Томской области и развитию навыков получения государственных и муниципальных услуг в электронной форме, состоящий из 55 серий продолжительностью 22 – 25 минут (последняя трансляция завершилась осенью 2019 г.). Для удобства граждан видеоролики размещены в открытом доступе на официальном интернет-портале Администрации Томской области. Для самообучения компьютерной грамотности граждан с ограниченными возможностями по зрению на официальном интернет-портале Администрации Томской области размещен аудиокурс «Электронный гражданин» (55 аудиофайлов продолжительностью 18 – 8 минут). </w:t>
      </w:r>
    </w:p>
    <w:p w:rsidR="007E27CB" w:rsidRDefault="008F141F">
      <w:pPr>
        <w:tabs>
          <w:tab w:val="left" w:pos="4962"/>
        </w:tabs>
        <w:spacing w:after="0" w:line="240" w:lineRule="auto"/>
        <w:ind w:firstLine="567"/>
        <w:jc w:val="both"/>
        <w:rPr>
          <w:color w:val="222222"/>
          <w:sz w:val="24"/>
          <w:szCs w:val="24"/>
        </w:rPr>
      </w:pPr>
      <w:r>
        <w:rPr>
          <w:sz w:val="24"/>
          <w:szCs w:val="24"/>
        </w:rPr>
        <w:t>В целях исполнения новых законодательных требований постоянно совершенствуется официальный интернет-портал Администрации Томской области (далее по разделу – Портал) – единое окно для доступа к сайтам всех исполнительных органов власти Томской области. Сайты госорганов типизированы, разработан единый стиль и дизайн, что облегчило поиск нужной информации. На Портале реализовано множество сервисов для обратной связи и взаимодействия с населением: опросы, обсуждения, комментирование контента и др. Ежегодно внедряются новые полезные сервисы, например, в 2019 году созданы сервисы для поиска государственного имущества, предоставляемого  для приватизации или аренды, интерактивная карта городской среды для отображения реконструированных объектов</w:t>
      </w:r>
      <w:r>
        <w:rPr>
          <w:color w:val="222222"/>
          <w:sz w:val="24"/>
          <w:szCs w:val="24"/>
        </w:rPr>
        <w:t xml:space="preserve">. </w:t>
      </w:r>
    </w:p>
    <w:p w:rsidR="007E27CB" w:rsidRDefault="008F141F">
      <w:pPr>
        <w:tabs>
          <w:tab w:val="left" w:pos="4962"/>
        </w:tabs>
        <w:spacing w:after="0" w:line="240" w:lineRule="auto"/>
        <w:ind w:firstLine="567"/>
        <w:jc w:val="both"/>
        <w:rPr>
          <w:color w:val="222222"/>
          <w:sz w:val="24"/>
          <w:szCs w:val="24"/>
        </w:rPr>
      </w:pPr>
      <w:r>
        <w:rPr>
          <w:sz w:val="24"/>
          <w:szCs w:val="24"/>
        </w:rPr>
        <w:t>Количество посетителей портала ежегодно растет, в среднем ежедневно ресурс посещает порядка 3 500 – 4 000 человек.</w:t>
      </w:r>
    </w:p>
    <w:p w:rsidR="007E27CB" w:rsidRDefault="008F141F">
      <w:pPr>
        <w:tabs>
          <w:tab w:val="left" w:pos="4962"/>
        </w:tabs>
        <w:spacing w:after="0" w:line="240" w:lineRule="auto"/>
        <w:ind w:firstLine="567"/>
        <w:jc w:val="both"/>
        <w:rPr>
          <w:sz w:val="24"/>
          <w:szCs w:val="24"/>
        </w:rPr>
      </w:pPr>
      <w:r>
        <w:rPr>
          <w:sz w:val="24"/>
          <w:szCs w:val="24"/>
        </w:rPr>
        <w:t>В целях реализации принципа информационной открытости на Портале функционирует раздел «Открытые данные», в едином реестре которого на текущий момент опубликовано 1</w:t>
      </w:r>
      <w:r>
        <w:rPr>
          <w:rStyle w:val="aff"/>
          <w:sz w:val="24"/>
          <w:szCs w:val="24"/>
        </w:rPr>
        <w:t> </w:t>
      </w:r>
      <w:r>
        <w:rPr>
          <w:sz w:val="24"/>
          <w:szCs w:val="24"/>
        </w:rPr>
        <w:t xml:space="preserve">043 набора данных. В проекте задействовано 100% исполнительных органов власти Томской области. </w:t>
      </w:r>
    </w:p>
    <w:p w:rsidR="007E27CB" w:rsidRDefault="008F141F">
      <w:pPr>
        <w:tabs>
          <w:tab w:val="left" w:pos="4962"/>
        </w:tabs>
        <w:spacing w:after="0" w:line="240" w:lineRule="auto"/>
        <w:ind w:firstLine="567"/>
        <w:jc w:val="both"/>
        <w:rPr>
          <w:sz w:val="24"/>
          <w:szCs w:val="24"/>
        </w:rPr>
      </w:pPr>
      <w:r>
        <w:rPr>
          <w:sz w:val="24"/>
          <w:szCs w:val="24"/>
        </w:rPr>
        <w:t>В рейтингах открытости, проводимых Минэкономразвития России и независимыми экспертными организациями, Томская область входит в Топ-5 среди всех субъектов России.</w:t>
      </w:r>
    </w:p>
    <w:p w:rsidR="007E27CB" w:rsidRDefault="007E27CB">
      <w:pPr>
        <w:tabs>
          <w:tab w:val="left" w:pos="4962"/>
        </w:tabs>
        <w:spacing w:after="0" w:line="240" w:lineRule="auto"/>
        <w:ind w:firstLine="567"/>
        <w:jc w:val="both"/>
        <w:rPr>
          <w:sz w:val="24"/>
          <w:szCs w:val="24"/>
        </w:rPr>
      </w:pPr>
    </w:p>
    <w:p w:rsidR="007E27CB" w:rsidRDefault="008F141F">
      <w:pPr>
        <w:shd w:val="clear" w:color="auto" w:fill="F2F2F2" w:themeFill="background1" w:themeFillShade="F2"/>
        <w:tabs>
          <w:tab w:val="left" w:pos="4962"/>
        </w:tabs>
        <w:autoSpaceDE w:val="0"/>
        <w:autoSpaceDN w:val="0"/>
        <w:adjustRightInd w:val="0"/>
        <w:spacing w:after="0" w:line="240" w:lineRule="auto"/>
        <w:jc w:val="both"/>
        <w:rPr>
          <w:b/>
          <w:sz w:val="24"/>
          <w:szCs w:val="24"/>
        </w:rPr>
      </w:pPr>
      <w:r>
        <w:rPr>
          <w:b/>
          <w:sz w:val="24"/>
          <w:szCs w:val="24"/>
        </w:rPr>
        <w:t>Перспективные задачи</w:t>
      </w:r>
    </w:p>
    <w:p w:rsidR="007E27CB" w:rsidRDefault="007E27CB">
      <w:pPr>
        <w:tabs>
          <w:tab w:val="left" w:pos="4962"/>
        </w:tabs>
        <w:spacing w:after="0" w:line="240" w:lineRule="auto"/>
        <w:rPr>
          <w:rFonts w:eastAsia="Times New Roman"/>
          <w:sz w:val="24"/>
          <w:szCs w:val="24"/>
        </w:rPr>
      </w:pPr>
    </w:p>
    <w:p w:rsidR="007E27CB" w:rsidRDefault="008F141F">
      <w:pPr>
        <w:tabs>
          <w:tab w:val="left" w:pos="993"/>
          <w:tab w:val="left" w:pos="4962"/>
        </w:tabs>
        <w:spacing w:after="0" w:line="240" w:lineRule="auto"/>
        <w:jc w:val="both"/>
        <w:rPr>
          <w:rFonts w:eastAsia="Times New Roman"/>
          <w:sz w:val="24"/>
          <w:szCs w:val="24"/>
        </w:rPr>
      </w:pPr>
      <w:r>
        <w:rPr>
          <w:rFonts w:eastAsia="Times New Roman"/>
          <w:sz w:val="24"/>
          <w:szCs w:val="24"/>
        </w:rPr>
        <w:t xml:space="preserve">1. Повышение качества предоставления государственных и муниципальных услуг, развитие электронных услуг и сервисов в условиях создания новой технологической основы в экономике и социальной сфере. </w:t>
      </w:r>
    </w:p>
    <w:p w:rsidR="007E27CB" w:rsidRDefault="008F141F">
      <w:pPr>
        <w:tabs>
          <w:tab w:val="left" w:pos="993"/>
          <w:tab w:val="left" w:pos="4962"/>
        </w:tabs>
        <w:spacing w:after="0" w:line="240" w:lineRule="auto"/>
        <w:jc w:val="both"/>
        <w:rPr>
          <w:rFonts w:eastAsia="Times New Roman"/>
          <w:sz w:val="24"/>
          <w:szCs w:val="24"/>
        </w:rPr>
      </w:pPr>
      <w:r>
        <w:rPr>
          <w:rFonts w:eastAsia="Times New Roman"/>
          <w:sz w:val="24"/>
          <w:szCs w:val="24"/>
        </w:rPr>
        <w:t>2. Повышение качества жизни граждан за счет использования ИКТ при взаимодействии с органами государственной власти и органами местного самоуправления:</w:t>
      </w:r>
    </w:p>
    <w:p w:rsidR="007E27CB" w:rsidRDefault="008F141F">
      <w:pPr>
        <w:pStyle w:val="a6"/>
        <w:numPr>
          <w:ilvl w:val="0"/>
          <w:numId w:val="70"/>
        </w:numPr>
        <w:tabs>
          <w:tab w:val="left" w:pos="284"/>
          <w:tab w:val="left" w:pos="4962"/>
        </w:tabs>
        <w:spacing w:after="0" w:line="240" w:lineRule="auto"/>
        <w:ind w:left="0" w:firstLine="0"/>
        <w:jc w:val="both"/>
        <w:rPr>
          <w:rFonts w:ascii="Times New Roman" w:eastAsia="Times New Roman" w:hAnsi="Times New Roman"/>
          <w:sz w:val="24"/>
          <w:szCs w:val="24"/>
        </w:rPr>
      </w:pPr>
      <w:r>
        <w:rPr>
          <w:rFonts w:ascii="Times New Roman" w:eastAsia="Times New Roman" w:hAnsi="Times New Roman"/>
          <w:sz w:val="24"/>
          <w:szCs w:val="24"/>
        </w:rPr>
        <w:t>развитие региональной инфраструктуры электронного правительства Томской области;</w:t>
      </w:r>
    </w:p>
    <w:p w:rsidR="007E27CB" w:rsidRDefault="008F141F">
      <w:pPr>
        <w:pStyle w:val="a6"/>
        <w:numPr>
          <w:ilvl w:val="0"/>
          <w:numId w:val="70"/>
        </w:numPr>
        <w:tabs>
          <w:tab w:val="left" w:pos="284"/>
          <w:tab w:val="left" w:pos="4962"/>
        </w:tabs>
        <w:spacing w:after="0" w:line="240" w:lineRule="auto"/>
        <w:ind w:left="0" w:firstLine="0"/>
        <w:jc w:val="both"/>
        <w:rPr>
          <w:rFonts w:ascii="Times New Roman" w:eastAsia="Times New Roman" w:hAnsi="Times New Roman"/>
          <w:sz w:val="24"/>
          <w:szCs w:val="24"/>
        </w:rPr>
      </w:pPr>
      <w:r>
        <w:rPr>
          <w:rFonts w:ascii="Times New Roman" w:eastAsia="Times New Roman" w:hAnsi="Times New Roman"/>
          <w:sz w:val="24"/>
          <w:szCs w:val="24"/>
        </w:rPr>
        <w:t>обеспечение функционирования и развития сети МФЦ и ЦОД в Томской области;</w:t>
      </w:r>
    </w:p>
    <w:p w:rsidR="007E27CB" w:rsidRDefault="008F141F">
      <w:pPr>
        <w:pStyle w:val="a6"/>
        <w:numPr>
          <w:ilvl w:val="0"/>
          <w:numId w:val="70"/>
        </w:numPr>
        <w:tabs>
          <w:tab w:val="left" w:pos="284"/>
          <w:tab w:val="left" w:pos="4962"/>
        </w:tabs>
        <w:spacing w:after="0" w:line="240" w:lineRule="auto"/>
        <w:ind w:left="0" w:firstLine="0"/>
        <w:jc w:val="both"/>
        <w:rPr>
          <w:rFonts w:ascii="Times New Roman" w:eastAsia="Times New Roman" w:hAnsi="Times New Roman"/>
          <w:sz w:val="24"/>
          <w:szCs w:val="24"/>
        </w:rPr>
      </w:pPr>
      <w:r>
        <w:rPr>
          <w:rFonts w:ascii="Times New Roman" w:eastAsia="Times New Roman" w:hAnsi="Times New Roman"/>
          <w:sz w:val="24"/>
          <w:szCs w:val="24"/>
        </w:rPr>
        <w:t>обеспечение возможности повышения компьютерной грамотности населения;</w:t>
      </w:r>
    </w:p>
    <w:p w:rsidR="007E27CB" w:rsidRDefault="008F141F">
      <w:pPr>
        <w:pStyle w:val="a6"/>
        <w:numPr>
          <w:ilvl w:val="0"/>
          <w:numId w:val="70"/>
        </w:numPr>
        <w:tabs>
          <w:tab w:val="left" w:pos="284"/>
          <w:tab w:val="left" w:pos="4962"/>
        </w:tabs>
        <w:spacing w:after="0" w:line="240" w:lineRule="auto"/>
        <w:ind w:left="0" w:firstLine="0"/>
        <w:jc w:val="both"/>
        <w:rPr>
          <w:rFonts w:ascii="Times New Roman" w:eastAsia="Times New Roman" w:hAnsi="Times New Roman"/>
          <w:sz w:val="24"/>
          <w:szCs w:val="24"/>
        </w:rPr>
      </w:pPr>
      <w:r>
        <w:rPr>
          <w:rFonts w:ascii="Times New Roman" w:eastAsia="Times New Roman" w:hAnsi="Times New Roman"/>
          <w:sz w:val="24"/>
          <w:szCs w:val="24"/>
        </w:rPr>
        <w:t>организация межведомственного электронного взаимодействия в рамках контрольно-надзорной деятельности;</w:t>
      </w:r>
    </w:p>
    <w:p w:rsidR="007E27CB" w:rsidRDefault="008F141F">
      <w:pPr>
        <w:pStyle w:val="a6"/>
        <w:numPr>
          <w:ilvl w:val="0"/>
          <w:numId w:val="70"/>
        </w:numPr>
        <w:tabs>
          <w:tab w:val="left" w:pos="284"/>
          <w:tab w:val="left" w:pos="4962"/>
        </w:tabs>
        <w:spacing w:after="0" w:line="240" w:lineRule="auto"/>
        <w:ind w:left="0" w:firstLine="0"/>
        <w:jc w:val="both"/>
        <w:rPr>
          <w:rFonts w:ascii="Times New Roman" w:eastAsia="Times New Roman" w:hAnsi="Times New Roman"/>
          <w:sz w:val="24"/>
          <w:szCs w:val="24"/>
        </w:rPr>
      </w:pPr>
      <w:r>
        <w:rPr>
          <w:rFonts w:ascii="Times New Roman" w:eastAsia="Times New Roman" w:hAnsi="Times New Roman"/>
          <w:sz w:val="24"/>
          <w:szCs w:val="24"/>
        </w:rPr>
        <w:t>повышение востребованности услуг в электронной форме и обеспечение исполнения требований к услугам в электронной форме, миграция форм непосредственного получения услуг в электронной форме на ЕПГУ;</w:t>
      </w:r>
    </w:p>
    <w:p w:rsidR="007E27CB" w:rsidRDefault="008F141F">
      <w:pPr>
        <w:pStyle w:val="a6"/>
        <w:numPr>
          <w:ilvl w:val="0"/>
          <w:numId w:val="70"/>
        </w:numPr>
        <w:tabs>
          <w:tab w:val="left" w:pos="284"/>
          <w:tab w:val="left" w:pos="4962"/>
        </w:tabs>
        <w:spacing w:after="0" w:line="240" w:lineRule="auto"/>
        <w:ind w:left="0" w:firstLine="0"/>
        <w:jc w:val="both"/>
        <w:rPr>
          <w:rFonts w:ascii="Times New Roman" w:eastAsia="Times New Roman" w:hAnsi="Times New Roman"/>
          <w:sz w:val="24"/>
          <w:szCs w:val="24"/>
        </w:rPr>
      </w:pPr>
      <w:r>
        <w:rPr>
          <w:rFonts w:ascii="Times New Roman" w:eastAsia="Times New Roman" w:hAnsi="Times New Roman"/>
          <w:sz w:val="24"/>
          <w:szCs w:val="24"/>
        </w:rPr>
        <w:t>повышение качества оказания государственных и муниципальных услуг в электронной форме с использованием механизмов единого платежного шлюза, межведомственного электронного взаимодействия;</w:t>
      </w:r>
    </w:p>
    <w:p w:rsidR="007E27CB" w:rsidRDefault="008F141F">
      <w:pPr>
        <w:pStyle w:val="a6"/>
        <w:numPr>
          <w:ilvl w:val="0"/>
          <w:numId w:val="70"/>
        </w:numPr>
        <w:tabs>
          <w:tab w:val="left" w:pos="284"/>
          <w:tab w:val="left" w:pos="4962"/>
        </w:tabs>
        <w:spacing w:after="0" w:line="240" w:lineRule="auto"/>
        <w:ind w:left="0" w:firstLine="0"/>
        <w:jc w:val="both"/>
        <w:rPr>
          <w:rFonts w:ascii="Times New Roman" w:eastAsia="Times New Roman" w:hAnsi="Times New Roman"/>
          <w:sz w:val="24"/>
          <w:szCs w:val="24"/>
        </w:rPr>
      </w:pPr>
      <w:r>
        <w:rPr>
          <w:rFonts w:ascii="Times New Roman" w:eastAsia="Times New Roman" w:hAnsi="Times New Roman"/>
          <w:sz w:val="24"/>
          <w:szCs w:val="24"/>
        </w:rPr>
        <w:t>обеспечение возможности гражданам подачи в электронной форме жалоб на нарушение порядка предоставления государственных услуг, выразившееся в неправомерных решениях и действиях (бездействии) должностных лиц органов исполнительной власти.</w:t>
      </w:r>
    </w:p>
    <w:p w:rsidR="007E27CB" w:rsidRDefault="008F141F">
      <w:pPr>
        <w:tabs>
          <w:tab w:val="left" w:pos="4962"/>
        </w:tabs>
        <w:spacing w:after="0" w:line="240" w:lineRule="auto"/>
        <w:jc w:val="both"/>
        <w:rPr>
          <w:rFonts w:eastAsia="Times New Roman"/>
          <w:sz w:val="24"/>
          <w:szCs w:val="24"/>
        </w:rPr>
      </w:pPr>
      <w:r>
        <w:rPr>
          <w:rFonts w:eastAsia="Times New Roman"/>
          <w:sz w:val="24"/>
          <w:szCs w:val="24"/>
        </w:rPr>
        <w:t>3.  Реализация комплекса мер, направленных на обеспечение эффективного управления с использованием информационных и телекоммуникационных технологий, внедрение проектов «Открытый регион», «Открытый муниципалитет», «Открытые данные»:</w:t>
      </w:r>
    </w:p>
    <w:p w:rsidR="007E27CB" w:rsidRDefault="008F141F">
      <w:pPr>
        <w:pStyle w:val="a6"/>
        <w:numPr>
          <w:ilvl w:val="0"/>
          <w:numId w:val="71"/>
        </w:numPr>
        <w:tabs>
          <w:tab w:val="left" w:pos="284"/>
        </w:tabs>
        <w:spacing w:after="0" w:line="240" w:lineRule="auto"/>
        <w:ind w:left="0" w:firstLine="0"/>
        <w:jc w:val="both"/>
        <w:rPr>
          <w:rFonts w:ascii="Times New Roman" w:eastAsia="Times New Roman" w:hAnsi="Times New Roman"/>
          <w:sz w:val="24"/>
          <w:szCs w:val="24"/>
        </w:rPr>
      </w:pPr>
      <w:r>
        <w:rPr>
          <w:rFonts w:ascii="Times New Roman" w:eastAsia="Times New Roman" w:hAnsi="Times New Roman"/>
          <w:sz w:val="24"/>
          <w:szCs w:val="24"/>
        </w:rPr>
        <w:t>обеспечение функционирования и развития Ситуационного центра Губернатора Томской области, в том числе нормативно-правовое обеспечение деятельности Ситуационного центра, интеграция с федеральными и региональными информационными системами, создание и курирование подразделения обеспечения деятельности Ситуационного центра;</w:t>
      </w:r>
    </w:p>
    <w:p w:rsidR="007E27CB" w:rsidRDefault="008F141F">
      <w:pPr>
        <w:pStyle w:val="a6"/>
        <w:numPr>
          <w:ilvl w:val="0"/>
          <w:numId w:val="71"/>
        </w:numPr>
        <w:tabs>
          <w:tab w:val="left" w:pos="284"/>
        </w:tabs>
        <w:spacing w:after="0" w:line="240" w:lineRule="auto"/>
        <w:ind w:left="0" w:firstLine="0"/>
        <w:jc w:val="both"/>
        <w:rPr>
          <w:rFonts w:ascii="Times New Roman" w:eastAsia="Times New Roman" w:hAnsi="Times New Roman"/>
          <w:sz w:val="24"/>
          <w:szCs w:val="24"/>
        </w:rPr>
      </w:pPr>
      <w:r>
        <w:rPr>
          <w:rFonts w:ascii="Times New Roman" w:eastAsia="Times New Roman" w:hAnsi="Times New Roman"/>
          <w:sz w:val="24"/>
          <w:szCs w:val="24"/>
        </w:rPr>
        <w:t>обеспечение функционирования и развития в регионе сети центров общественного доступа граждан к социально значимой информации в информационно-телекоммуникационной сети «Интернет»;</w:t>
      </w:r>
    </w:p>
    <w:p w:rsidR="007E27CB" w:rsidRDefault="008F141F">
      <w:pPr>
        <w:pStyle w:val="a6"/>
        <w:numPr>
          <w:ilvl w:val="0"/>
          <w:numId w:val="71"/>
        </w:numPr>
        <w:tabs>
          <w:tab w:val="left" w:pos="284"/>
        </w:tabs>
        <w:spacing w:after="0" w:line="240" w:lineRule="auto"/>
        <w:ind w:left="0" w:firstLine="0"/>
        <w:jc w:val="both"/>
        <w:rPr>
          <w:rFonts w:ascii="Times New Roman" w:eastAsia="Times New Roman" w:hAnsi="Times New Roman"/>
          <w:sz w:val="24"/>
          <w:szCs w:val="24"/>
        </w:rPr>
      </w:pPr>
      <w:r>
        <w:rPr>
          <w:rFonts w:ascii="Times New Roman" w:eastAsia="Times New Roman" w:hAnsi="Times New Roman"/>
          <w:sz w:val="24"/>
          <w:szCs w:val="24"/>
        </w:rPr>
        <w:t>обеспечение возможности повышения уровня цифровой, компьютерной и правовой грамотности населения, а также в области информационной безопасности.</w:t>
      </w:r>
    </w:p>
    <w:p w:rsidR="007E27CB" w:rsidRDefault="008F141F">
      <w:pPr>
        <w:tabs>
          <w:tab w:val="left" w:pos="4962"/>
        </w:tabs>
        <w:spacing w:after="0" w:line="240" w:lineRule="auto"/>
        <w:jc w:val="both"/>
        <w:rPr>
          <w:rFonts w:eastAsia="Times New Roman"/>
          <w:b/>
          <w:sz w:val="24"/>
          <w:szCs w:val="24"/>
        </w:rPr>
      </w:pPr>
      <w:r>
        <w:rPr>
          <w:rFonts w:eastAsia="Times New Roman"/>
          <w:b/>
          <w:sz w:val="24"/>
          <w:szCs w:val="24"/>
        </w:rPr>
        <w:t>5.2. Обеспечение эффективного управления региональными финансами и совершенствования межбюджетных отношений, в том числе повышение эффективности управления государственными закупками</w:t>
      </w:r>
    </w:p>
    <w:p w:rsidR="007E27CB" w:rsidRDefault="007E27CB">
      <w:pPr>
        <w:tabs>
          <w:tab w:val="left" w:pos="4962"/>
        </w:tabs>
        <w:autoSpaceDE w:val="0"/>
        <w:autoSpaceDN w:val="0"/>
        <w:adjustRightInd w:val="0"/>
        <w:spacing w:after="0" w:line="240" w:lineRule="auto"/>
        <w:jc w:val="both"/>
        <w:rPr>
          <w:b/>
          <w:color w:val="FF0000"/>
          <w:sz w:val="24"/>
          <w:szCs w:val="24"/>
        </w:rPr>
      </w:pPr>
    </w:p>
    <w:p w:rsidR="007E27CB" w:rsidRDefault="008F141F">
      <w:pPr>
        <w:spacing w:after="0" w:line="240" w:lineRule="auto"/>
        <w:ind w:firstLine="567"/>
        <w:jc w:val="both"/>
        <w:rPr>
          <w:b/>
          <w:sz w:val="24"/>
          <w:szCs w:val="24"/>
        </w:rPr>
      </w:pPr>
      <w:r>
        <w:rPr>
          <w:b/>
          <w:sz w:val="24"/>
          <w:szCs w:val="24"/>
        </w:rPr>
        <w:t>БЮДЖЕТНАЯ И НАЛОГОВАЯ ПОЛИТИКА</w:t>
      </w:r>
    </w:p>
    <w:p w:rsidR="007E27CB" w:rsidRDefault="007E27CB">
      <w:pPr>
        <w:pStyle w:val="a6"/>
        <w:tabs>
          <w:tab w:val="left" w:pos="4962"/>
        </w:tabs>
        <w:spacing w:after="0" w:line="240" w:lineRule="auto"/>
        <w:ind w:left="0" w:firstLine="567"/>
        <w:jc w:val="both"/>
        <w:rPr>
          <w:rFonts w:ascii="Times New Roman" w:hAnsi="Times New Roman"/>
          <w:b/>
          <w:sz w:val="24"/>
          <w:szCs w:val="24"/>
        </w:rPr>
      </w:pPr>
    </w:p>
    <w:p w:rsidR="007E27CB" w:rsidRDefault="008F141F">
      <w:pPr>
        <w:spacing w:after="0" w:line="240" w:lineRule="auto"/>
        <w:ind w:firstLine="567"/>
        <w:jc w:val="both"/>
        <w:outlineLvl w:val="1"/>
        <w:rPr>
          <w:rFonts w:eastAsia="Times New Roman"/>
          <w:sz w:val="24"/>
          <w:szCs w:val="24"/>
          <w:lang w:eastAsia="ru-RU"/>
        </w:rPr>
      </w:pPr>
      <w:r>
        <w:rPr>
          <w:rFonts w:eastAsia="Times New Roman"/>
          <w:sz w:val="24"/>
          <w:szCs w:val="24"/>
          <w:lang w:eastAsia="ru-RU"/>
        </w:rPr>
        <w:t xml:space="preserve">В 2019 году доходы консолидированного бюджета Томской области составили </w:t>
      </w:r>
      <w:r>
        <w:rPr>
          <w:rFonts w:eastAsia="Times New Roman"/>
          <w:sz w:val="24"/>
          <w:szCs w:val="24"/>
          <w:lang w:eastAsia="ru-RU"/>
        </w:rPr>
        <w:br/>
        <w:t xml:space="preserve">79,9 млрд. рублей, что на 5,7 млрд. рублей или на 7,7% выше поступлений 2018 года. </w:t>
      </w:r>
      <w:r>
        <w:rPr>
          <w:sz w:val="24"/>
          <w:szCs w:val="24"/>
          <w:lang w:eastAsia="ru-RU"/>
        </w:rPr>
        <w:t>Рост обеспечен в основном увеличением межбюджетных трансфертов</w:t>
      </w:r>
      <w:r>
        <w:rPr>
          <w:rFonts w:eastAsia="Times New Roman"/>
          <w:sz w:val="24"/>
          <w:szCs w:val="24"/>
          <w:lang w:eastAsia="ru-RU"/>
        </w:rPr>
        <w:t>.</w:t>
      </w:r>
    </w:p>
    <w:p w:rsidR="007E27CB" w:rsidRDefault="008F141F">
      <w:pPr>
        <w:spacing w:after="0" w:line="240" w:lineRule="auto"/>
        <w:ind w:firstLine="567"/>
        <w:jc w:val="both"/>
        <w:outlineLvl w:val="1"/>
        <w:rPr>
          <w:rFonts w:eastAsia="Times New Roman"/>
          <w:sz w:val="24"/>
          <w:szCs w:val="24"/>
          <w:lang w:eastAsia="ru-RU"/>
        </w:rPr>
      </w:pPr>
      <w:r>
        <w:rPr>
          <w:rFonts w:eastAsia="Times New Roman"/>
          <w:sz w:val="24"/>
          <w:szCs w:val="24"/>
          <w:lang w:eastAsia="ru-RU"/>
        </w:rPr>
        <w:t xml:space="preserve">Размер расходов за 2019 год составил 83,4 млрд. рублей с темпом роста к прошлому году </w:t>
      </w:r>
      <w:r>
        <w:rPr>
          <w:sz w:val="24"/>
          <w:szCs w:val="24"/>
        </w:rPr>
        <w:t>–</w:t>
      </w:r>
      <w:r>
        <w:rPr>
          <w:rFonts w:eastAsia="Times New Roman"/>
          <w:sz w:val="24"/>
          <w:szCs w:val="24"/>
          <w:lang w:eastAsia="ru-RU"/>
        </w:rPr>
        <w:t xml:space="preserve"> 111,7%. </w:t>
      </w:r>
    </w:p>
    <w:p w:rsidR="007E27CB" w:rsidRDefault="008F141F">
      <w:pPr>
        <w:spacing w:after="0" w:line="240" w:lineRule="auto"/>
        <w:ind w:firstLine="567"/>
        <w:jc w:val="both"/>
        <w:rPr>
          <w:sz w:val="24"/>
          <w:szCs w:val="24"/>
        </w:rPr>
      </w:pPr>
      <w:r>
        <w:rPr>
          <w:sz w:val="24"/>
          <w:szCs w:val="24"/>
        </w:rPr>
        <w:t>Консолидированный бюджет в 2019 году исполнен с дефицитом в сумме 3,5 млрд. рублей при плановом дефиците 5,2 млрд. рублей. Все значимые для региона обязательства, в первую очередь социального характера, выполнены. Просроченная кредиторская задолженность по средствам областного бюджета отсутствует.</w:t>
      </w:r>
    </w:p>
    <w:p w:rsidR="007E27CB" w:rsidRDefault="007E27CB">
      <w:pPr>
        <w:spacing w:after="0" w:line="240" w:lineRule="auto"/>
        <w:ind w:firstLine="709"/>
        <w:jc w:val="both"/>
        <w:outlineLvl w:val="1"/>
        <w:rPr>
          <w:color w:val="FF0000"/>
          <w:sz w:val="24"/>
          <w:szCs w:val="24"/>
        </w:rPr>
      </w:pPr>
    </w:p>
    <w:p w:rsidR="007E27CB" w:rsidRDefault="008F141F">
      <w:pPr>
        <w:pStyle w:val="a6"/>
        <w:spacing w:after="0" w:line="240" w:lineRule="auto"/>
        <w:ind w:left="0"/>
        <w:jc w:val="right"/>
        <w:rPr>
          <w:rFonts w:ascii="Times New Roman" w:hAnsi="Times New Roman"/>
          <w:b/>
          <w:sz w:val="24"/>
          <w:szCs w:val="24"/>
        </w:rPr>
      </w:pPr>
      <w:r>
        <w:rPr>
          <w:rFonts w:ascii="Times New Roman" w:hAnsi="Times New Roman"/>
          <w:bCs/>
          <w:sz w:val="24"/>
          <w:szCs w:val="24"/>
        </w:rPr>
        <w:t xml:space="preserve"> (в млрд. рублей)</w:t>
      </w:r>
    </w:p>
    <w:tbl>
      <w:tblPr>
        <w:tblW w:w="9658" w:type="dxa"/>
        <w:jc w:val="center"/>
        <w:tblLayout w:type="fixed"/>
        <w:tblLook w:val="04A0" w:firstRow="1" w:lastRow="0" w:firstColumn="1" w:lastColumn="0" w:noHBand="0" w:noVBand="1"/>
      </w:tblPr>
      <w:tblGrid>
        <w:gridCol w:w="463"/>
        <w:gridCol w:w="1860"/>
        <w:gridCol w:w="1231"/>
        <w:gridCol w:w="1232"/>
        <w:gridCol w:w="796"/>
        <w:gridCol w:w="712"/>
        <w:gridCol w:w="1278"/>
        <w:gridCol w:w="1347"/>
        <w:gridCol w:w="739"/>
      </w:tblGrid>
      <w:tr w:rsidR="007E27CB">
        <w:trPr>
          <w:trHeight w:val="1156"/>
          <w:jc w:val="center"/>
        </w:trPr>
        <w:tc>
          <w:tcPr>
            <w:tcW w:w="463" w:type="dxa"/>
            <w:tcBorders>
              <w:top w:val="single" w:sz="4" w:space="0" w:color="auto"/>
              <w:left w:val="single" w:sz="4" w:space="0" w:color="auto"/>
              <w:bottom w:val="single" w:sz="4" w:space="0" w:color="auto"/>
              <w:right w:val="single" w:sz="4" w:space="0" w:color="auto"/>
            </w:tcBorders>
            <w:hideMark/>
          </w:tcPr>
          <w:p w:rsidR="007E27CB" w:rsidRDefault="008F141F">
            <w:pPr>
              <w:spacing w:after="0" w:line="240" w:lineRule="auto"/>
              <w:jc w:val="center"/>
              <w:rPr>
                <w:color w:val="000000"/>
                <w:sz w:val="22"/>
                <w:szCs w:val="22"/>
              </w:rPr>
            </w:pPr>
            <w:r>
              <w:rPr>
                <w:color w:val="000000"/>
                <w:sz w:val="22"/>
                <w:szCs w:val="22"/>
              </w:rPr>
              <w:t> </w:t>
            </w:r>
          </w:p>
          <w:p w:rsidR="007E27CB" w:rsidRDefault="008F141F">
            <w:pPr>
              <w:spacing w:after="0" w:line="240" w:lineRule="auto"/>
              <w:rPr>
                <w:sz w:val="22"/>
                <w:szCs w:val="22"/>
              </w:rPr>
            </w:pPr>
            <w:r>
              <w:rPr>
                <w:sz w:val="22"/>
                <w:szCs w:val="22"/>
              </w:rPr>
              <w:t> </w:t>
            </w:r>
          </w:p>
          <w:p w:rsidR="007E27CB" w:rsidRDefault="008F141F">
            <w:pPr>
              <w:spacing w:after="0" w:line="240" w:lineRule="auto"/>
              <w:jc w:val="center"/>
              <w:rPr>
                <w:color w:val="000000"/>
                <w:sz w:val="22"/>
                <w:szCs w:val="22"/>
              </w:rPr>
            </w:pPr>
            <w:r>
              <w:rPr>
                <w:sz w:val="22"/>
                <w:szCs w:val="22"/>
              </w:rPr>
              <w:t>№ п/п</w:t>
            </w:r>
          </w:p>
        </w:tc>
        <w:tc>
          <w:tcPr>
            <w:tcW w:w="1860" w:type="dxa"/>
            <w:tcBorders>
              <w:top w:val="single" w:sz="4" w:space="0" w:color="auto"/>
              <w:left w:val="single" w:sz="4" w:space="0" w:color="auto"/>
              <w:bottom w:val="single" w:sz="4" w:space="0" w:color="auto"/>
              <w:right w:val="single" w:sz="4" w:space="0" w:color="auto"/>
            </w:tcBorders>
            <w:vAlign w:val="center"/>
            <w:hideMark/>
          </w:tcPr>
          <w:p w:rsidR="007E27CB" w:rsidRDefault="008F141F">
            <w:pPr>
              <w:spacing w:after="0" w:line="240" w:lineRule="auto"/>
              <w:jc w:val="center"/>
              <w:rPr>
                <w:color w:val="000000"/>
                <w:sz w:val="22"/>
                <w:szCs w:val="22"/>
              </w:rPr>
            </w:pPr>
            <w:r>
              <w:rPr>
                <w:color w:val="000000"/>
                <w:sz w:val="22"/>
                <w:szCs w:val="22"/>
              </w:rPr>
              <w:t xml:space="preserve">Наименование показателя </w:t>
            </w:r>
          </w:p>
        </w:tc>
        <w:tc>
          <w:tcPr>
            <w:tcW w:w="1231" w:type="dxa"/>
            <w:tcBorders>
              <w:top w:val="single" w:sz="4" w:space="0" w:color="auto"/>
              <w:left w:val="single" w:sz="4" w:space="0" w:color="auto"/>
              <w:bottom w:val="single" w:sz="4" w:space="0" w:color="auto"/>
              <w:right w:val="single" w:sz="4" w:space="0" w:color="auto"/>
            </w:tcBorders>
            <w:vAlign w:val="center"/>
            <w:hideMark/>
          </w:tcPr>
          <w:p w:rsidR="007E27CB" w:rsidRDefault="008F141F">
            <w:pPr>
              <w:spacing w:after="0" w:line="240" w:lineRule="auto"/>
              <w:jc w:val="center"/>
              <w:rPr>
                <w:color w:val="000000"/>
                <w:sz w:val="22"/>
                <w:szCs w:val="22"/>
              </w:rPr>
            </w:pPr>
            <w:r>
              <w:rPr>
                <w:color w:val="000000"/>
                <w:sz w:val="22"/>
                <w:szCs w:val="22"/>
              </w:rPr>
              <w:t>Исполне-</w:t>
            </w:r>
          </w:p>
          <w:p w:rsidR="007E27CB" w:rsidRDefault="008F141F">
            <w:pPr>
              <w:spacing w:after="0" w:line="240" w:lineRule="auto"/>
              <w:jc w:val="center"/>
              <w:rPr>
                <w:color w:val="000000"/>
                <w:sz w:val="22"/>
                <w:szCs w:val="22"/>
              </w:rPr>
            </w:pPr>
            <w:r>
              <w:rPr>
                <w:color w:val="000000"/>
                <w:sz w:val="22"/>
                <w:szCs w:val="22"/>
              </w:rPr>
              <w:t>но за 2017 год</w:t>
            </w:r>
          </w:p>
        </w:tc>
        <w:tc>
          <w:tcPr>
            <w:tcW w:w="1232" w:type="dxa"/>
            <w:tcBorders>
              <w:top w:val="single" w:sz="4" w:space="0" w:color="auto"/>
              <w:left w:val="single" w:sz="4" w:space="0" w:color="auto"/>
              <w:bottom w:val="single" w:sz="4" w:space="0" w:color="auto"/>
              <w:right w:val="single" w:sz="4" w:space="0" w:color="auto"/>
            </w:tcBorders>
            <w:vAlign w:val="center"/>
            <w:hideMark/>
          </w:tcPr>
          <w:p w:rsidR="007E27CB" w:rsidRDefault="008F141F">
            <w:pPr>
              <w:spacing w:after="0" w:line="240" w:lineRule="auto"/>
              <w:jc w:val="center"/>
              <w:rPr>
                <w:color w:val="000000"/>
                <w:sz w:val="22"/>
                <w:szCs w:val="22"/>
              </w:rPr>
            </w:pPr>
            <w:r>
              <w:rPr>
                <w:color w:val="000000"/>
                <w:sz w:val="22"/>
                <w:szCs w:val="22"/>
              </w:rPr>
              <w:t>Исполне-но за 2018 год</w:t>
            </w:r>
          </w:p>
        </w:tc>
        <w:tc>
          <w:tcPr>
            <w:tcW w:w="796" w:type="dxa"/>
            <w:tcBorders>
              <w:top w:val="single" w:sz="4" w:space="0" w:color="auto"/>
              <w:left w:val="single" w:sz="4" w:space="0" w:color="auto"/>
              <w:bottom w:val="single" w:sz="4" w:space="0" w:color="auto"/>
              <w:right w:val="single" w:sz="4" w:space="0" w:color="auto"/>
            </w:tcBorders>
            <w:vAlign w:val="center"/>
            <w:hideMark/>
          </w:tcPr>
          <w:p w:rsidR="007E27CB" w:rsidRDefault="008F141F">
            <w:pPr>
              <w:spacing w:after="0" w:line="240" w:lineRule="auto"/>
              <w:jc w:val="center"/>
              <w:rPr>
                <w:color w:val="000000"/>
                <w:sz w:val="22"/>
                <w:szCs w:val="22"/>
              </w:rPr>
            </w:pPr>
            <w:r>
              <w:rPr>
                <w:color w:val="000000"/>
                <w:sz w:val="22"/>
                <w:szCs w:val="22"/>
              </w:rPr>
              <w:t>Темп роста, %</w:t>
            </w:r>
          </w:p>
        </w:tc>
        <w:tc>
          <w:tcPr>
            <w:tcW w:w="712" w:type="dxa"/>
            <w:tcBorders>
              <w:top w:val="single" w:sz="4" w:space="0" w:color="auto"/>
              <w:left w:val="single" w:sz="4" w:space="0" w:color="auto"/>
              <w:bottom w:val="single" w:sz="4" w:space="0" w:color="auto"/>
              <w:right w:val="single" w:sz="4" w:space="0" w:color="auto"/>
            </w:tcBorders>
            <w:vAlign w:val="center"/>
            <w:hideMark/>
          </w:tcPr>
          <w:p w:rsidR="007E27CB" w:rsidRDefault="008F141F">
            <w:pPr>
              <w:spacing w:after="0" w:line="240" w:lineRule="auto"/>
              <w:jc w:val="center"/>
              <w:rPr>
                <w:color w:val="000000"/>
                <w:sz w:val="22"/>
                <w:szCs w:val="22"/>
              </w:rPr>
            </w:pPr>
            <w:r>
              <w:rPr>
                <w:color w:val="000000"/>
                <w:sz w:val="22"/>
                <w:szCs w:val="22"/>
              </w:rPr>
              <w:t>План на 2019 год</w:t>
            </w:r>
          </w:p>
        </w:tc>
        <w:tc>
          <w:tcPr>
            <w:tcW w:w="1278" w:type="dxa"/>
            <w:tcBorders>
              <w:top w:val="single" w:sz="4" w:space="0" w:color="auto"/>
              <w:left w:val="single" w:sz="4" w:space="0" w:color="auto"/>
              <w:bottom w:val="single" w:sz="4" w:space="0" w:color="auto"/>
              <w:right w:val="single" w:sz="4" w:space="0" w:color="auto"/>
            </w:tcBorders>
            <w:vAlign w:val="center"/>
            <w:hideMark/>
          </w:tcPr>
          <w:p w:rsidR="007E27CB" w:rsidRDefault="008F141F">
            <w:pPr>
              <w:spacing w:after="0" w:line="240" w:lineRule="auto"/>
              <w:jc w:val="center"/>
              <w:rPr>
                <w:color w:val="000000"/>
                <w:sz w:val="22"/>
                <w:szCs w:val="22"/>
              </w:rPr>
            </w:pPr>
            <w:r>
              <w:rPr>
                <w:color w:val="000000"/>
                <w:sz w:val="22"/>
                <w:szCs w:val="22"/>
              </w:rPr>
              <w:t xml:space="preserve">Исполнено за 2019 год </w:t>
            </w:r>
          </w:p>
        </w:tc>
        <w:tc>
          <w:tcPr>
            <w:tcW w:w="1347" w:type="dxa"/>
            <w:tcBorders>
              <w:top w:val="single" w:sz="4" w:space="0" w:color="auto"/>
              <w:left w:val="single" w:sz="4" w:space="0" w:color="auto"/>
              <w:bottom w:val="single" w:sz="4" w:space="0" w:color="auto"/>
              <w:right w:val="single" w:sz="4" w:space="0" w:color="auto"/>
            </w:tcBorders>
            <w:vAlign w:val="center"/>
            <w:hideMark/>
          </w:tcPr>
          <w:p w:rsidR="007E27CB" w:rsidRDefault="008F141F">
            <w:pPr>
              <w:spacing w:after="0" w:line="240" w:lineRule="auto"/>
              <w:jc w:val="center"/>
              <w:rPr>
                <w:color w:val="000000"/>
                <w:sz w:val="22"/>
                <w:szCs w:val="22"/>
              </w:rPr>
            </w:pPr>
            <w:r>
              <w:rPr>
                <w:color w:val="000000"/>
                <w:sz w:val="22"/>
                <w:szCs w:val="22"/>
              </w:rPr>
              <w:t>% исполнения плана на 2019 год</w:t>
            </w:r>
          </w:p>
        </w:tc>
        <w:tc>
          <w:tcPr>
            <w:tcW w:w="739" w:type="dxa"/>
            <w:tcBorders>
              <w:top w:val="single" w:sz="4" w:space="0" w:color="auto"/>
              <w:left w:val="single" w:sz="4" w:space="0" w:color="auto"/>
              <w:bottom w:val="single" w:sz="4" w:space="0" w:color="auto"/>
              <w:right w:val="single" w:sz="4" w:space="0" w:color="auto"/>
            </w:tcBorders>
            <w:vAlign w:val="center"/>
            <w:hideMark/>
          </w:tcPr>
          <w:p w:rsidR="007E27CB" w:rsidRDefault="008F141F">
            <w:pPr>
              <w:spacing w:after="0" w:line="240" w:lineRule="auto"/>
              <w:jc w:val="center"/>
              <w:rPr>
                <w:color w:val="000000"/>
                <w:sz w:val="22"/>
                <w:szCs w:val="22"/>
              </w:rPr>
            </w:pPr>
            <w:r>
              <w:rPr>
                <w:color w:val="000000"/>
                <w:sz w:val="22"/>
                <w:szCs w:val="22"/>
              </w:rPr>
              <w:t>Темп роста к 2018 году, %</w:t>
            </w:r>
          </w:p>
        </w:tc>
      </w:tr>
      <w:tr w:rsidR="007E27CB">
        <w:trPr>
          <w:trHeight w:val="288"/>
          <w:jc w:val="center"/>
        </w:trPr>
        <w:tc>
          <w:tcPr>
            <w:tcW w:w="463" w:type="dxa"/>
            <w:tcBorders>
              <w:top w:val="single" w:sz="4" w:space="0" w:color="auto"/>
              <w:left w:val="single" w:sz="4" w:space="0" w:color="auto"/>
              <w:bottom w:val="single" w:sz="4" w:space="0" w:color="auto"/>
              <w:right w:val="single" w:sz="4" w:space="0" w:color="auto"/>
            </w:tcBorders>
            <w:hideMark/>
          </w:tcPr>
          <w:p w:rsidR="007E27CB" w:rsidRDefault="008F141F">
            <w:pPr>
              <w:spacing w:after="0" w:line="240" w:lineRule="auto"/>
              <w:jc w:val="center"/>
              <w:rPr>
                <w:bCs/>
                <w:color w:val="000000"/>
                <w:sz w:val="22"/>
                <w:szCs w:val="22"/>
              </w:rPr>
            </w:pPr>
            <w:r>
              <w:rPr>
                <w:bCs/>
                <w:color w:val="000000"/>
                <w:sz w:val="22"/>
                <w:szCs w:val="22"/>
              </w:rPr>
              <w:t>1.</w:t>
            </w:r>
          </w:p>
        </w:tc>
        <w:tc>
          <w:tcPr>
            <w:tcW w:w="1860" w:type="dxa"/>
            <w:tcBorders>
              <w:top w:val="single" w:sz="4" w:space="0" w:color="auto"/>
              <w:left w:val="single" w:sz="4" w:space="0" w:color="auto"/>
              <w:bottom w:val="single" w:sz="4" w:space="0" w:color="auto"/>
              <w:right w:val="single" w:sz="4" w:space="0" w:color="auto"/>
            </w:tcBorders>
            <w:vAlign w:val="bottom"/>
            <w:hideMark/>
          </w:tcPr>
          <w:p w:rsidR="007E27CB" w:rsidRDefault="008F141F">
            <w:pPr>
              <w:spacing w:after="0" w:line="240" w:lineRule="auto"/>
              <w:rPr>
                <w:b/>
                <w:bCs/>
                <w:color w:val="000000"/>
                <w:sz w:val="22"/>
                <w:szCs w:val="22"/>
              </w:rPr>
            </w:pPr>
            <w:r>
              <w:rPr>
                <w:b/>
                <w:bCs/>
                <w:color w:val="000000"/>
                <w:sz w:val="22"/>
                <w:szCs w:val="22"/>
              </w:rPr>
              <w:t xml:space="preserve">Доходы </w:t>
            </w:r>
            <w:r>
              <w:rPr>
                <w:sz w:val="24"/>
                <w:szCs w:val="24"/>
              </w:rPr>
              <w:t>–</w:t>
            </w:r>
            <w:r>
              <w:rPr>
                <w:b/>
                <w:bCs/>
                <w:color w:val="000000"/>
                <w:sz w:val="22"/>
                <w:szCs w:val="22"/>
              </w:rPr>
              <w:t xml:space="preserve"> всего, в т.ч.</w:t>
            </w:r>
          </w:p>
        </w:tc>
        <w:tc>
          <w:tcPr>
            <w:tcW w:w="1231" w:type="dxa"/>
            <w:tcBorders>
              <w:top w:val="single" w:sz="4" w:space="0" w:color="auto"/>
              <w:left w:val="single" w:sz="4" w:space="0" w:color="auto"/>
              <w:bottom w:val="single" w:sz="4" w:space="0" w:color="auto"/>
              <w:right w:val="single" w:sz="4" w:space="0" w:color="auto"/>
            </w:tcBorders>
            <w:vAlign w:val="bottom"/>
            <w:hideMark/>
          </w:tcPr>
          <w:p w:rsidR="007E27CB" w:rsidRDefault="008F141F">
            <w:pPr>
              <w:spacing w:after="0" w:line="240" w:lineRule="auto"/>
              <w:jc w:val="center"/>
              <w:rPr>
                <w:b/>
                <w:bCs/>
                <w:color w:val="000000"/>
                <w:sz w:val="22"/>
                <w:szCs w:val="22"/>
              </w:rPr>
            </w:pPr>
            <w:r>
              <w:rPr>
                <w:b/>
                <w:bCs/>
                <w:color w:val="000000"/>
                <w:sz w:val="22"/>
                <w:szCs w:val="22"/>
              </w:rPr>
              <w:t>65,1</w:t>
            </w:r>
          </w:p>
        </w:tc>
        <w:tc>
          <w:tcPr>
            <w:tcW w:w="1232" w:type="dxa"/>
            <w:tcBorders>
              <w:top w:val="single" w:sz="4" w:space="0" w:color="auto"/>
              <w:left w:val="single" w:sz="4" w:space="0" w:color="auto"/>
              <w:bottom w:val="single" w:sz="4" w:space="0" w:color="auto"/>
              <w:right w:val="single" w:sz="4" w:space="0" w:color="auto"/>
            </w:tcBorders>
            <w:vAlign w:val="bottom"/>
            <w:hideMark/>
          </w:tcPr>
          <w:p w:rsidR="007E27CB" w:rsidRDefault="008F141F">
            <w:pPr>
              <w:spacing w:after="0" w:line="240" w:lineRule="auto"/>
              <w:jc w:val="center"/>
              <w:rPr>
                <w:b/>
                <w:bCs/>
                <w:color w:val="000000"/>
                <w:sz w:val="22"/>
                <w:szCs w:val="22"/>
              </w:rPr>
            </w:pPr>
            <w:r>
              <w:rPr>
                <w:b/>
                <w:bCs/>
                <w:color w:val="000000"/>
                <w:sz w:val="22"/>
                <w:szCs w:val="22"/>
              </w:rPr>
              <w:t>74,2</w:t>
            </w:r>
          </w:p>
        </w:tc>
        <w:tc>
          <w:tcPr>
            <w:tcW w:w="796" w:type="dxa"/>
            <w:tcBorders>
              <w:top w:val="single" w:sz="4" w:space="0" w:color="auto"/>
              <w:left w:val="single" w:sz="4" w:space="0" w:color="auto"/>
              <w:bottom w:val="single" w:sz="4" w:space="0" w:color="auto"/>
              <w:right w:val="single" w:sz="4" w:space="0" w:color="auto"/>
            </w:tcBorders>
            <w:vAlign w:val="bottom"/>
            <w:hideMark/>
          </w:tcPr>
          <w:p w:rsidR="007E27CB" w:rsidRDefault="008F141F">
            <w:pPr>
              <w:spacing w:after="0" w:line="240" w:lineRule="auto"/>
              <w:jc w:val="center"/>
              <w:rPr>
                <w:b/>
                <w:bCs/>
                <w:color w:val="000000"/>
                <w:sz w:val="22"/>
                <w:szCs w:val="22"/>
              </w:rPr>
            </w:pPr>
            <w:r>
              <w:rPr>
                <w:b/>
                <w:bCs/>
                <w:color w:val="000000"/>
                <w:sz w:val="22"/>
                <w:szCs w:val="22"/>
              </w:rPr>
              <w:t xml:space="preserve">114,0 </w:t>
            </w:r>
          </w:p>
        </w:tc>
        <w:tc>
          <w:tcPr>
            <w:tcW w:w="712" w:type="dxa"/>
            <w:tcBorders>
              <w:top w:val="single" w:sz="4" w:space="0" w:color="auto"/>
              <w:left w:val="single" w:sz="4" w:space="0" w:color="auto"/>
              <w:bottom w:val="single" w:sz="4" w:space="0" w:color="auto"/>
              <w:right w:val="single" w:sz="4" w:space="0" w:color="auto"/>
            </w:tcBorders>
            <w:vAlign w:val="bottom"/>
            <w:hideMark/>
          </w:tcPr>
          <w:p w:rsidR="007E27CB" w:rsidRDefault="008F141F">
            <w:pPr>
              <w:spacing w:after="0" w:line="240" w:lineRule="auto"/>
              <w:jc w:val="center"/>
              <w:rPr>
                <w:b/>
                <w:bCs/>
                <w:color w:val="000000"/>
                <w:sz w:val="22"/>
                <w:szCs w:val="22"/>
              </w:rPr>
            </w:pPr>
            <w:r>
              <w:rPr>
                <w:b/>
                <w:bCs/>
                <w:color w:val="000000"/>
                <w:sz w:val="22"/>
                <w:szCs w:val="22"/>
              </w:rPr>
              <w:t xml:space="preserve">81,6 </w:t>
            </w:r>
          </w:p>
        </w:tc>
        <w:tc>
          <w:tcPr>
            <w:tcW w:w="1278" w:type="dxa"/>
            <w:tcBorders>
              <w:top w:val="single" w:sz="4" w:space="0" w:color="auto"/>
              <w:left w:val="single" w:sz="4" w:space="0" w:color="auto"/>
              <w:bottom w:val="single" w:sz="4" w:space="0" w:color="auto"/>
              <w:right w:val="single" w:sz="4" w:space="0" w:color="auto"/>
            </w:tcBorders>
            <w:vAlign w:val="bottom"/>
            <w:hideMark/>
          </w:tcPr>
          <w:p w:rsidR="007E27CB" w:rsidRDefault="008F141F">
            <w:pPr>
              <w:spacing w:after="0" w:line="240" w:lineRule="auto"/>
              <w:jc w:val="center"/>
              <w:rPr>
                <w:b/>
                <w:bCs/>
                <w:color w:val="000000"/>
                <w:sz w:val="22"/>
                <w:szCs w:val="22"/>
              </w:rPr>
            </w:pPr>
            <w:r>
              <w:rPr>
                <w:b/>
                <w:bCs/>
                <w:color w:val="000000"/>
                <w:sz w:val="22"/>
                <w:szCs w:val="22"/>
              </w:rPr>
              <w:t>79,9</w:t>
            </w:r>
          </w:p>
        </w:tc>
        <w:tc>
          <w:tcPr>
            <w:tcW w:w="1347" w:type="dxa"/>
            <w:tcBorders>
              <w:top w:val="single" w:sz="4" w:space="0" w:color="auto"/>
              <w:left w:val="single" w:sz="4" w:space="0" w:color="auto"/>
              <w:bottom w:val="single" w:sz="4" w:space="0" w:color="auto"/>
              <w:right w:val="single" w:sz="4" w:space="0" w:color="auto"/>
            </w:tcBorders>
            <w:vAlign w:val="bottom"/>
            <w:hideMark/>
          </w:tcPr>
          <w:p w:rsidR="007E27CB" w:rsidRDefault="008F141F">
            <w:pPr>
              <w:spacing w:after="0" w:line="240" w:lineRule="auto"/>
              <w:jc w:val="center"/>
              <w:rPr>
                <w:b/>
                <w:bCs/>
                <w:color w:val="000000"/>
                <w:sz w:val="22"/>
                <w:szCs w:val="22"/>
              </w:rPr>
            </w:pPr>
            <w:r>
              <w:rPr>
                <w:b/>
                <w:bCs/>
                <w:color w:val="000000"/>
                <w:sz w:val="22"/>
                <w:szCs w:val="22"/>
              </w:rPr>
              <w:t>97,9</w:t>
            </w:r>
          </w:p>
        </w:tc>
        <w:tc>
          <w:tcPr>
            <w:tcW w:w="739" w:type="dxa"/>
            <w:tcBorders>
              <w:top w:val="single" w:sz="4" w:space="0" w:color="auto"/>
              <w:left w:val="single" w:sz="4" w:space="0" w:color="auto"/>
              <w:bottom w:val="single" w:sz="4" w:space="0" w:color="auto"/>
              <w:right w:val="single" w:sz="4" w:space="0" w:color="auto"/>
            </w:tcBorders>
            <w:vAlign w:val="bottom"/>
            <w:hideMark/>
          </w:tcPr>
          <w:p w:rsidR="007E27CB" w:rsidRDefault="008F141F">
            <w:pPr>
              <w:spacing w:after="0" w:line="240" w:lineRule="auto"/>
              <w:jc w:val="center"/>
              <w:rPr>
                <w:b/>
                <w:bCs/>
                <w:color w:val="000000"/>
                <w:sz w:val="22"/>
                <w:szCs w:val="22"/>
              </w:rPr>
            </w:pPr>
            <w:r>
              <w:rPr>
                <w:b/>
                <w:bCs/>
                <w:color w:val="000000"/>
                <w:sz w:val="22"/>
                <w:szCs w:val="22"/>
              </w:rPr>
              <w:t>107,7</w:t>
            </w:r>
          </w:p>
        </w:tc>
      </w:tr>
      <w:tr w:rsidR="007E27CB">
        <w:trPr>
          <w:trHeight w:val="288"/>
          <w:jc w:val="center"/>
        </w:trPr>
        <w:tc>
          <w:tcPr>
            <w:tcW w:w="463" w:type="dxa"/>
            <w:tcBorders>
              <w:top w:val="single" w:sz="4" w:space="0" w:color="auto"/>
              <w:left w:val="single" w:sz="4" w:space="0" w:color="auto"/>
              <w:bottom w:val="single" w:sz="4" w:space="0" w:color="auto"/>
              <w:right w:val="single" w:sz="4" w:space="0" w:color="auto"/>
            </w:tcBorders>
          </w:tcPr>
          <w:p w:rsidR="007E27CB" w:rsidRDefault="007E27CB">
            <w:pPr>
              <w:spacing w:after="0" w:line="240" w:lineRule="auto"/>
              <w:ind w:firstLineChars="100" w:firstLine="220"/>
              <w:jc w:val="center"/>
              <w:rPr>
                <w:bCs/>
                <w:color w:val="000000"/>
                <w:sz w:val="22"/>
                <w:szCs w:val="22"/>
              </w:rPr>
            </w:pPr>
          </w:p>
        </w:tc>
        <w:tc>
          <w:tcPr>
            <w:tcW w:w="1860" w:type="dxa"/>
            <w:tcBorders>
              <w:top w:val="single" w:sz="4" w:space="0" w:color="auto"/>
              <w:left w:val="single" w:sz="4" w:space="0" w:color="auto"/>
              <w:bottom w:val="single" w:sz="4" w:space="0" w:color="auto"/>
              <w:right w:val="single" w:sz="4" w:space="0" w:color="auto"/>
            </w:tcBorders>
            <w:vAlign w:val="bottom"/>
            <w:hideMark/>
          </w:tcPr>
          <w:p w:rsidR="007E27CB" w:rsidRDefault="008F141F">
            <w:pPr>
              <w:spacing w:after="0" w:line="240" w:lineRule="auto"/>
              <w:rPr>
                <w:color w:val="000000"/>
                <w:sz w:val="22"/>
                <w:szCs w:val="22"/>
              </w:rPr>
            </w:pPr>
            <w:r>
              <w:rPr>
                <w:color w:val="000000"/>
                <w:sz w:val="22"/>
                <w:szCs w:val="22"/>
              </w:rPr>
              <w:t>налоговые и неналоговые доходы</w:t>
            </w:r>
          </w:p>
        </w:tc>
        <w:tc>
          <w:tcPr>
            <w:tcW w:w="1231" w:type="dxa"/>
            <w:tcBorders>
              <w:top w:val="single" w:sz="4" w:space="0" w:color="auto"/>
              <w:left w:val="single" w:sz="4" w:space="0" w:color="auto"/>
              <w:bottom w:val="single" w:sz="4" w:space="0" w:color="auto"/>
              <w:right w:val="single" w:sz="4" w:space="0" w:color="auto"/>
            </w:tcBorders>
            <w:vAlign w:val="bottom"/>
            <w:hideMark/>
          </w:tcPr>
          <w:p w:rsidR="007E27CB" w:rsidRDefault="008F141F">
            <w:pPr>
              <w:spacing w:after="0" w:line="240" w:lineRule="auto"/>
              <w:jc w:val="center"/>
              <w:rPr>
                <w:color w:val="000000"/>
                <w:sz w:val="22"/>
                <w:szCs w:val="22"/>
              </w:rPr>
            </w:pPr>
            <w:r>
              <w:rPr>
                <w:color w:val="000000"/>
                <w:sz w:val="22"/>
                <w:szCs w:val="22"/>
              </w:rPr>
              <w:t>52,5</w:t>
            </w:r>
          </w:p>
        </w:tc>
        <w:tc>
          <w:tcPr>
            <w:tcW w:w="1232" w:type="dxa"/>
            <w:tcBorders>
              <w:top w:val="single" w:sz="4" w:space="0" w:color="auto"/>
              <w:left w:val="single" w:sz="4" w:space="0" w:color="auto"/>
              <w:bottom w:val="single" w:sz="4" w:space="0" w:color="auto"/>
              <w:right w:val="single" w:sz="4" w:space="0" w:color="auto"/>
            </w:tcBorders>
            <w:vAlign w:val="bottom"/>
            <w:hideMark/>
          </w:tcPr>
          <w:p w:rsidR="007E27CB" w:rsidRDefault="008F141F">
            <w:pPr>
              <w:spacing w:after="0" w:line="240" w:lineRule="auto"/>
              <w:jc w:val="center"/>
              <w:rPr>
                <w:color w:val="000000"/>
                <w:sz w:val="22"/>
                <w:szCs w:val="22"/>
              </w:rPr>
            </w:pPr>
            <w:r>
              <w:rPr>
                <w:bCs/>
                <w:color w:val="000000"/>
                <w:sz w:val="22"/>
                <w:szCs w:val="22"/>
              </w:rPr>
              <w:t>61,5</w:t>
            </w:r>
          </w:p>
        </w:tc>
        <w:tc>
          <w:tcPr>
            <w:tcW w:w="796" w:type="dxa"/>
            <w:tcBorders>
              <w:top w:val="single" w:sz="4" w:space="0" w:color="auto"/>
              <w:left w:val="single" w:sz="4" w:space="0" w:color="auto"/>
              <w:bottom w:val="single" w:sz="4" w:space="0" w:color="auto"/>
              <w:right w:val="single" w:sz="4" w:space="0" w:color="auto"/>
            </w:tcBorders>
            <w:vAlign w:val="bottom"/>
            <w:hideMark/>
          </w:tcPr>
          <w:p w:rsidR="007E27CB" w:rsidRDefault="008F141F">
            <w:pPr>
              <w:spacing w:after="0" w:line="240" w:lineRule="auto"/>
              <w:jc w:val="center"/>
              <w:rPr>
                <w:color w:val="000000"/>
                <w:sz w:val="22"/>
                <w:szCs w:val="22"/>
              </w:rPr>
            </w:pPr>
            <w:r>
              <w:rPr>
                <w:color w:val="000000"/>
                <w:sz w:val="22"/>
                <w:szCs w:val="22"/>
              </w:rPr>
              <w:t xml:space="preserve">117,3 </w:t>
            </w:r>
          </w:p>
        </w:tc>
        <w:tc>
          <w:tcPr>
            <w:tcW w:w="712" w:type="dxa"/>
            <w:tcBorders>
              <w:top w:val="single" w:sz="4" w:space="0" w:color="auto"/>
              <w:left w:val="single" w:sz="4" w:space="0" w:color="auto"/>
              <w:bottom w:val="single" w:sz="4" w:space="0" w:color="auto"/>
              <w:right w:val="single" w:sz="4" w:space="0" w:color="auto"/>
            </w:tcBorders>
            <w:vAlign w:val="bottom"/>
            <w:hideMark/>
          </w:tcPr>
          <w:p w:rsidR="007E27CB" w:rsidRDefault="008F141F">
            <w:pPr>
              <w:spacing w:after="0" w:line="240" w:lineRule="auto"/>
              <w:jc w:val="center"/>
              <w:rPr>
                <w:color w:val="000000"/>
                <w:sz w:val="22"/>
                <w:szCs w:val="22"/>
              </w:rPr>
            </w:pPr>
            <w:r>
              <w:rPr>
                <w:color w:val="000000"/>
                <w:sz w:val="22"/>
                <w:szCs w:val="22"/>
              </w:rPr>
              <w:t>62,7</w:t>
            </w:r>
          </w:p>
        </w:tc>
        <w:tc>
          <w:tcPr>
            <w:tcW w:w="1278" w:type="dxa"/>
            <w:tcBorders>
              <w:top w:val="single" w:sz="4" w:space="0" w:color="auto"/>
              <w:left w:val="single" w:sz="4" w:space="0" w:color="auto"/>
              <w:bottom w:val="single" w:sz="4" w:space="0" w:color="auto"/>
              <w:right w:val="single" w:sz="4" w:space="0" w:color="auto"/>
            </w:tcBorders>
            <w:vAlign w:val="bottom"/>
            <w:hideMark/>
          </w:tcPr>
          <w:p w:rsidR="007E27CB" w:rsidRDefault="008F141F">
            <w:pPr>
              <w:spacing w:after="0" w:line="240" w:lineRule="auto"/>
              <w:jc w:val="center"/>
              <w:rPr>
                <w:color w:val="000000"/>
                <w:sz w:val="22"/>
                <w:szCs w:val="22"/>
              </w:rPr>
            </w:pPr>
            <w:r>
              <w:rPr>
                <w:bCs/>
                <w:color w:val="000000"/>
                <w:sz w:val="22"/>
                <w:szCs w:val="22"/>
              </w:rPr>
              <w:t>61,9</w:t>
            </w:r>
          </w:p>
        </w:tc>
        <w:tc>
          <w:tcPr>
            <w:tcW w:w="1347" w:type="dxa"/>
            <w:tcBorders>
              <w:top w:val="single" w:sz="4" w:space="0" w:color="auto"/>
              <w:left w:val="single" w:sz="4" w:space="0" w:color="auto"/>
              <w:bottom w:val="single" w:sz="4" w:space="0" w:color="auto"/>
              <w:right w:val="single" w:sz="4" w:space="0" w:color="auto"/>
            </w:tcBorders>
            <w:vAlign w:val="bottom"/>
            <w:hideMark/>
          </w:tcPr>
          <w:p w:rsidR="007E27CB" w:rsidRDefault="008F141F">
            <w:pPr>
              <w:spacing w:after="0" w:line="240" w:lineRule="auto"/>
              <w:jc w:val="center"/>
              <w:rPr>
                <w:color w:val="000000"/>
                <w:sz w:val="22"/>
                <w:szCs w:val="22"/>
              </w:rPr>
            </w:pPr>
            <w:r>
              <w:rPr>
                <w:color w:val="000000"/>
                <w:sz w:val="22"/>
                <w:szCs w:val="22"/>
              </w:rPr>
              <w:t xml:space="preserve">98,6  </w:t>
            </w:r>
          </w:p>
        </w:tc>
        <w:tc>
          <w:tcPr>
            <w:tcW w:w="739" w:type="dxa"/>
            <w:tcBorders>
              <w:top w:val="single" w:sz="4" w:space="0" w:color="auto"/>
              <w:left w:val="single" w:sz="4" w:space="0" w:color="auto"/>
              <w:bottom w:val="single" w:sz="4" w:space="0" w:color="auto"/>
              <w:right w:val="single" w:sz="4" w:space="0" w:color="auto"/>
            </w:tcBorders>
            <w:vAlign w:val="bottom"/>
            <w:hideMark/>
          </w:tcPr>
          <w:p w:rsidR="007E27CB" w:rsidRDefault="008F141F">
            <w:pPr>
              <w:spacing w:after="0" w:line="240" w:lineRule="auto"/>
              <w:jc w:val="center"/>
              <w:rPr>
                <w:bCs/>
                <w:color w:val="000000"/>
                <w:sz w:val="22"/>
                <w:szCs w:val="22"/>
              </w:rPr>
            </w:pPr>
            <w:r>
              <w:rPr>
                <w:bCs/>
                <w:color w:val="000000"/>
                <w:sz w:val="22"/>
                <w:szCs w:val="22"/>
              </w:rPr>
              <w:t>100,6</w:t>
            </w:r>
          </w:p>
        </w:tc>
      </w:tr>
      <w:tr w:rsidR="007E27CB">
        <w:trPr>
          <w:trHeight w:val="288"/>
          <w:jc w:val="center"/>
        </w:trPr>
        <w:tc>
          <w:tcPr>
            <w:tcW w:w="463" w:type="dxa"/>
            <w:tcBorders>
              <w:top w:val="single" w:sz="4" w:space="0" w:color="auto"/>
              <w:left w:val="single" w:sz="4" w:space="0" w:color="auto"/>
              <w:bottom w:val="single" w:sz="4" w:space="0" w:color="auto"/>
              <w:right w:val="single" w:sz="4" w:space="0" w:color="auto"/>
            </w:tcBorders>
            <w:hideMark/>
          </w:tcPr>
          <w:p w:rsidR="007E27CB" w:rsidRDefault="008F141F">
            <w:pPr>
              <w:spacing w:after="0" w:line="240" w:lineRule="auto"/>
              <w:jc w:val="center"/>
              <w:rPr>
                <w:bCs/>
                <w:color w:val="000000"/>
                <w:sz w:val="22"/>
                <w:szCs w:val="22"/>
              </w:rPr>
            </w:pPr>
            <w:r>
              <w:rPr>
                <w:bCs/>
                <w:color w:val="000000"/>
                <w:sz w:val="22"/>
                <w:szCs w:val="22"/>
              </w:rPr>
              <w:t>2.</w:t>
            </w:r>
          </w:p>
        </w:tc>
        <w:tc>
          <w:tcPr>
            <w:tcW w:w="1860" w:type="dxa"/>
            <w:tcBorders>
              <w:top w:val="single" w:sz="4" w:space="0" w:color="auto"/>
              <w:left w:val="single" w:sz="4" w:space="0" w:color="auto"/>
              <w:bottom w:val="single" w:sz="4" w:space="0" w:color="auto"/>
              <w:right w:val="single" w:sz="4" w:space="0" w:color="auto"/>
            </w:tcBorders>
            <w:vAlign w:val="bottom"/>
            <w:hideMark/>
          </w:tcPr>
          <w:p w:rsidR="007E27CB" w:rsidRDefault="008F141F">
            <w:pPr>
              <w:spacing w:after="0" w:line="240" w:lineRule="auto"/>
              <w:rPr>
                <w:b/>
                <w:bCs/>
                <w:color w:val="000000"/>
                <w:sz w:val="22"/>
                <w:szCs w:val="22"/>
              </w:rPr>
            </w:pPr>
            <w:r>
              <w:rPr>
                <w:b/>
                <w:bCs/>
                <w:color w:val="000000"/>
                <w:sz w:val="22"/>
                <w:szCs w:val="22"/>
              </w:rPr>
              <w:t xml:space="preserve">Расходы </w:t>
            </w:r>
            <w:r>
              <w:rPr>
                <w:sz w:val="24"/>
                <w:szCs w:val="24"/>
              </w:rPr>
              <w:t xml:space="preserve">– </w:t>
            </w:r>
            <w:r>
              <w:rPr>
                <w:b/>
                <w:bCs/>
                <w:color w:val="000000"/>
                <w:sz w:val="22"/>
                <w:szCs w:val="22"/>
              </w:rPr>
              <w:t xml:space="preserve"> всего</w:t>
            </w:r>
          </w:p>
        </w:tc>
        <w:tc>
          <w:tcPr>
            <w:tcW w:w="1231" w:type="dxa"/>
            <w:tcBorders>
              <w:top w:val="single" w:sz="4" w:space="0" w:color="auto"/>
              <w:left w:val="single" w:sz="4" w:space="0" w:color="auto"/>
              <w:bottom w:val="single" w:sz="4" w:space="0" w:color="auto"/>
              <w:right w:val="single" w:sz="4" w:space="0" w:color="auto"/>
            </w:tcBorders>
            <w:vAlign w:val="bottom"/>
            <w:hideMark/>
          </w:tcPr>
          <w:p w:rsidR="007E27CB" w:rsidRDefault="008F141F">
            <w:pPr>
              <w:spacing w:after="0" w:line="240" w:lineRule="auto"/>
              <w:jc w:val="center"/>
              <w:rPr>
                <w:b/>
                <w:bCs/>
                <w:color w:val="000000" w:themeColor="text1"/>
                <w:sz w:val="22"/>
                <w:szCs w:val="22"/>
              </w:rPr>
            </w:pPr>
            <w:r>
              <w:rPr>
                <w:b/>
                <w:bCs/>
                <w:color w:val="000000" w:themeColor="text1"/>
                <w:sz w:val="22"/>
                <w:szCs w:val="22"/>
              </w:rPr>
              <w:t>71,1</w:t>
            </w:r>
          </w:p>
        </w:tc>
        <w:tc>
          <w:tcPr>
            <w:tcW w:w="1232" w:type="dxa"/>
            <w:tcBorders>
              <w:top w:val="single" w:sz="4" w:space="0" w:color="auto"/>
              <w:left w:val="single" w:sz="4" w:space="0" w:color="auto"/>
              <w:bottom w:val="single" w:sz="4" w:space="0" w:color="auto"/>
              <w:right w:val="single" w:sz="4" w:space="0" w:color="auto"/>
            </w:tcBorders>
            <w:vAlign w:val="bottom"/>
            <w:hideMark/>
          </w:tcPr>
          <w:p w:rsidR="007E27CB" w:rsidRDefault="008F141F">
            <w:pPr>
              <w:spacing w:after="0" w:line="240" w:lineRule="auto"/>
              <w:jc w:val="center"/>
              <w:rPr>
                <w:b/>
                <w:bCs/>
                <w:color w:val="000000" w:themeColor="text1"/>
                <w:sz w:val="22"/>
                <w:szCs w:val="22"/>
              </w:rPr>
            </w:pPr>
            <w:r>
              <w:rPr>
                <w:b/>
                <w:bCs/>
                <w:color w:val="000000" w:themeColor="text1"/>
                <w:sz w:val="22"/>
                <w:szCs w:val="22"/>
              </w:rPr>
              <w:t>74,6</w:t>
            </w:r>
          </w:p>
        </w:tc>
        <w:tc>
          <w:tcPr>
            <w:tcW w:w="796" w:type="dxa"/>
            <w:tcBorders>
              <w:top w:val="single" w:sz="4" w:space="0" w:color="auto"/>
              <w:left w:val="single" w:sz="4" w:space="0" w:color="auto"/>
              <w:bottom w:val="single" w:sz="4" w:space="0" w:color="auto"/>
              <w:right w:val="single" w:sz="4" w:space="0" w:color="auto"/>
            </w:tcBorders>
            <w:vAlign w:val="bottom"/>
            <w:hideMark/>
          </w:tcPr>
          <w:p w:rsidR="007E27CB" w:rsidRDefault="008F141F">
            <w:pPr>
              <w:spacing w:after="0" w:line="240" w:lineRule="auto"/>
              <w:jc w:val="center"/>
              <w:rPr>
                <w:b/>
                <w:bCs/>
                <w:color w:val="000000"/>
                <w:sz w:val="22"/>
                <w:szCs w:val="22"/>
              </w:rPr>
            </w:pPr>
            <w:r>
              <w:rPr>
                <w:b/>
                <w:bCs/>
                <w:color w:val="000000"/>
                <w:sz w:val="22"/>
                <w:szCs w:val="22"/>
              </w:rPr>
              <w:t xml:space="preserve">105,0 </w:t>
            </w:r>
          </w:p>
        </w:tc>
        <w:tc>
          <w:tcPr>
            <w:tcW w:w="712" w:type="dxa"/>
            <w:tcBorders>
              <w:top w:val="single" w:sz="4" w:space="0" w:color="auto"/>
              <w:left w:val="single" w:sz="4" w:space="0" w:color="auto"/>
              <w:bottom w:val="single" w:sz="4" w:space="0" w:color="auto"/>
              <w:right w:val="single" w:sz="4" w:space="0" w:color="auto"/>
            </w:tcBorders>
            <w:vAlign w:val="bottom"/>
            <w:hideMark/>
          </w:tcPr>
          <w:p w:rsidR="007E27CB" w:rsidRDefault="008F141F">
            <w:pPr>
              <w:spacing w:after="0" w:line="240" w:lineRule="auto"/>
              <w:jc w:val="center"/>
              <w:rPr>
                <w:b/>
                <w:bCs/>
                <w:color w:val="000000"/>
                <w:sz w:val="22"/>
                <w:szCs w:val="22"/>
              </w:rPr>
            </w:pPr>
            <w:r>
              <w:rPr>
                <w:b/>
                <w:bCs/>
                <w:color w:val="000000"/>
                <w:sz w:val="22"/>
                <w:szCs w:val="22"/>
              </w:rPr>
              <w:t xml:space="preserve">86,8  </w:t>
            </w:r>
          </w:p>
        </w:tc>
        <w:tc>
          <w:tcPr>
            <w:tcW w:w="1278" w:type="dxa"/>
            <w:tcBorders>
              <w:top w:val="single" w:sz="4" w:space="0" w:color="auto"/>
              <w:left w:val="single" w:sz="4" w:space="0" w:color="auto"/>
              <w:bottom w:val="single" w:sz="4" w:space="0" w:color="auto"/>
              <w:right w:val="single" w:sz="4" w:space="0" w:color="auto"/>
            </w:tcBorders>
            <w:vAlign w:val="bottom"/>
            <w:hideMark/>
          </w:tcPr>
          <w:p w:rsidR="007E27CB" w:rsidRDefault="008F141F">
            <w:pPr>
              <w:spacing w:after="0" w:line="240" w:lineRule="auto"/>
              <w:jc w:val="center"/>
              <w:rPr>
                <w:b/>
                <w:bCs/>
                <w:color w:val="000000" w:themeColor="text1"/>
                <w:sz w:val="22"/>
                <w:szCs w:val="22"/>
              </w:rPr>
            </w:pPr>
            <w:r>
              <w:rPr>
                <w:b/>
                <w:bCs/>
                <w:color w:val="000000" w:themeColor="text1"/>
                <w:sz w:val="22"/>
                <w:szCs w:val="22"/>
              </w:rPr>
              <w:t>83,4</w:t>
            </w:r>
          </w:p>
        </w:tc>
        <w:tc>
          <w:tcPr>
            <w:tcW w:w="1347" w:type="dxa"/>
            <w:tcBorders>
              <w:top w:val="single" w:sz="4" w:space="0" w:color="auto"/>
              <w:left w:val="single" w:sz="4" w:space="0" w:color="auto"/>
              <w:bottom w:val="single" w:sz="4" w:space="0" w:color="auto"/>
              <w:right w:val="single" w:sz="4" w:space="0" w:color="auto"/>
            </w:tcBorders>
            <w:vAlign w:val="bottom"/>
            <w:hideMark/>
          </w:tcPr>
          <w:p w:rsidR="007E27CB" w:rsidRDefault="008F141F">
            <w:pPr>
              <w:spacing w:after="0" w:line="240" w:lineRule="auto"/>
              <w:jc w:val="center"/>
              <w:rPr>
                <w:b/>
                <w:bCs/>
                <w:color w:val="000000"/>
                <w:sz w:val="22"/>
                <w:szCs w:val="22"/>
              </w:rPr>
            </w:pPr>
            <w:r>
              <w:rPr>
                <w:b/>
                <w:bCs/>
                <w:color w:val="000000"/>
                <w:sz w:val="22"/>
                <w:szCs w:val="22"/>
              </w:rPr>
              <w:t xml:space="preserve">96,1 </w:t>
            </w:r>
          </w:p>
        </w:tc>
        <w:tc>
          <w:tcPr>
            <w:tcW w:w="739" w:type="dxa"/>
            <w:tcBorders>
              <w:top w:val="single" w:sz="4" w:space="0" w:color="auto"/>
              <w:left w:val="single" w:sz="4" w:space="0" w:color="auto"/>
              <w:bottom w:val="single" w:sz="4" w:space="0" w:color="auto"/>
              <w:right w:val="single" w:sz="4" w:space="0" w:color="auto"/>
            </w:tcBorders>
            <w:vAlign w:val="bottom"/>
            <w:hideMark/>
          </w:tcPr>
          <w:p w:rsidR="007E27CB" w:rsidRDefault="008F141F">
            <w:pPr>
              <w:spacing w:after="0" w:line="240" w:lineRule="auto"/>
              <w:jc w:val="center"/>
              <w:rPr>
                <w:b/>
                <w:bCs/>
                <w:color w:val="000000"/>
                <w:sz w:val="22"/>
                <w:szCs w:val="22"/>
              </w:rPr>
            </w:pPr>
            <w:r>
              <w:rPr>
                <w:b/>
                <w:bCs/>
                <w:color w:val="000000"/>
                <w:sz w:val="22"/>
                <w:szCs w:val="22"/>
              </w:rPr>
              <w:t>111,7</w:t>
            </w:r>
          </w:p>
        </w:tc>
      </w:tr>
      <w:tr w:rsidR="007E27CB">
        <w:trPr>
          <w:trHeight w:val="288"/>
          <w:jc w:val="center"/>
        </w:trPr>
        <w:tc>
          <w:tcPr>
            <w:tcW w:w="463" w:type="dxa"/>
            <w:tcBorders>
              <w:top w:val="single" w:sz="4" w:space="0" w:color="auto"/>
              <w:left w:val="single" w:sz="4" w:space="0" w:color="auto"/>
              <w:bottom w:val="single" w:sz="4" w:space="0" w:color="auto"/>
              <w:right w:val="single" w:sz="4" w:space="0" w:color="auto"/>
            </w:tcBorders>
            <w:hideMark/>
          </w:tcPr>
          <w:p w:rsidR="007E27CB" w:rsidRDefault="008F141F">
            <w:pPr>
              <w:spacing w:after="0" w:line="240" w:lineRule="auto"/>
              <w:jc w:val="center"/>
              <w:rPr>
                <w:bCs/>
                <w:color w:val="000000"/>
                <w:sz w:val="22"/>
                <w:szCs w:val="22"/>
              </w:rPr>
            </w:pPr>
            <w:r>
              <w:rPr>
                <w:bCs/>
                <w:color w:val="000000"/>
                <w:sz w:val="22"/>
                <w:szCs w:val="22"/>
              </w:rPr>
              <w:t>3.</w:t>
            </w:r>
          </w:p>
        </w:tc>
        <w:tc>
          <w:tcPr>
            <w:tcW w:w="1860" w:type="dxa"/>
            <w:tcBorders>
              <w:top w:val="single" w:sz="4" w:space="0" w:color="auto"/>
              <w:left w:val="single" w:sz="4" w:space="0" w:color="auto"/>
              <w:bottom w:val="single" w:sz="4" w:space="0" w:color="auto"/>
              <w:right w:val="single" w:sz="4" w:space="0" w:color="auto"/>
            </w:tcBorders>
            <w:vAlign w:val="bottom"/>
            <w:hideMark/>
          </w:tcPr>
          <w:p w:rsidR="007E27CB" w:rsidRDefault="008F141F">
            <w:pPr>
              <w:spacing w:after="0" w:line="240" w:lineRule="auto"/>
              <w:rPr>
                <w:bCs/>
                <w:color w:val="000000"/>
                <w:sz w:val="22"/>
                <w:szCs w:val="22"/>
              </w:rPr>
            </w:pPr>
            <w:r>
              <w:rPr>
                <w:bCs/>
                <w:color w:val="000000"/>
                <w:sz w:val="22"/>
                <w:szCs w:val="22"/>
              </w:rPr>
              <w:t>Дефицит (-)</w:t>
            </w:r>
          </w:p>
        </w:tc>
        <w:tc>
          <w:tcPr>
            <w:tcW w:w="1231" w:type="dxa"/>
            <w:tcBorders>
              <w:top w:val="single" w:sz="4" w:space="0" w:color="auto"/>
              <w:left w:val="single" w:sz="4" w:space="0" w:color="auto"/>
              <w:bottom w:val="single" w:sz="4" w:space="0" w:color="auto"/>
              <w:right w:val="single" w:sz="4" w:space="0" w:color="auto"/>
            </w:tcBorders>
            <w:vAlign w:val="bottom"/>
            <w:hideMark/>
          </w:tcPr>
          <w:p w:rsidR="007E27CB" w:rsidRDefault="008F141F">
            <w:pPr>
              <w:spacing w:after="0" w:line="240" w:lineRule="auto"/>
              <w:jc w:val="center"/>
              <w:rPr>
                <w:bCs/>
                <w:color w:val="000000"/>
                <w:sz w:val="22"/>
                <w:szCs w:val="22"/>
              </w:rPr>
            </w:pPr>
            <w:r>
              <w:rPr>
                <w:bCs/>
                <w:color w:val="000000"/>
                <w:sz w:val="22"/>
                <w:szCs w:val="22"/>
              </w:rPr>
              <w:t>-6,0</w:t>
            </w:r>
          </w:p>
        </w:tc>
        <w:tc>
          <w:tcPr>
            <w:tcW w:w="1232" w:type="dxa"/>
            <w:tcBorders>
              <w:top w:val="single" w:sz="4" w:space="0" w:color="auto"/>
              <w:left w:val="single" w:sz="4" w:space="0" w:color="auto"/>
              <w:bottom w:val="single" w:sz="4" w:space="0" w:color="auto"/>
              <w:right w:val="single" w:sz="4" w:space="0" w:color="auto"/>
            </w:tcBorders>
            <w:vAlign w:val="bottom"/>
            <w:hideMark/>
          </w:tcPr>
          <w:p w:rsidR="007E27CB" w:rsidRDefault="008F141F">
            <w:pPr>
              <w:spacing w:after="0" w:line="240" w:lineRule="auto"/>
              <w:jc w:val="center"/>
              <w:rPr>
                <w:bCs/>
                <w:color w:val="000000"/>
                <w:sz w:val="22"/>
                <w:szCs w:val="22"/>
              </w:rPr>
            </w:pPr>
            <w:r>
              <w:rPr>
                <w:bCs/>
                <w:color w:val="000000"/>
                <w:sz w:val="22"/>
                <w:szCs w:val="22"/>
              </w:rPr>
              <w:t>-0,4</w:t>
            </w:r>
          </w:p>
        </w:tc>
        <w:tc>
          <w:tcPr>
            <w:tcW w:w="796" w:type="dxa"/>
            <w:tcBorders>
              <w:top w:val="single" w:sz="4" w:space="0" w:color="auto"/>
              <w:left w:val="single" w:sz="4" w:space="0" w:color="auto"/>
              <w:bottom w:val="single" w:sz="4" w:space="0" w:color="auto"/>
              <w:right w:val="single" w:sz="4" w:space="0" w:color="auto"/>
            </w:tcBorders>
            <w:vAlign w:val="bottom"/>
          </w:tcPr>
          <w:p w:rsidR="007E27CB" w:rsidRDefault="007E27CB">
            <w:pPr>
              <w:spacing w:after="0" w:line="240" w:lineRule="auto"/>
              <w:jc w:val="center"/>
              <w:rPr>
                <w:bCs/>
                <w:color w:val="000000"/>
                <w:sz w:val="22"/>
                <w:szCs w:val="22"/>
              </w:rPr>
            </w:pPr>
          </w:p>
        </w:tc>
        <w:tc>
          <w:tcPr>
            <w:tcW w:w="712" w:type="dxa"/>
            <w:tcBorders>
              <w:top w:val="single" w:sz="4" w:space="0" w:color="auto"/>
              <w:left w:val="single" w:sz="4" w:space="0" w:color="auto"/>
              <w:bottom w:val="single" w:sz="4" w:space="0" w:color="auto"/>
              <w:right w:val="single" w:sz="4" w:space="0" w:color="auto"/>
            </w:tcBorders>
            <w:vAlign w:val="bottom"/>
            <w:hideMark/>
          </w:tcPr>
          <w:p w:rsidR="007E27CB" w:rsidRDefault="008F141F">
            <w:pPr>
              <w:spacing w:after="0" w:line="240" w:lineRule="auto"/>
              <w:jc w:val="center"/>
              <w:rPr>
                <w:bCs/>
                <w:color w:val="000000"/>
                <w:sz w:val="22"/>
                <w:szCs w:val="22"/>
              </w:rPr>
            </w:pPr>
            <w:r>
              <w:rPr>
                <w:bCs/>
                <w:color w:val="000000"/>
                <w:sz w:val="22"/>
                <w:szCs w:val="22"/>
              </w:rPr>
              <w:t>-5,2</w:t>
            </w:r>
          </w:p>
        </w:tc>
        <w:tc>
          <w:tcPr>
            <w:tcW w:w="1278" w:type="dxa"/>
            <w:tcBorders>
              <w:top w:val="single" w:sz="4" w:space="0" w:color="auto"/>
              <w:left w:val="single" w:sz="4" w:space="0" w:color="auto"/>
              <w:bottom w:val="single" w:sz="4" w:space="0" w:color="auto"/>
              <w:right w:val="single" w:sz="4" w:space="0" w:color="auto"/>
            </w:tcBorders>
            <w:vAlign w:val="bottom"/>
            <w:hideMark/>
          </w:tcPr>
          <w:p w:rsidR="007E27CB" w:rsidRDefault="008F141F">
            <w:pPr>
              <w:spacing w:after="0" w:line="240" w:lineRule="auto"/>
              <w:jc w:val="center"/>
              <w:rPr>
                <w:bCs/>
                <w:color w:val="000000"/>
                <w:sz w:val="22"/>
                <w:szCs w:val="22"/>
              </w:rPr>
            </w:pPr>
            <w:r>
              <w:rPr>
                <w:bCs/>
                <w:color w:val="000000"/>
                <w:sz w:val="22"/>
                <w:szCs w:val="22"/>
              </w:rPr>
              <w:t>-3,5</w:t>
            </w:r>
          </w:p>
        </w:tc>
        <w:tc>
          <w:tcPr>
            <w:tcW w:w="1347" w:type="dxa"/>
            <w:tcBorders>
              <w:top w:val="single" w:sz="4" w:space="0" w:color="auto"/>
              <w:left w:val="single" w:sz="4" w:space="0" w:color="auto"/>
              <w:bottom w:val="single" w:sz="4" w:space="0" w:color="auto"/>
              <w:right w:val="single" w:sz="4" w:space="0" w:color="auto"/>
            </w:tcBorders>
            <w:vAlign w:val="bottom"/>
            <w:hideMark/>
          </w:tcPr>
          <w:p w:rsidR="007E27CB" w:rsidRDefault="008F141F">
            <w:pPr>
              <w:spacing w:after="0" w:line="240" w:lineRule="auto"/>
              <w:jc w:val="center"/>
              <w:rPr>
                <w:b/>
                <w:bCs/>
                <w:color w:val="000000"/>
                <w:sz w:val="22"/>
                <w:szCs w:val="22"/>
              </w:rPr>
            </w:pPr>
            <w:r>
              <w:rPr>
                <w:b/>
                <w:bCs/>
                <w:color w:val="000000"/>
                <w:sz w:val="22"/>
                <w:szCs w:val="22"/>
              </w:rPr>
              <w:t> </w:t>
            </w:r>
          </w:p>
        </w:tc>
        <w:tc>
          <w:tcPr>
            <w:tcW w:w="739" w:type="dxa"/>
            <w:tcBorders>
              <w:top w:val="single" w:sz="4" w:space="0" w:color="auto"/>
              <w:left w:val="single" w:sz="4" w:space="0" w:color="auto"/>
              <w:bottom w:val="single" w:sz="4" w:space="0" w:color="auto"/>
              <w:right w:val="single" w:sz="4" w:space="0" w:color="auto"/>
            </w:tcBorders>
            <w:vAlign w:val="bottom"/>
            <w:hideMark/>
          </w:tcPr>
          <w:p w:rsidR="007E27CB" w:rsidRDefault="008F141F">
            <w:pPr>
              <w:spacing w:after="0" w:line="240" w:lineRule="auto"/>
              <w:jc w:val="center"/>
              <w:rPr>
                <w:b/>
                <w:bCs/>
                <w:color w:val="000000"/>
                <w:sz w:val="22"/>
                <w:szCs w:val="22"/>
              </w:rPr>
            </w:pPr>
            <w:r>
              <w:rPr>
                <w:b/>
                <w:bCs/>
                <w:color w:val="000000"/>
                <w:sz w:val="22"/>
                <w:szCs w:val="22"/>
              </w:rPr>
              <w:t> </w:t>
            </w:r>
          </w:p>
        </w:tc>
      </w:tr>
    </w:tbl>
    <w:p w:rsidR="007E27CB" w:rsidRDefault="008F141F">
      <w:pPr>
        <w:tabs>
          <w:tab w:val="left" w:pos="4962"/>
        </w:tabs>
        <w:spacing w:after="0" w:line="240" w:lineRule="auto"/>
        <w:ind w:firstLine="709"/>
        <w:jc w:val="both"/>
        <w:rPr>
          <w:color w:val="FF0000"/>
          <w:sz w:val="24"/>
          <w:szCs w:val="24"/>
        </w:rPr>
      </w:pPr>
      <w:r>
        <w:rPr>
          <w:color w:val="FF0000"/>
          <w:sz w:val="24"/>
          <w:szCs w:val="24"/>
        </w:rPr>
        <w:t xml:space="preserve"> </w:t>
      </w:r>
    </w:p>
    <w:p w:rsidR="007E27CB" w:rsidRDefault="008F141F">
      <w:pPr>
        <w:spacing w:after="0" w:line="240" w:lineRule="auto"/>
        <w:ind w:firstLine="567"/>
        <w:jc w:val="both"/>
        <w:rPr>
          <w:sz w:val="24"/>
          <w:szCs w:val="24"/>
        </w:rPr>
      </w:pPr>
      <w:r>
        <w:rPr>
          <w:noProof/>
          <w:lang w:eastAsia="ru-RU"/>
        </w:rPr>
        <w:drawing>
          <wp:anchor distT="0" distB="0" distL="114300" distR="114300" simplePos="0" relativeHeight="251680768" behindDoc="0" locked="0" layoutInCell="1" allowOverlap="1">
            <wp:simplePos x="0" y="0"/>
            <wp:positionH relativeFrom="column">
              <wp:posOffset>2259330</wp:posOffset>
            </wp:positionH>
            <wp:positionV relativeFrom="paragraph">
              <wp:posOffset>-2540</wp:posOffset>
            </wp:positionV>
            <wp:extent cx="3677285" cy="2700655"/>
            <wp:effectExtent l="0" t="0" r="0" b="0"/>
            <wp:wrapSquare wrapText="bothSides"/>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677285" cy="2700655"/>
                    </a:xfrm>
                    <a:prstGeom prst="rect">
                      <a:avLst/>
                    </a:prstGeom>
                    <a:noFill/>
                  </pic:spPr>
                </pic:pic>
              </a:graphicData>
            </a:graphic>
            <wp14:sizeRelH relativeFrom="page">
              <wp14:pctWidth>0</wp14:pctWidth>
            </wp14:sizeRelH>
            <wp14:sizeRelV relativeFrom="page">
              <wp14:pctHeight>0</wp14:pctHeight>
            </wp14:sizeRelV>
          </wp:anchor>
        </w:drawing>
      </w:r>
      <w:r>
        <w:rPr>
          <w:sz w:val="24"/>
          <w:szCs w:val="24"/>
        </w:rPr>
        <w:t xml:space="preserve">Налоговые и неналоговые доходы областного бюджета исполнены к уровню 2018 года с темпом роста 99,9%. Плановые назначения не выполнены на 1,1 млрд. рублей или на 2,2%. Запланированные значения не достигнуты в связи с сокращением платежей по налогу на прибыль от крупных налогоплательщиков –нефтегазодобывающих компаний. </w:t>
      </w:r>
    </w:p>
    <w:p w:rsidR="007E27CB" w:rsidRDefault="008F141F">
      <w:pPr>
        <w:spacing w:after="0" w:line="240" w:lineRule="auto"/>
        <w:ind w:firstLine="567"/>
        <w:jc w:val="both"/>
        <w:rPr>
          <w:sz w:val="24"/>
          <w:szCs w:val="24"/>
        </w:rPr>
      </w:pPr>
      <w:r>
        <w:rPr>
          <w:sz w:val="24"/>
          <w:szCs w:val="24"/>
        </w:rPr>
        <w:t xml:space="preserve">Муниципальные образования в целом исполнили свои бюджеты по налоговым и неналоговым доходам к уровню 2018 года на 103,4%, выполнив план на 2019 год на 102,1%. Положительная динамика объясняется ростом налога на доходы физических лиц. </w:t>
      </w:r>
    </w:p>
    <w:p w:rsidR="007E27CB" w:rsidRDefault="008F141F">
      <w:pPr>
        <w:spacing w:after="0" w:line="240" w:lineRule="auto"/>
        <w:ind w:firstLine="567"/>
        <w:jc w:val="both"/>
        <w:rPr>
          <w:sz w:val="24"/>
          <w:szCs w:val="24"/>
        </w:rPr>
      </w:pPr>
      <w:r>
        <w:rPr>
          <w:noProof/>
          <w:sz w:val="24"/>
          <w:szCs w:val="24"/>
          <w:lang w:eastAsia="ru-RU"/>
        </w:rPr>
        <w:drawing>
          <wp:anchor distT="0" distB="0" distL="114300" distR="114300" simplePos="0" relativeHeight="251681792" behindDoc="0" locked="0" layoutInCell="1" allowOverlap="1">
            <wp:simplePos x="0" y="0"/>
            <wp:positionH relativeFrom="column">
              <wp:posOffset>-3537585</wp:posOffset>
            </wp:positionH>
            <wp:positionV relativeFrom="paragraph">
              <wp:posOffset>1845310</wp:posOffset>
            </wp:positionV>
            <wp:extent cx="723265" cy="736600"/>
            <wp:effectExtent l="0" t="0" r="635" b="6350"/>
            <wp:wrapNone/>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27" cstate="print">
                      <a:extLst>
                        <a:ext uri="{28A0092B-C50C-407E-A947-70E740481C1C}">
                          <a14:useLocalDpi xmlns:a14="http://schemas.microsoft.com/office/drawing/2010/main" val="0"/>
                        </a:ext>
                      </a:extLst>
                    </a:blip>
                    <a:srcRect l="29388" t="7751" r="29234" b="7751"/>
                    <a:stretch>
                      <a:fillRect/>
                    </a:stretch>
                  </pic:blipFill>
                  <pic:spPr bwMode="auto">
                    <a:xfrm>
                      <a:off x="0" y="0"/>
                      <a:ext cx="723265" cy="736600"/>
                    </a:xfrm>
                    <a:prstGeom prst="rect">
                      <a:avLst/>
                    </a:prstGeom>
                    <a:noFill/>
                  </pic:spPr>
                </pic:pic>
              </a:graphicData>
            </a:graphic>
            <wp14:sizeRelH relativeFrom="page">
              <wp14:pctWidth>0</wp14:pctWidth>
            </wp14:sizeRelH>
            <wp14:sizeRelV relativeFrom="page">
              <wp14:pctHeight>0</wp14:pctHeight>
            </wp14:sizeRelV>
          </wp:anchor>
        </w:drawing>
      </w:r>
      <w:r>
        <w:rPr>
          <w:sz w:val="24"/>
          <w:szCs w:val="24"/>
        </w:rPr>
        <w:t xml:space="preserve">Налоговые доходы, поступившие в бюджетную систему Российской Федерации (с учетом акцизов, поступающих с распределительного счета), составили 230,0 млрд. рублей, из них в федеральный бюджет Российской Федерации </w:t>
      </w:r>
      <w:r>
        <w:rPr>
          <w:sz w:val="24"/>
          <w:szCs w:val="24"/>
        </w:rPr>
        <w:sym w:font="Symbol" w:char="F02D"/>
      </w:r>
      <w:r>
        <w:rPr>
          <w:sz w:val="24"/>
          <w:szCs w:val="24"/>
        </w:rPr>
        <w:t xml:space="preserve"> 74,3%, или 171,0 млрд. рублей, что на 6,9% (на 12,6 млрд. рублей) меньше поступлений 2018 года. </w:t>
      </w:r>
    </w:p>
    <w:p w:rsidR="007E27CB" w:rsidRDefault="008F141F">
      <w:pPr>
        <w:spacing w:after="0" w:line="240" w:lineRule="auto"/>
        <w:ind w:firstLine="567"/>
        <w:jc w:val="both"/>
        <w:rPr>
          <w:sz w:val="24"/>
          <w:szCs w:val="24"/>
        </w:rPr>
      </w:pPr>
      <w:r>
        <w:rPr>
          <w:sz w:val="24"/>
          <w:szCs w:val="24"/>
        </w:rPr>
        <w:t>Уменьшение вызвано снижением отчислений в федеральный бюджет НДС (на 7,0 млрд. рублей) и НДПИ (на 5,5 млрд. рублей).</w:t>
      </w:r>
    </w:p>
    <w:p w:rsidR="007E27CB" w:rsidRDefault="008F141F">
      <w:pPr>
        <w:spacing w:after="0" w:line="240" w:lineRule="auto"/>
        <w:ind w:firstLine="567"/>
        <w:jc w:val="both"/>
        <w:rPr>
          <w:sz w:val="24"/>
          <w:szCs w:val="24"/>
        </w:rPr>
      </w:pPr>
      <w:r>
        <w:rPr>
          <w:sz w:val="24"/>
          <w:szCs w:val="24"/>
        </w:rPr>
        <w:t>Доля поступлений в консолидированный бюджет Томской области налоговых доходов выросла с 24,2% в 2018 году до 25,7% в 2019 году от общих налоговых поступлений с территории области.</w:t>
      </w:r>
    </w:p>
    <w:p w:rsidR="007E27CB" w:rsidRDefault="007E27CB">
      <w:pPr>
        <w:spacing w:after="0" w:line="240" w:lineRule="auto"/>
        <w:ind w:firstLine="567"/>
        <w:jc w:val="both"/>
        <w:rPr>
          <w:sz w:val="24"/>
          <w:szCs w:val="24"/>
        </w:rPr>
      </w:pPr>
    </w:p>
    <w:p w:rsidR="007E27CB" w:rsidRDefault="008F141F">
      <w:pPr>
        <w:spacing w:after="0" w:line="240" w:lineRule="auto"/>
        <w:ind w:firstLine="567"/>
        <w:jc w:val="both"/>
        <w:rPr>
          <w:sz w:val="24"/>
          <w:szCs w:val="24"/>
        </w:rPr>
      </w:pPr>
      <w:r>
        <w:rPr>
          <w:noProof/>
          <w:lang w:eastAsia="ru-RU"/>
        </w:rPr>
        <w:drawing>
          <wp:anchor distT="0" distB="0" distL="114300" distR="114300" simplePos="0" relativeHeight="251686912" behindDoc="0" locked="0" layoutInCell="1" allowOverlap="1">
            <wp:simplePos x="0" y="0"/>
            <wp:positionH relativeFrom="column">
              <wp:posOffset>4940935</wp:posOffset>
            </wp:positionH>
            <wp:positionV relativeFrom="paragraph">
              <wp:posOffset>2334260</wp:posOffset>
            </wp:positionV>
            <wp:extent cx="974090" cy="956310"/>
            <wp:effectExtent l="0" t="0" r="0" b="0"/>
            <wp:wrapNone/>
            <wp:docPr id="33" name="Рисунок 33"/>
            <wp:cNvGraphicFramePr/>
            <a:graphic xmlns:a="http://schemas.openxmlformats.org/drawingml/2006/main">
              <a:graphicData uri="http://schemas.openxmlformats.org/drawingml/2006/picture">
                <pic:pic xmlns:pic="http://schemas.openxmlformats.org/drawingml/2006/picture">
                  <pic:nvPicPr>
                    <pic:cNvPr id="8" name="Рисунок 8"/>
                    <pic:cNvPicPr/>
                  </pic:nvPicPr>
                  <pic:blipFill rotWithShape="1">
                    <a:blip r:embed="rId28" cstate="print">
                      <a:extLst>
                        <a:ext uri="{28A0092B-C50C-407E-A947-70E740481C1C}">
                          <a14:useLocalDpi xmlns:a14="http://schemas.microsoft.com/office/drawing/2010/main" val="0"/>
                        </a:ext>
                      </a:extLst>
                    </a:blip>
                    <a:srcRect l="22138" t="5195" r="22718" b="6493"/>
                    <a:stretch/>
                  </pic:blipFill>
                  <pic:spPr bwMode="auto">
                    <a:xfrm>
                      <a:off x="0" y="0"/>
                      <a:ext cx="974090" cy="956310"/>
                    </a:xfrm>
                    <a:prstGeom prst="rect">
                      <a:avLst/>
                    </a:prstGeom>
                    <a:noFill/>
                    <a:ln>
                      <a:noFill/>
                    </a:ln>
                    <a:extLst>
                      <a:ext uri="{53640926-AAD7-44D8-BBD7-CCE9431645EC}">
                        <a14:shadowObscured xmlns:a14="http://schemas.microsoft.com/office/drawing/2010/main"/>
                      </a:ext>
                    </a:extLst>
                  </pic:spPr>
                </pic:pic>
              </a:graphicData>
            </a:graphic>
          </wp:anchor>
        </w:drawing>
      </w:r>
      <w:r>
        <w:rPr>
          <w:noProof/>
          <w:lang w:eastAsia="ru-RU"/>
        </w:rPr>
        <w:drawing>
          <wp:anchor distT="0" distB="0" distL="114300" distR="114300" simplePos="0" relativeHeight="251685888" behindDoc="0" locked="0" layoutInCell="1" allowOverlap="1">
            <wp:simplePos x="0" y="0"/>
            <wp:positionH relativeFrom="column">
              <wp:posOffset>3048635</wp:posOffset>
            </wp:positionH>
            <wp:positionV relativeFrom="paragraph">
              <wp:posOffset>2334260</wp:posOffset>
            </wp:positionV>
            <wp:extent cx="988695" cy="1020445"/>
            <wp:effectExtent l="0" t="0" r="1905" b="8255"/>
            <wp:wrapNone/>
            <wp:docPr id="9" name="Рисунок 9"/>
            <wp:cNvGraphicFramePr/>
            <a:graphic xmlns:a="http://schemas.openxmlformats.org/drawingml/2006/main">
              <a:graphicData uri="http://schemas.openxmlformats.org/drawingml/2006/picture">
                <pic:pic xmlns:pic="http://schemas.openxmlformats.org/drawingml/2006/picture">
                  <pic:nvPicPr>
                    <pic:cNvPr id="9" name="Рисунок 9"/>
                    <pic:cNvPicPr/>
                  </pic:nvPicPr>
                  <pic:blipFill rotWithShape="1">
                    <a:blip r:embed="rId29">
                      <a:extLst>
                        <a:ext uri="{28A0092B-C50C-407E-A947-70E740481C1C}">
                          <a14:useLocalDpi xmlns:a14="http://schemas.microsoft.com/office/drawing/2010/main" val="0"/>
                        </a:ext>
                      </a:extLst>
                    </a:blip>
                    <a:srcRect l="29150" t="7212" r="23482" b="8410"/>
                    <a:stretch/>
                  </pic:blipFill>
                  <pic:spPr bwMode="auto">
                    <a:xfrm>
                      <a:off x="0" y="0"/>
                      <a:ext cx="988695" cy="1020445"/>
                    </a:xfrm>
                    <a:prstGeom prst="rect">
                      <a:avLst/>
                    </a:prstGeom>
                    <a:noFill/>
                    <a:ln>
                      <a:noFill/>
                    </a:ln>
                    <a:extLst>
                      <a:ext uri="{53640926-AAD7-44D8-BBD7-CCE9431645EC}">
                        <a14:shadowObscured xmlns:a14="http://schemas.microsoft.com/office/drawing/2010/main"/>
                      </a:ext>
                    </a:extLst>
                  </pic:spPr>
                </pic:pic>
              </a:graphicData>
            </a:graphic>
          </wp:anchor>
        </w:drawing>
      </w:r>
      <w:r>
        <w:rPr>
          <w:noProof/>
          <w:lang w:eastAsia="ru-RU"/>
        </w:rPr>
        <w:drawing>
          <wp:anchor distT="0" distB="0" distL="114300" distR="114300" simplePos="0" relativeHeight="251683840" behindDoc="0" locked="0" layoutInCell="1" allowOverlap="1">
            <wp:simplePos x="0" y="0"/>
            <wp:positionH relativeFrom="column">
              <wp:posOffset>0</wp:posOffset>
            </wp:positionH>
            <wp:positionV relativeFrom="paragraph">
              <wp:posOffset>9525</wp:posOffset>
            </wp:positionV>
            <wp:extent cx="5794375" cy="3742055"/>
            <wp:effectExtent l="0" t="0" r="0" b="0"/>
            <wp:wrapNone/>
            <wp:docPr id="4" name="Рисунок 4"/>
            <wp:cNvGraphicFramePr/>
            <a:graphic xmlns:a="http://schemas.openxmlformats.org/drawingml/2006/main">
              <a:graphicData uri="http://schemas.openxmlformats.org/drawingml/2006/picture">
                <pic:pic xmlns:pic="http://schemas.openxmlformats.org/drawingml/2006/picture">
                  <pic:nvPicPr>
                    <pic:cNvPr id="4" name="Рисунок 4"/>
                    <pic:cNvPicPr/>
                  </pic:nvPicPr>
                  <pic:blipFill rotWithShape="1">
                    <a:blip r:embed="rId30" cstate="print">
                      <a:extLst>
                        <a:ext uri="{28A0092B-C50C-407E-A947-70E740481C1C}">
                          <a14:useLocalDpi xmlns:a14="http://schemas.microsoft.com/office/drawing/2010/main" val="0"/>
                        </a:ext>
                      </a:extLst>
                    </a:blip>
                    <a:srcRect l="1354" r="6137"/>
                    <a:stretch/>
                  </pic:blipFill>
                  <pic:spPr bwMode="auto">
                    <a:xfrm>
                      <a:off x="0" y="0"/>
                      <a:ext cx="5794375" cy="3742055"/>
                    </a:xfrm>
                    <a:prstGeom prst="rect">
                      <a:avLst/>
                    </a:prstGeom>
                    <a:noFill/>
                    <a:ln>
                      <a:noFill/>
                    </a:ln>
                    <a:extLst>
                      <a:ext uri="{53640926-AAD7-44D8-BBD7-CCE9431645EC}">
                        <a14:shadowObscured xmlns:a14="http://schemas.microsoft.com/office/drawing/2010/main"/>
                      </a:ext>
                    </a:extLst>
                  </pic:spPr>
                </pic:pic>
              </a:graphicData>
            </a:graphic>
          </wp:anchor>
        </w:drawing>
      </w:r>
    </w:p>
    <w:p w:rsidR="007E27CB" w:rsidRDefault="007E27CB">
      <w:pPr>
        <w:spacing w:after="0" w:line="240" w:lineRule="auto"/>
        <w:ind w:firstLine="567"/>
        <w:jc w:val="both"/>
        <w:rPr>
          <w:sz w:val="24"/>
          <w:szCs w:val="24"/>
        </w:rPr>
      </w:pPr>
    </w:p>
    <w:p w:rsidR="007E27CB" w:rsidRDefault="007E27CB">
      <w:pPr>
        <w:spacing w:after="0" w:line="240" w:lineRule="auto"/>
        <w:ind w:firstLine="567"/>
        <w:jc w:val="both"/>
        <w:rPr>
          <w:sz w:val="24"/>
          <w:szCs w:val="24"/>
        </w:rPr>
      </w:pPr>
    </w:p>
    <w:p w:rsidR="007E27CB" w:rsidRDefault="007E27CB">
      <w:pPr>
        <w:spacing w:after="0" w:line="240" w:lineRule="auto"/>
        <w:ind w:firstLine="567"/>
        <w:jc w:val="both"/>
        <w:rPr>
          <w:sz w:val="24"/>
          <w:szCs w:val="24"/>
        </w:rPr>
      </w:pPr>
    </w:p>
    <w:p w:rsidR="007E27CB" w:rsidRDefault="007E27CB">
      <w:pPr>
        <w:spacing w:after="0" w:line="240" w:lineRule="auto"/>
        <w:ind w:firstLine="567"/>
        <w:jc w:val="both"/>
        <w:rPr>
          <w:sz w:val="24"/>
          <w:szCs w:val="24"/>
        </w:rPr>
      </w:pPr>
    </w:p>
    <w:p w:rsidR="007E27CB" w:rsidRDefault="007E27CB">
      <w:pPr>
        <w:spacing w:after="0" w:line="240" w:lineRule="auto"/>
        <w:ind w:firstLine="567"/>
        <w:jc w:val="both"/>
        <w:rPr>
          <w:sz w:val="24"/>
          <w:szCs w:val="24"/>
        </w:rPr>
      </w:pPr>
    </w:p>
    <w:p w:rsidR="007E27CB" w:rsidRDefault="007E27CB">
      <w:pPr>
        <w:spacing w:after="0" w:line="240" w:lineRule="auto"/>
        <w:ind w:firstLine="567"/>
        <w:jc w:val="both"/>
        <w:rPr>
          <w:sz w:val="24"/>
          <w:szCs w:val="24"/>
        </w:rPr>
      </w:pPr>
    </w:p>
    <w:p w:rsidR="007E27CB" w:rsidRDefault="007E27CB">
      <w:pPr>
        <w:spacing w:after="0" w:line="240" w:lineRule="auto"/>
        <w:ind w:firstLine="567"/>
        <w:jc w:val="both"/>
        <w:rPr>
          <w:sz w:val="24"/>
          <w:szCs w:val="24"/>
        </w:rPr>
      </w:pPr>
    </w:p>
    <w:p w:rsidR="007E27CB" w:rsidRDefault="007E27CB">
      <w:pPr>
        <w:spacing w:after="0" w:line="240" w:lineRule="auto"/>
        <w:ind w:firstLine="567"/>
        <w:jc w:val="both"/>
        <w:rPr>
          <w:sz w:val="24"/>
          <w:szCs w:val="24"/>
        </w:rPr>
      </w:pPr>
    </w:p>
    <w:p w:rsidR="007E27CB" w:rsidRDefault="007E27CB">
      <w:pPr>
        <w:spacing w:after="0" w:line="240" w:lineRule="auto"/>
        <w:ind w:firstLine="567"/>
        <w:jc w:val="both"/>
        <w:rPr>
          <w:sz w:val="24"/>
          <w:szCs w:val="24"/>
        </w:rPr>
      </w:pPr>
    </w:p>
    <w:p w:rsidR="007E27CB" w:rsidRDefault="007E27CB">
      <w:pPr>
        <w:spacing w:after="0" w:line="240" w:lineRule="auto"/>
        <w:ind w:firstLine="567"/>
        <w:jc w:val="both"/>
        <w:rPr>
          <w:sz w:val="24"/>
          <w:szCs w:val="24"/>
        </w:rPr>
      </w:pPr>
    </w:p>
    <w:p w:rsidR="007E27CB" w:rsidRDefault="007E27CB">
      <w:pPr>
        <w:spacing w:after="0" w:line="240" w:lineRule="auto"/>
        <w:ind w:firstLine="567"/>
        <w:jc w:val="both"/>
        <w:rPr>
          <w:sz w:val="24"/>
          <w:szCs w:val="24"/>
        </w:rPr>
      </w:pPr>
    </w:p>
    <w:p w:rsidR="007E27CB" w:rsidRDefault="007E27CB">
      <w:pPr>
        <w:spacing w:after="0" w:line="240" w:lineRule="auto"/>
        <w:ind w:firstLine="567"/>
        <w:jc w:val="both"/>
        <w:rPr>
          <w:sz w:val="24"/>
          <w:szCs w:val="24"/>
        </w:rPr>
      </w:pPr>
    </w:p>
    <w:p w:rsidR="007E27CB" w:rsidRDefault="008F141F">
      <w:pPr>
        <w:spacing w:after="0" w:line="240" w:lineRule="auto"/>
        <w:ind w:firstLine="567"/>
        <w:jc w:val="both"/>
        <w:rPr>
          <w:sz w:val="24"/>
          <w:szCs w:val="24"/>
        </w:rPr>
      </w:pPr>
      <w:r>
        <w:rPr>
          <w:noProof/>
          <w:lang w:eastAsia="ru-RU"/>
        </w:rPr>
        <w:drawing>
          <wp:anchor distT="0" distB="0" distL="114300" distR="114300" simplePos="0" relativeHeight="251684864" behindDoc="0" locked="0" layoutInCell="1" allowOverlap="1">
            <wp:simplePos x="0" y="0"/>
            <wp:positionH relativeFrom="column">
              <wp:posOffset>1333500</wp:posOffset>
            </wp:positionH>
            <wp:positionV relativeFrom="paragraph">
              <wp:posOffset>130175</wp:posOffset>
            </wp:positionV>
            <wp:extent cx="977900" cy="946150"/>
            <wp:effectExtent l="0" t="0" r="0" b="6350"/>
            <wp:wrapNone/>
            <wp:docPr id="32" name="Рисунок 32"/>
            <wp:cNvGraphicFramePr/>
            <a:graphic xmlns:a="http://schemas.openxmlformats.org/drawingml/2006/main">
              <a:graphicData uri="http://schemas.openxmlformats.org/drawingml/2006/picture">
                <pic:pic xmlns:pic="http://schemas.openxmlformats.org/drawingml/2006/picture">
                  <pic:nvPicPr>
                    <pic:cNvPr id="3" name="Рисунок 3"/>
                    <pic:cNvPicPr/>
                  </pic:nvPicPr>
                  <pic:blipFill rotWithShape="1">
                    <a:blip r:embed="rId27" cstate="print">
                      <a:extLst>
                        <a:ext uri="{28A0092B-C50C-407E-A947-70E740481C1C}">
                          <a14:useLocalDpi xmlns:a14="http://schemas.microsoft.com/office/drawing/2010/main" val="0"/>
                        </a:ext>
                      </a:extLst>
                    </a:blip>
                    <a:srcRect l="28616" t="8527" r="28460" b="6202"/>
                    <a:stretch/>
                  </pic:blipFill>
                  <pic:spPr bwMode="auto">
                    <a:xfrm>
                      <a:off x="0" y="0"/>
                      <a:ext cx="977900" cy="946150"/>
                    </a:xfrm>
                    <a:prstGeom prst="rect">
                      <a:avLst/>
                    </a:prstGeom>
                    <a:noFill/>
                    <a:ln>
                      <a:noFill/>
                    </a:ln>
                    <a:extLst>
                      <a:ext uri="{53640926-AAD7-44D8-BBD7-CCE9431645EC}">
                        <a14:shadowObscured xmlns:a14="http://schemas.microsoft.com/office/drawing/2010/main"/>
                      </a:ext>
                    </a:extLst>
                  </pic:spPr>
                </pic:pic>
              </a:graphicData>
            </a:graphic>
          </wp:anchor>
        </w:drawing>
      </w:r>
    </w:p>
    <w:p w:rsidR="007E27CB" w:rsidRDefault="007E27CB">
      <w:pPr>
        <w:spacing w:after="0" w:line="240" w:lineRule="auto"/>
        <w:ind w:firstLine="567"/>
        <w:jc w:val="both"/>
        <w:rPr>
          <w:sz w:val="24"/>
          <w:szCs w:val="24"/>
        </w:rPr>
      </w:pPr>
    </w:p>
    <w:p w:rsidR="007E27CB" w:rsidRDefault="007E27CB">
      <w:pPr>
        <w:spacing w:after="0" w:line="240" w:lineRule="auto"/>
        <w:ind w:firstLine="567"/>
        <w:jc w:val="both"/>
        <w:rPr>
          <w:sz w:val="24"/>
          <w:szCs w:val="24"/>
        </w:rPr>
      </w:pPr>
    </w:p>
    <w:p w:rsidR="007E27CB" w:rsidRDefault="007E27CB">
      <w:pPr>
        <w:spacing w:after="0" w:line="240" w:lineRule="auto"/>
        <w:ind w:firstLine="567"/>
        <w:jc w:val="both"/>
        <w:rPr>
          <w:sz w:val="24"/>
          <w:szCs w:val="24"/>
        </w:rPr>
      </w:pPr>
    </w:p>
    <w:p w:rsidR="007E27CB" w:rsidRDefault="007E27CB">
      <w:pPr>
        <w:spacing w:after="0" w:line="240" w:lineRule="auto"/>
        <w:ind w:firstLine="567"/>
        <w:jc w:val="both"/>
        <w:rPr>
          <w:sz w:val="24"/>
          <w:szCs w:val="24"/>
        </w:rPr>
      </w:pPr>
    </w:p>
    <w:p w:rsidR="007E27CB" w:rsidRDefault="007E27CB">
      <w:pPr>
        <w:spacing w:after="0" w:line="240" w:lineRule="auto"/>
        <w:ind w:firstLine="567"/>
        <w:jc w:val="both"/>
        <w:rPr>
          <w:sz w:val="24"/>
          <w:szCs w:val="24"/>
        </w:rPr>
      </w:pPr>
    </w:p>
    <w:p w:rsidR="007E27CB" w:rsidRDefault="007E27CB">
      <w:pPr>
        <w:spacing w:after="0" w:line="240" w:lineRule="auto"/>
        <w:ind w:firstLine="567"/>
        <w:jc w:val="both"/>
        <w:rPr>
          <w:sz w:val="24"/>
          <w:szCs w:val="24"/>
        </w:rPr>
      </w:pPr>
    </w:p>
    <w:p w:rsidR="007E27CB" w:rsidRDefault="007E27CB">
      <w:pPr>
        <w:spacing w:after="0" w:line="240" w:lineRule="auto"/>
        <w:ind w:firstLine="567"/>
        <w:jc w:val="both"/>
        <w:rPr>
          <w:sz w:val="24"/>
          <w:szCs w:val="24"/>
        </w:rPr>
      </w:pPr>
    </w:p>
    <w:p w:rsidR="007E27CB" w:rsidRDefault="007E27CB">
      <w:pPr>
        <w:spacing w:after="0" w:line="240" w:lineRule="auto"/>
        <w:ind w:firstLine="567"/>
        <w:jc w:val="both"/>
        <w:rPr>
          <w:sz w:val="24"/>
          <w:szCs w:val="24"/>
        </w:rPr>
      </w:pPr>
    </w:p>
    <w:p w:rsidR="007E27CB" w:rsidRDefault="007E27CB">
      <w:pPr>
        <w:spacing w:after="0" w:line="240" w:lineRule="auto"/>
        <w:ind w:firstLine="567"/>
        <w:jc w:val="both"/>
        <w:rPr>
          <w:sz w:val="24"/>
          <w:szCs w:val="24"/>
        </w:rPr>
      </w:pPr>
    </w:p>
    <w:p w:rsidR="007E27CB" w:rsidRDefault="008F141F">
      <w:pPr>
        <w:spacing w:after="0" w:line="240" w:lineRule="auto"/>
        <w:ind w:firstLine="567"/>
        <w:jc w:val="both"/>
        <w:rPr>
          <w:sz w:val="24"/>
          <w:szCs w:val="24"/>
        </w:rPr>
      </w:pPr>
      <w:r>
        <w:rPr>
          <w:sz w:val="24"/>
          <w:szCs w:val="24"/>
        </w:rPr>
        <w:t>В отчетном периоде в структуре налоговых и неналоговых платежей консолидированного бюджета региона роль основных источников доходов принадлежит  НДФЛ (37%) и налогу на прибыль организаций (26%).</w:t>
      </w:r>
    </w:p>
    <w:p w:rsidR="007E27CB" w:rsidRDefault="008F141F">
      <w:pPr>
        <w:spacing w:after="0" w:line="240" w:lineRule="auto"/>
        <w:ind w:firstLine="567"/>
        <w:jc w:val="both"/>
        <w:rPr>
          <w:sz w:val="24"/>
          <w:szCs w:val="24"/>
        </w:rPr>
      </w:pPr>
      <w:r>
        <w:rPr>
          <w:noProof/>
          <w:sz w:val="24"/>
          <w:szCs w:val="24"/>
          <w:lang w:eastAsia="ru-RU"/>
        </w:rPr>
        <mc:AlternateContent>
          <mc:Choice Requires="wps">
            <w:drawing>
              <wp:anchor distT="0" distB="0" distL="114300" distR="114300" simplePos="0" relativeHeight="251688960" behindDoc="0" locked="0" layoutInCell="1" allowOverlap="1">
                <wp:simplePos x="0" y="0"/>
                <wp:positionH relativeFrom="margin">
                  <wp:posOffset>2789564</wp:posOffset>
                </wp:positionH>
                <wp:positionV relativeFrom="paragraph">
                  <wp:posOffset>80010</wp:posOffset>
                </wp:positionV>
                <wp:extent cx="3558540" cy="467995"/>
                <wp:effectExtent l="0" t="0" r="3810" b="8255"/>
                <wp:wrapNone/>
                <wp:docPr id="39" name="Надпись 39"/>
                <wp:cNvGraphicFramePr/>
                <a:graphic xmlns:a="http://schemas.openxmlformats.org/drawingml/2006/main">
                  <a:graphicData uri="http://schemas.microsoft.com/office/word/2010/wordprocessingShape">
                    <wps:wsp>
                      <wps:cNvSpPr txBox="1"/>
                      <wps:spPr>
                        <a:xfrm>
                          <a:off x="0" y="0"/>
                          <a:ext cx="3558540" cy="467995"/>
                        </a:xfrm>
                        <a:prstGeom prst="rect">
                          <a:avLst/>
                        </a:prstGeom>
                        <a:solidFill>
                          <a:sysClr val="window" lastClr="FFFFFF"/>
                        </a:solidFill>
                        <a:ln w="6350">
                          <a:noFill/>
                        </a:ln>
                        <a:effectLst/>
                      </wps:spPr>
                      <wps:txbx>
                        <w:txbxContent>
                          <w:p w:rsidR="007E27CB" w:rsidRDefault="008F141F">
                            <w:pPr>
                              <w:tabs>
                                <w:tab w:val="left" w:pos="10260"/>
                              </w:tabs>
                              <w:ind w:right="17"/>
                              <w:contextualSpacing/>
                              <w:jc w:val="center"/>
                              <w:rPr>
                                <w:b/>
                                <w:color w:val="000000" w:themeColor="text1"/>
                                <w:sz w:val="20"/>
                                <w:szCs w:val="20"/>
                              </w:rPr>
                            </w:pPr>
                            <w:r>
                              <w:rPr>
                                <w:b/>
                                <w:color w:val="000000" w:themeColor="text1"/>
                                <w:sz w:val="20"/>
                                <w:szCs w:val="20"/>
                              </w:rPr>
                              <w:t>Структура налоговых и неналоговых доходов</w:t>
                            </w:r>
                          </w:p>
                          <w:p w:rsidR="007E27CB" w:rsidRDefault="008F141F">
                            <w:pPr>
                              <w:tabs>
                                <w:tab w:val="left" w:pos="10260"/>
                              </w:tabs>
                              <w:ind w:right="17"/>
                              <w:contextualSpacing/>
                              <w:jc w:val="center"/>
                              <w:rPr>
                                <w:b/>
                                <w:color w:val="000000" w:themeColor="text1"/>
                                <w:sz w:val="20"/>
                                <w:szCs w:val="20"/>
                              </w:rPr>
                            </w:pPr>
                            <w:r>
                              <w:rPr>
                                <w:b/>
                                <w:color w:val="000000" w:themeColor="text1"/>
                                <w:sz w:val="20"/>
                                <w:szCs w:val="20"/>
                              </w:rPr>
                              <w:t>консолидированного бюджета Томской области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39" o:spid="_x0000_s1026" type="#_x0000_t202" style="position:absolute;left:0;text-align:left;margin-left:219.65pt;margin-top:6.3pt;width:280.2pt;height:36.85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" fillcolor="window" stroked="f" strokeweight=".5pt">
                <v:textbox>
                  <w:txbxContent>
                    <w:p w:rsidR="007E27CB" w:rsidRDefault="008F141F">
                      <w:pPr>
                        <w:tabs>
                          <w:tab w:val="left" w:pos="10260"/>
                        </w:tabs>
                        <w:ind w:right="17"/>
                        <w:contextualSpacing/>
                        <w:jc w:val="center"/>
                        <w:rPr>
                          <w:b/>
                          <w:color w:val="000000" w:themeColor="text1"/>
                          <w:sz w:val="20"/>
                          <w:szCs w:val="20"/>
                        </w:rPr>
                      </w:pPr>
                      <w:r>
                        <w:rPr>
                          <w:b/>
                          <w:color w:val="000000" w:themeColor="text1"/>
                          <w:sz w:val="20"/>
                          <w:szCs w:val="20"/>
                        </w:rPr>
                        <w:t>Структура налоговых и неналоговых доходов</w:t>
                      </w:r>
                    </w:p>
                    <w:p w:rsidR="007E27CB" w:rsidRDefault="008F141F">
                      <w:pPr>
                        <w:tabs>
                          <w:tab w:val="left" w:pos="10260"/>
                        </w:tabs>
                        <w:ind w:right="17"/>
                        <w:contextualSpacing/>
                        <w:jc w:val="center"/>
                        <w:rPr>
                          <w:b/>
                          <w:color w:val="000000" w:themeColor="text1"/>
                          <w:sz w:val="20"/>
                          <w:szCs w:val="20"/>
                        </w:rPr>
                      </w:pPr>
                      <w:r>
                        <w:rPr>
                          <w:b/>
                          <w:color w:val="000000" w:themeColor="text1"/>
                          <w:sz w:val="20"/>
                          <w:szCs w:val="20"/>
                        </w:rPr>
                        <w:t>консолидированного бюджета Томской области</w:t>
                      </w:r>
                    </w:p>
                  </w:txbxContent>
                </v:textbox>
                <w10:wrap anchorx="margin"/>
              </v:shape>
            </w:pict>
          </mc:Fallback>
        </mc:AlternateContent>
      </w:r>
    </w:p>
    <w:p w:rsidR="007E27CB" w:rsidRDefault="007E27CB">
      <w:pPr>
        <w:spacing w:after="0" w:line="240" w:lineRule="auto"/>
        <w:ind w:firstLine="567"/>
        <w:jc w:val="both"/>
        <w:rPr>
          <w:sz w:val="24"/>
          <w:szCs w:val="24"/>
        </w:rPr>
      </w:pPr>
    </w:p>
    <w:p w:rsidR="007E27CB" w:rsidRDefault="008F141F">
      <w:pPr>
        <w:spacing w:after="0" w:line="240" w:lineRule="auto"/>
        <w:ind w:firstLine="567"/>
        <w:jc w:val="both"/>
        <w:rPr>
          <w:sz w:val="24"/>
          <w:szCs w:val="24"/>
        </w:rPr>
      </w:pPr>
      <w:r>
        <w:rPr>
          <w:noProof/>
          <w:lang w:eastAsia="ru-RU"/>
        </w:rPr>
        <w:drawing>
          <wp:anchor distT="0" distB="0" distL="114300" distR="114300" simplePos="0" relativeHeight="251689984" behindDoc="0" locked="0" layoutInCell="1" allowOverlap="1">
            <wp:simplePos x="0" y="0"/>
            <wp:positionH relativeFrom="margin">
              <wp:posOffset>4042410</wp:posOffset>
            </wp:positionH>
            <wp:positionV relativeFrom="margin">
              <wp:posOffset>6494145</wp:posOffset>
            </wp:positionV>
            <wp:extent cx="1942465" cy="1743075"/>
            <wp:effectExtent l="0" t="0" r="635" b="0"/>
            <wp:wrapSquare wrapText="bothSides"/>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31">
                      <a:extLst>
                        <a:ext uri="{28A0092B-C50C-407E-A947-70E740481C1C}">
                          <a14:useLocalDpi xmlns:a14="http://schemas.microsoft.com/office/drawing/2010/main" val="0"/>
                        </a:ext>
                      </a:extLst>
                    </a:blip>
                    <a:srcRect l="25581" t="9303" r="25813" b="8514"/>
                    <a:stretch>
                      <a:fillRect/>
                    </a:stretch>
                  </pic:blipFill>
                  <pic:spPr bwMode="auto">
                    <a:xfrm>
                      <a:off x="0" y="0"/>
                      <a:ext cx="1942465" cy="1743075"/>
                    </a:xfrm>
                    <a:prstGeom prst="rect">
                      <a:avLst/>
                    </a:prstGeom>
                    <a:noFill/>
                  </pic:spPr>
                </pic:pic>
              </a:graphicData>
            </a:graphic>
            <wp14:sizeRelH relativeFrom="margin">
              <wp14:pctWidth>0</wp14:pctWidth>
            </wp14:sizeRelH>
            <wp14:sizeRelV relativeFrom="margin">
              <wp14:pctHeight>0</wp14:pctHeight>
            </wp14:sizeRelV>
          </wp:anchor>
        </w:drawing>
      </w:r>
    </w:p>
    <w:tbl>
      <w:tblPr>
        <w:tblpPr w:leftFromText="180" w:rightFromText="180" w:bottomFromText="200" w:vertAnchor="text" w:horzAnchor="margin" w:tblpXSpec="right" w:tblpY="26"/>
        <w:tblOverlap w:val="never"/>
        <w:tblW w:w="2266" w:type="dxa"/>
        <w:tblLayout w:type="fixed"/>
        <w:tblLook w:val="04A0" w:firstRow="1" w:lastRow="0" w:firstColumn="1" w:lastColumn="0" w:noHBand="0" w:noVBand="1"/>
      </w:tblPr>
      <w:tblGrid>
        <w:gridCol w:w="236"/>
        <w:gridCol w:w="2030"/>
      </w:tblGrid>
      <w:tr w:rsidR="007E27CB">
        <w:trPr>
          <w:trHeight w:val="501"/>
        </w:trPr>
        <w:tc>
          <w:tcPr>
            <w:tcW w:w="236" w:type="dxa"/>
            <w:tcBorders>
              <w:top w:val="nil"/>
              <w:left w:val="single" w:sz="4" w:space="0" w:color="FFFFFF"/>
              <w:bottom w:val="single" w:sz="4" w:space="0" w:color="FFFFFF"/>
              <w:right w:val="single" w:sz="4" w:space="0" w:color="FFFFFF"/>
            </w:tcBorders>
            <w:shd w:val="clear" w:color="auto" w:fill="BC0000"/>
          </w:tcPr>
          <w:p w:rsidR="007E27CB" w:rsidRDefault="007E27CB">
            <w:pPr>
              <w:rPr>
                <w:b/>
                <w:bCs/>
                <w:color w:val="000000" w:themeColor="text1"/>
                <w:sz w:val="18"/>
                <w:szCs w:val="18"/>
              </w:rPr>
            </w:pPr>
          </w:p>
        </w:tc>
        <w:tc>
          <w:tcPr>
            <w:tcW w:w="2030" w:type="dxa"/>
            <w:tcBorders>
              <w:top w:val="nil"/>
              <w:left w:val="single" w:sz="4" w:space="0" w:color="FFFFFF"/>
              <w:bottom w:val="single" w:sz="4" w:space="0" w:color="FFFFFF"/>
              <w:right w:val="single" w:sz="4" w:space="0" w:color="FFFFFF"/>
            </w:tcBorders>
            <w:shd w:val="clear" w:color="auto" w:fill="D9D9D9"/>
            <w:noWrap/>
            <w:vAlign w:val="center"/>
            <w:hideMark/>
          </w:tcPr>
          <w:p w:rsidR="007E27CB" w:rsidRDefault="008F141F">
            <w:pPr>
              <w:spacing w:after="0" w:line="240" w:lineRule="auto"/>
              <w:rPr>
                <w:b/>
                <w:bCs/>
                <w:color w:val="000000" w:themeColor="text1"/>
                <w:sz w:val="18"/>
                <w:szCs w:val="18"/>
              </w:rPr>
            </w:pPr>
            <w:r>
              <w:rPr>
                <w:b/>
                <w:bCs/>
                <w:color w:val="000000" w:themeColor="text1"/>
                <w:sz w:val="18"/>
                <w:szCs w:val="18"/>
              </w:rPr>
              <w:t>Налог на прибыль организаций</w:t>
            </w:r>
          </w:p>
        </w:tc>
      </w:tr>
      <w:tr w:rsidR="007E27CB">
        <w:trPr>
          <w:trHeight w:val="529"/>
        </w:trPr>
        <w:tc>
          <w:tcPr>
            <w:tcW w:w="236" w:type="dxa"/>
            <w:tcBorders>
              <w:top w:val="nil"/>
              <w:left w:val="single" w:sz="4" w:space="0" w:color="FFFFFF"/>
              <w:bottom w:val="single" w:sz="4" w:space="0" w:color="FFFFFF"/>
              <w:right w:val="single" w:sz="4" w:space="0" w:color="FFFFFF"/>
            </w:tcBorders>
            <w:shd w:val="clear" w:color="auto" w:fill="265A9A"/>
          </w:tcPr>
          <w:p w:rsidR="007E27CB" w:rsidRDefault="007E27CB">
            <w:pPr>
              <w:rPr>
                <w:b/>
                <w:bCs/>
                <w:color w:val="000000" w:themeColor="text1"/>
                <w:sz w:val="18"/>
                <w:szCs w:val="18"/>
              </w:rPr>
            </w:pPr>
          </w:p>
        </w:tc>
        <w:tc>
          <w:tcPr>
            <w:tcW w:w="2030" w:type="dxa"/>
            <w:tcBorders>
              <w:top w:val="nil"/>
              <w:left w:val="single" w:sz="4" w:space="0" w:color="FFFFFF"/>
              <w:bottom w:val="single" w:sz="4" w:space="0" w:color="FFFFFF"/>
              <w:right w:val="single" w:sz="4" w:space="0" w:color="FFFFFF"/>
            </w:tcBorders>
            <w:shd w:val="clear" w:color="auto" w:fill="F2F2F2"/>
            <w:noWrap/>
            <w:vAlign w:val="center"/>
            <w:hideMark/>
          </w:tcPr>
          <w:p w:rsidR="007E27CB" w:rsidRDefault="008F141F">
            <w:pPr>
              <w:spacing w:after="0" w:line="240" w:lineRule="auto"/>
              <w:rPr>
                <w:b/>
                <w:bCs/>
                <w:color w:val="000000" w:themeColor="text1"/>
                <w:sz w:val="18"/>
                <w:szCs w:val="18"/>
              </w:rPr>
            </w:pPr>
            <w:r>
              <w:rPr>
                <w:b/>
                <w:bCs/>
                <w:color w:val="000000" w:themeColor="text1"/>
                <w:sz w:val="18"/>
                <w:szCs w:val="18"/>
              </w:rPr>
              <w:t>Налог на доходы физических лиц</w:t>
            </w:r>
          </w:p>
        </w:tc>
      </w:tr>
      <w:tr w:rsidR="007E27CB">
        <w:trPr>
          <w:trHeight w:val="315"/>
        </w:trPr>
        <w:tc>
          <w:tcPr>
            <w:tcW w:w="236" w:type="dxa"/>
            <w:tcBorders>
              <w:top w:val="nil"/>
              <w:left w:val="single" w:sz="4" w:space="0" w:color="FFFFFF"/>
              <w:bottom w:val="single" w:sz="4" w:space="0" w:color="FFFFFF"/>
              <w:right w:val="single" w:sz="4" w:space="0" w:color="FFFFFF"/>
            </w:tcBorders>
            <w:shd w:val="clear" w:color="auto" w:fill="808080" w:themeFill="background1" w:themeFillShade="80"/>
          </w:tcPr>
          <w:p w:rsidR="007E27CB" w:rsidRDefault="007E27CB">
            <w:pPr>
              <w:rPr>
                <w:b/>
                <w:bCs/>
                <w:color w:val="000000" w:themeColor="text1"/>
                <w:sz w:val="18"/>
                <w:szCs w:val="18"/>
              </w:rPr>
            </w:pPr>
          </w:p>
        </w:tc>
        <w:tc>
          <w:tcPr>
            <w:tcW w:w="2030" w:type="dxa"/>
            <w:tcBorders>
              <w:top w:val="nil"/>
              <w:left w:val="single" w:sz="4" w:space="0" w:color="FFFFFF"/>
              <w:bottom w:val="single" w:sz="4" w:space="0" w:color="FFFFFF"/>
              <w:right w:val="single" w:sz="4" w:space="0" w:color="FFFFFF"/>
            </w:tcBorders>
            <w:shd w:val="clear" w:color="auto" w:fill="D9D9D9"/>
            <w:noWrap/>
            <w:vAlign w:val="center"/>
            <w:hideMark/>
          </w:tcPr>
          <w:p w:rsidR="007E27CB" w:rsidRDefault="008F141F">
            <w:pPr>
              <w:spacing w:after="0" w:line="240" w:lineRule="auto"/>
              <w:rPr>
                <w:b/>
                <w:bCs/>
                <w:color w:val="000000" w:themeColor="text1"/>
                <w:sz w:val="18"/>
                <w:szCs w:val="18"/>
              </w:rPr>
            </w:pPr>
            <w:r>
              <w:rPr>
                <w:b/>
                <w:bCs/>
                <w:color w:val="000000" w:themeColor="text1"/>
                <w:sz w:val="18"/>
                <w:szCs w:val="18"/>
              </w:rPr>
              <w:t>Акцизы</w:t>
            </w:r>
          </w:p>
        </w:tc>
      </w:tr>
      <w:tr w:rsidR="007E27CB">
        <w:trPr>
          <w:trHeight w:val="315"/>
        </w:trPr>
        <w:tc>
          <w:tcPr>
            <w:tcW w:w="236" w:type="dxa"/>
            <w:tcBorders>
              <w:top w:val="nil"/>
              <w:left w:val="single" w:sz="4" w:space="0" w:color="FFFFFF"/>
              <w:bottom w:val="single" w:sz="4" w:space="0" w:color="FFFFFF"/>
              <w:right w:val="single" w:sz="4" w:space="0" w:color="FFFFFF"/>
            </w:tcBorders>
            <w:shd w:val="clear" w:color="auto" w:fill="D99594" w:themeFill="accent2" w:themeFillTint="99"/>
          </w:tcPr>
          <w:p w:rsidR="007E27CB" w:rsidRDefault="007E27CB">
            <w:pPr>
              <w:rPr>
                <w:b/>
                <w:bCs/>
                <w:color w:val="000000" w:themeColor="text1"/>
                <w:sz w:val="18"/>
                <w:szCs w:val="18"/>
              </w:rPr>
            </w:pPr>
          </w:p>
        </w:tc>
        <w:tc>
          <w:tcPr>
            <w:tcW w:w="2030" w:type="dxa"/>
            <w:tcBorders>
              <w:top w:val="nil"/>
              <w:left w:val="single" w:sz="4" w:space="0" w:color="FFFFFF"/>
              <w:bottom w:val="single" w:sz="4" w:space="0" w:color="FFFFFF"/>
              <w:right w:val="single" w:sz="4" w:space="0" w:color="FFFFFF"/>
            </w:tcBorders>
            <w:shd w:val="clear" w:color="auto" w:fill="F2F2F2"/>
            <w:noWrap/>
            <w:vAlign w:val="center"/>
            <w:hideMark/>
          </w:tcPr>
          <w:p w:rsidR="007E27CB" w:rsidRDefault="008F141F">
            <w:pPr>
              <w:spacing w:after="0" w:line="240" w:lineRule="auto"/>
              <w:rPr>
                <w:b/>
                <w:bCs/>
                <w:color w:val="000000" w:themeColor="text1"/>
                <w:sz w:val="18"/>
                <w:szCs w:val="18"/>
              </w:rPr>
            </w:pPr>
            <w:r>
              <w:rPr>
                <w:b/>
                <w:bCs/>
                <w:color w:val="000000" w:themeColor="text1"/>
                <w:sz w:val="18"/>
                <w:szCs w:val="18"/>
              </w:rPr>
              <w:t>Налог на имущество организаций</w:t>
            </w:r>
          </w:p>
        </w:tc>
      </w:tr>
      <w:tr w:rsidR="007E27CB">
        <w:trPr>
          <w:trHeight w:val="315"/>
        </w:trPr>
        <w:tc>
          <w:tcPr>
            <w:tcW w:w="236" w:type="dxa"/>
            <w:tcBorders>
              <w:top w:val="nil"/>
              <w:left w:val="single" w:sz="4" w:space="0" w:color="FFFFFF"/>
              <w:bottom w:val="single" w:sz="4" w:space="0" w:color="FFFFFF"/>
              <w:right w:val="single" w:sz="4" w:space="0" w:color="FFFFFF"/>
            </w:tcBorders>
            <w:shd w:val="clear" w:color="auto" w:fill="95B3D7" w:themeFill="accent1" w:themeFillTint="99"/>
          </w:tcPr>
          <w:p w:rsidR="007E27CB" w:rsidRDefault="007E27CB">
            <w:pPr>
              <w:rPr>
                <w:b/>
                <w:bCs/>
                <w:color w:val="000000" w:themeColor="text1"/>
                <w:sz w:val="18"/>
                <w:szCs w:val="18"/>
              </w:rPr>
            </w:pPr>
          </w:p>
        </w:tc>
        <w:tc>
          <w:tcPr>
            <w:tcW w:w="2030" w:type="dxa"/>
            <w:tcBorders>
              <w:top w:val="nil"/>
              <w:left w:val="single" w:sz="4" w:space="0" w:color="FFFFFF"/>
              <w:bottom w:val="single" w:sz="4" w:space="0" w:color="FFFFFF"/>
              <w:right w:val="single" w:sz="4" w:space="0" w:color="FFFFFF"/>
            </w:tcBorders>
            <w:shd w:val="clear" w:color="auto" w:fill="D9D9D9"/>
            <w:noWrap/>
            <w:vAlign w:val="center"/>
            <w:hideMark/>
          </w:tcPr>
          <w:p w:rsidR="007E27CB" w:rsidRDefault="008F141F">
            <w:pPr>
              <w:spacing w:after="0" w:line="240" w:lineRule="auto"/>
              <w:rPr>
                <w:b/>
                <w:bCs/>
                <w:color w:val="000000" w:themeColor="text1"/>
                <w:sz w:val="18"/>
                <w:szCs w:val="18"/>
              </w:rPr>
            </w:pPr>
            <w:r>
              <w:rPr>
                <w:b/>
                <w:bCs/>
                <w:color w:val="000000" w:themeColor="text1"/>
                <w:sz w:val="18"/>
                <w:szCs w:val="18"/>
              </w:rPr>
              <w:t>Прочие налоговые доходы</w:t>
            </w:r>
          </w:p>
        </w:tc>
      </w:tr>
      <w:tr w:rsidR="007E27CB">
        <w:trPr>
          <w:trHeight w:val="315"/>
        </w:trPr>
        <w:tc>
          <w:tcPr>
            <w:tcW w:w="236" w:type="dxa"/>
            <w:tcBorders>
              <w:top w:val="nil"/>
              <w:left w:val="single" w:sz="4" w:space="0" w:color="FFFFFF"/>
              <w:bottom w:val="single" w:sz="4" w:space="0" w:color="FFFFFF"/>
              <w:right w:val="single" w:sz="4" w:space="0" w:color="FFFFFF"/>
            </w:tcBorders>
            <w:shd w:val="clear" w:color="auto" w:fill="C6D9F1" w:themeFill="text2" w:themeFillTint="33"/>
          </w:tcPr>
          <w:p w:rsidR="007E27CB" w:rsidRDefault="007E27CB">
            <w:pPr>
              <w:rPr>
                <w:b/>
                <w:bCs/>
                <w:color w:val="000000" w:themeColor="text1"/>
                <w:sz w:val="18"/>
                <w:szCs w:val="18"/>
              </w:rPr>
            </w:pPr>
          </w:p>
        </w:tc>
        <w:tc>
          <w:tcPr>
            <w:tcW w:w="2030" w:type="dxa"/>
            <w:tcBorders>
              <w:top w:val="nil"/>
              <w:left w:val="single" w:sz="4" w:space="0" w:color="FFFFFF"/>
              <w:bottom w:val="single" w:sz="4" w:space="0" w:color="FFFFFF"/>
              <w:right w:val="single" w:sz="4" w:space="0" w:color="FFFFFF"/>
            </w:tcBorders>
            <w:shd w:val="clear" w:color="auto" w:fill="F2F2F2"/>
            <w:noWrap/>
            <w:vAlign w:val="center"/>
            <w:hideMark/>
          </w:tcPr>
          <w:p w:rsidR="007E27CB" w:rsidRDefault="008F141F">
            <w:pPr>
              <w:spacing w:after="0" w:line="240" w:lineRule="auto"/>
              <w:rPr>
                <w:b/>
                <w:bCs/>
                <w:color w:val="000000" w:themeColor="text1"/>
                <w:sz w:val="18"/>
                <w:szCs w:val="18"/>
              </w:rPr>
            </w:pPr>
            <w:r>
              <w:rPr>
                <w:b/>
                <w:bCs/>
                <w:color w:val="000000" w:themeColor="text1"/>
                <w:sz w:val="18"/>
                <w:szCs w:val="18"/>
              </w:rPr>
              <w:t>Неналоговые доходы</w:t>
            </w:r>
          </w:p>
        </w:tc>
      </w:tr>
    </w:tbl>
    <w:p w:rsidR="007E27CB" w:rsidRDefault="008F141F">
      <w:pPr>
        <w:spacing w:after="0" w:line="240" w:lineRule="auto"/>
        <w:ind w:firstLine="567"/>
        <w:jc w:val="both"/>
        <w:rPr>
          <w:sz w:val="24"/>
          <w:szCs w:val="24"/>
        </w:rPr>
      </w:pPr>
      <w:r>
        <w:rPr>
          <w:sz w:val="24"/>
          <w:szCs w:val="24"/>
        </w:rPr>
        <w:t xml:space="preserve">В структуре видов экономической деятельности бюджетообразующими являются «Обрабатывающие производства» (20,7%); «Добыча полезных ископаемых» (19,54%); «Образование и здравоохранение» (10,9%). Особенностью 2019 года стало сокращение по отношению к 2018 году доли налоговых поступлений по виду экономической деятельности – «Добыча полезных ископаемых» на 3,26 процентных пункта. По иным видам экономической деятельности наблюдается стабильная динамика налоговых поступлений с незначительными колебаниями. </w:t>
      </w:r>
    </w:p>
    <w:p w:rsidR="007E27CB" w:rsidRDefault="008F141F">
      <w:pPr>
        <w:pStyle w:val="a6"/>
        <w:tabs>
          <w:tab w:val="left" w:pos="0"/>
        </w:tabs>
        <w:spacing w:after="0" w:line="240" w:lineRule="auto"/>
        <w:ind w:left="0" w:firstLine="567"/>
        <w:jc w:val="both"/>
        <w:rPr>
          <w:rFonts w:ascii="Times New Roman" w:hAnsi="Times New Roman"/>
          <w:b/>
          <w:i/>
          <w:sz w:val="24"/>
          <w:szCs w:val="24"/>
        </w:rPr>
      </w:pPr>
      <w:r>
        <w:rPr>
          <w:rFonts w:ascii="Times New Roman" w:hAnsi="Times New Roman"/>
          <w:i/>
          <w:sz w:val="24"/>
          <w:szCs w:val="24"/>
        </w:rPr>
        <w:t>ФИНАНСИРОВАНИЕ РЕГИОНАЛЬНЫХ ПРОЕКТОВ В РАМКАХ  РЕАЛИЗАЦИИ УКАЗА ПРЕЗИДЕНТА РОССИЙСКОЙ ФЕДЕРАЦИИ ОТ 07.05.2018 № 204 «О НАЦИОНАЛЬНЫХ ЦЕЛЯХ И СТРАТЕГИЧЕСКИХ ЗАДАЧАХ РАЗВИТИЯ РОССИЙСКОЙ ФЕДЕРАЦИИ НА ПЕРИОД ДО 2024 ГОДА»</w:t>
      </w:r>
      <w:r>
        <w:rPr>
          <w:rStyle w:val="af3"/>
          <w:rFonts w:ascii="Times New Roman" w:hAnsi="Times New Roman"/>
          <w:i/>
          <w:sz w:val="24"/>
          <w:szCs w:val="24"/>
        </w:rPr>
        <w:footnoteReference w:id="25"/>
      </w:r>
      <w:r>
        <w:rPr>
          <w:rFonts w:ascii="Times New Roman" w:hAnsi="Times New Roman"/>
          <w:b/>
          <w:i/>
          <w:sz w:val="24"/>
          <w:szCs w:val="24"/>
        </w:rPr>
        <w:tab/>
      </w:r>
    </w:p>
    <w:p w:rsidR="007E27CB" w:rsidRDefault="008F141F">
      <w:pPr>
        <w:tabs>
          <w:tab w:val="left" w:pos="0"/>
        </w:tabs>
        <w:spacing w:after="0" w:line="240" w:lineRule="auto"/>
        <w:ind w:firstLine="567"/>
        <w:jc w:val="both"/>
        <w:rPr>
          <w:bCs/>
          <w:sz w:val="24"/>
          <w:szCs w:val="24"/>
        </w:rPr>
      </w:pPr>
      <w:r>
        <w:rPr>
          <w:bCs/>
          <w:sz w:val="24"/>
          <w:szCs w:val="24"/>
        </w:rPr>
        <w:t xml:space="preserve">В 2019 году Томская область приняла участие в 12 национальных проектах </w:t>
      </w:r>
      <w:r>
        <w:rPr>
          <w:sz w:val="24"/>
          <w:szCs w:val="24"/>
        </w:rPr>
        <w:t>и комплексном плане модернизации и расширения магистральной инфраструктуры</w:t>
      </w:r>
      <w:r>
        <w:rPr>
          <w:bCs/>
          <w:sz w:val="24"/>
          <w:szCs w:val="24"/>
        </w:rPr>
        <w:t xml:space="preserve"> путем реализации 56 региональных проектов. В декабре 2019 года был утвержден 57-й региональный проект «Умные города Томской области», его реализация началась с 2020 года. </w:t>
      </w:r>
    </w:p>
    <w:p w:rsidR="007E27CB" w:rsidRDefault="008F141F">
      <w:pPr>
        <w:tabs>
          <w:tab w:val="left" w:pos="0"/>
        </w:tabs>
        <w:spacing w:after="0" w:line="240" w:lineRule="auto"/>
        <w:ind w:firstLine="567"/>
        <w:jc w:val="both"/>
        <w:rPr>
          <w:bCs/>
          <w:sz w:val="24"/>
          <w:szCs w:val="24"/>
        </w:rPr>
      </w:pPr>
      <w:r>
        <w:rPr>
          <w:bCs/>
          <w:sz w:val="24"/>
          <w:szCs w:val="24"/>
        </w:rPr>
        <w:t>Фактический объем финансирования на реализацию региональных проектов за отчетный год составил 10,3 млрд. рублей за счет всех источников (94% от планируемого объема), из них 6,1 млрд. рублей было привлечено из федерального бюджета (59% от общего объема израсходованных средств).</w:t>
      </w:r>
    </w:p>
    <w:p w:rsidR="007E27CB" w:rsidRDefault="008F141F">
      <w:pPr>
        <w:tabs>
          <w:tab w:val="left" w:pos="0"/>
        </w:tabs>
        <w:spacing w:after="0" w:line="240" w:lineRule="auto"/>
        <w:ind w:firstLine="567"/>
        <w:jc w:val="both"/>
        <w:rPr>
          <w:bCs/>
          <w:sz w:val="24"/>
          <w:szCs w:val="24"/>
        </w:rPr>
      </w:pPr>
      <w:r>
        <w:rPr>
          <w:sz w:val="24"/>
          <w:szCs w:val="24"/>
        </w:rPr>
        <w:t xml:space="preserve">Неосвоение финансовых средств в полном объеме сложилось по </w:t>
      </w:r>
      <w:r>
        <w:rPr>
          <w:bCs/>
          <w:sz w:val="24"/>
          <w:szCs w:val="24"/>
        </w:rPr>
        <w:t>двум причинам:</w:t>
      </w:r>
    </w:p>
    <w:p w:rsidR="007E27CB" w:rsidRDefault="008F141F">
      <w:pPr>
        <w:tabs>
          <w:tab w:val="left" w:pos="0"/>
        </w:tabs>
        <w:spacing w:after="0" w:line="240" w:lineRule="auto"/>
        <w:ind w:firstLine="567"/>
        <w:jc w:val="both"/>
        <w:rPr>
          <w:bCs/>
          <w:sz w:val="24"/>
          <w:szCs w:val="24"/>
        </w:rPr>
      </w:pPr>
      <w:r>
        <w:rPr>
          <w:bCs/>
          <w:sz w:val="24"/>
          <w:szCs w:val="24"/>
        </w:rPr>
        <w:t>1) перенос сроков по строительству объектов по причинам необходимости доработки проектно-сметной документации, в связи с изменениями Градостроительного кодекса Российской Федерации, а также замена объектов строительства, повлекшая изменение сроков начала работ и т.д;</w:t>
      </w:r>
    </w:p>
    <w:p w:rsidR="007E27CB" w:rsidRDefault="008F141F">
      <w:pPr>
        <w:tabs>
          <w:tab w:val="left" w:pos="0"/>
        </w:tabs>
        <w:spacing w:after="0" w:line="240" w:lineRule="auto"/>
        <w:ind w:firstLine="567"/>
        <w:jc w:val="both"/>
        <w:rPr>
          <w:bCs/>
          <w:sz w:val="24"/>
          <w:szCs w:val="24"/>
        </w:rPr>
      </w:pPr>
      <w:r>
        <w:rPr>
          <w:bCs/>
          <w:sz w:val="24"/>
          <w:szCs w:val="24"/>
        </w:rPr>
        <w:t xml:space="preserve">2) экономии при реализации мероприятий. </w:t>
      </w:r>
    </w:p>
    <w:p w:rsidR="007E27CB" w:rsidRDefault="008F141F">
      <w:pPr>
        <w:tabs>
          <w:tab w:val="left" w:pos="0"/>
          <w:tab w:val="left" w:pos="4962"/>
        </w:tabs>
        <w:spacing w:after="0" w:line="240" w:lineRule="auto"/>
        <w:ind w:firstLine="567"/>
        <w:jc w:val="both"/>
        <w:rPr>
          <w:sz w:val="24"/>
          <w:szCs w:val="24"/>
        </w:rPr>
      </w:pPr>
      <w:r>
        <w:rPr>
          <w:sz w:val="24"/>
          <w:szCs w:val="24"/>
        </w:rPr>
        <w:t xml:space="preserve">Неосвоенные средства федерального бюджета 2019 года будут доведены до региона в 2020 году на завершение работ по переходящим объектам капитального строительства. </w:t>
      </w:r>
    </w:p>
    <w:p w:rsidR="007E27CB" w:rsidRDefault="007E27CB">
      <w:pPr>
        <w:pStyle w:val="a6"/>
        <w:tabs>
          <w:tab w:val="left" w:pos="0"/>
          <w:tab w:val="left" w:pos="851"/>
          <w:tab w:val="left" w:pos="993"/>
          <w:tab w:val="left" w:pos="1134"/>
          <w:tab w:val="left" w:pos="4962"/>
        </w:tabs>
        <w:spacing w:after="0" w:line="240" w:lineRule="auto"/>
        <w:ind w:left="0" w:firstLine="567"/>
        <w:jc w:val="both"/>
        <w:rPr>
          <w:rFonts w:ascii="Times New Roman" w:hAnsi="Times New Roman"/>
          <w:b/>
          <w:i/>
          <w:sz w:val="24"/>
          <w:szCs w:val="24"/>
        </w:rPr>
      </w:pPr>
    </w:p>
    <w:p w:rsidR="007E27CB" w:rsidRDefault="008F141F">
      <w:pPr>
        <w:pStyle w:val="a6"/>
        <w:tabs>
          <w:tab w:val="left" w:pos="0"/>
          <w:tab w:val="left" w:pos="851"/>
          <w:tab w:val="left" w:pos="993"/>
          <w:tab w:val="left" w:pos="1134"/>
          <w:tab w:val="left" w:pos="4962"/>
        </w:tabs>
        <w:spacing w:after="0" w:line="240" w:lineRule="auto"/>
        <w:ind w:left="0" w:firstLine="567"/>
        <w:jc w:val="both"/>
        <w:rPr>
          <w:rFonts w:ascii="Times New Roman" w:hAnsi="Times New Roman"/>
          <w:i/>
          <w:sz w:val="24"/>
          <w:szCs w:val="24"/>
        </w:rPr>
      </w:pPr>
      <w:r>
        <w:rPr>
          <w:rFonts w:ascii="Times New Roman" w:hAnsi="Times New Roman"/>
          <w:i/>
          <w:sz w:val="24"/>
          <w:szCs w:val="24"/>
        </w:rPr>
        <w:t>РАБОТА ПО СОВЕРШЕНСТВОВАНИЮ БЮДЖЕТНЫХ ПРОЦЕДУР В ЦЕЛЯХ ПОВЫШЕНИЯ ЭФФЕКТИВНОСТИ ПЛАНИРОВАНИЯ И РАСХОДОВАНИЯ СРЕДСТВ ОБЛАСТНОГО БЮДЖЕТА</w:t>
      </w:r>
    </w:p>
    <w:p w:rsidR="007E27CB" w:rsidRDefault="008F141F">
      <w:pPr>
        <w:pStyle w:val="a6"/>
        <w:tabs>
          <w:tab w:val="left" w:pos="0"/>
          <w:tab w:val="left" w:pos="851"/>
          <w:tab w:val="left" w:pos="993"/>
          <w:tab w:val="left" w:pos="1134"/>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Данная работа осуществляется по двум основным направлениям.</w:t>
      </w:r>
    </w:p>
    <w:p w:rsidR="007E27CB" w:rsidRDefault="008F141F">
      <w:pPr>
        <w:pStyle w:val="a6"/>
        <w:numPr>
          <w:ilvl w:val="2"/>
          <w:numId w:val="48"/>
        </w:numPr>
        <w:tabs>
          <w:tab w:val="left" w:pos="0"/>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совершенствование нормативной правовой базы Томской области в целях обеспечения встраивания региональных проектов в бюджетный процесс Томской области. Учитывая сжатые сроки подготовки к началу реализации национальных проектов на территории региона с 2019 года, встраивание региональных проектов в государственные программы Томской области осуществлялось в действующую структуру государственных программ, без выделения проектной части. В течение первой половины 2019 года разрабатывались принципиально новые подходы к формированию государственных программ Томской области с учетом специфики региональных проектов. Разработан новый Порядок принятия решений о разработки государственных программ Томской области, их формирования и реализации, которым существенно изменена структура государственной программы (утвержден постановлением Администрации Томской области от 05.09.2019 № 313а). Если раньше государственные программы состояли исключительно из подпрограмм, в состав которых входили основные мероприятия и ведомственные целевые программы, и обеспечивающей подпрограммы, то по новой структуре государственная программа состоит из процессной части, по-прежнему включающей в себя подпрограммы, состоящие из основных мероприятий и ведомственных целевых программ, и обеспечивающей подпрограммы, а также из проектной части, в состав которой входят региональные проекты. Руководители региональных проектов стали полноправными участниками процесса формирования и реализации государственных программ Томской области. </w:t>
      </w:r>
    </w:p>
    <w:p w:rsidR="007E27CB" w:rsidRDefault="008F141F">
      <w:pPr>
        <w:pStyle w:val="a6"/>
        <w:tabs>
          <w:tab w:val="left" w:pos="0"/>
          <w:tab w:val="left" w:pos="1134"/>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В целях полномасштабного внедрения данных подходов в соответствии с перечнем, утвержденным распоряжением Администрации Томской области от 30.04.2019 № 310-ра, в октябре 2019 года утверждена 21 новая государственная программа Томской области со сроком действия 2020 – 2024 годы и прогнозом до 2026 года. </w:t>
      </w:r>
    </w:p>
    <w:p w:rsidR="007E27CB" w:rsidRDefault="008F141F">
      <w:pPr>
        <w:pStyle w:val="a6"/>
        <w:tabs>
          <w:tab w:val="left" w:pos="0"/>
          <w:tab w:val="left" w:pos="1134"/>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Областной бюджет на 2020 год и на плановый период 2021 и 2022 годов сформирован на основе вышеуказанных новых государственных программ Томской области;</w:t>
      </w:r>
    </w:p>
    <w:p w:rsidR="007E27CB" w:rsidRDefault="008F141F">
      <w:pPr>
        <w:pStyle w:val="a6"/>
        <w:numPr>
          <w:ilvl w:val="2"/>
          <w:numId w:val="48"/>
        </w:numPr>
        <w:tabs>
          <w:tab w:val="left" w:pos="0"/>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в целях повышения эффективности деятельности исполнительных органов государственной власти Томской области, областных государственных учреждений по планированию и расходованию средств областного бюджета в апреле 2019 года доработана методика оценки качества финансового менеджмента главных распорядителей средств областного бюджета (утверждена постановлением Администрации Томской области от 07.11.2011 № 346а). Введен ряд новых показателей, таких как наличие дебиторской задолженности главных распорядителей бюджетных средств, наличие сумм, предъявленных к взысканию с Томской области либо уплаченные ГРБС в отчетном финансовом году за невыполнение показателей результативности, установленных соглашениями о предоставлении субсидий, иных межбюджетных трансфертов из федерального бюджета, качество доработки наиболее важных форм годовой бюджетной отчетности, соответствие утвержденного перечня субсидий, предоставляемых из областного бюджета областным государственным бюджетным и (или) автономным учреждениям на иные цели, требованиям, установленным постановлением Администрации Томской области от  05.06.2014 № 213а «Об утверждении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 иные цели».</w:t>
      </w:r>
    </w:p>
    <w:p w:rsidR="007E27CB" w:rsidRDefault="008F141F">
      <w:pPr>
        <w:pStyle w:val="a6"/>
        <w:tabs>
          <w:tab w:val="left" w:pos="1134"/>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Введение данных показателей призвано повысить исполнительскую дисциплину главных распорядителей бюджетных средств по данным направлениям.</w:t>
      </w:r>
    </w:p>
    <w:p w:rsidR="007E27CB" w:rsidRDefault="007E27CB">
      <w:pPr>
        <w:pStyle w:val="a6"/>
        <w:tabs>
          <w:tab w:val="left" w:pos="851"/>
          <w:tab w:val="left" w:pos="993"/>
          <w:tab w:val="left" w:pos="1134"/>
          <w:tab w:val="left" w:pos="4962"/>
        </w:tabs>
        <w:spacing w:after="0" w:line="240" w:lineRule="auto"/>
        <w:ind w:left="0" w:firstLine="567"/>
        <w:jc w:val="both"/>
        <w:rPr>
          <w:rFonts w:ascii="Times New Roman" w:eastAsiaTheme="minorHAnsi" w:hAnsi="Times New Roman"/>
          <w:sz w:val="24"/>
          <w:szCs w:val="24"/>
        </w:rPr>
      </w:pPr>
    </w:p>
    <w:p w:rsidR="007E27CB" w:rsidRDefault="008F141F">
      <w:pPr>
        <w:pStyle w:val="a6"/>
        <w:tabs>
          <w:tab w:val="left" w:pos="567"/>
          <w:tab w:val="left" w:pos="851"/>
          <w:tab w:val="left" w:pos="993"/>
          <w:tab w:val="left" w:pos="1134"/>
          <w:tab w:val="left" w:pos="4962"/>
        </w:tabs>
        <w:spacing w:after="0" w:line="240" w:lineRule="auto"/>
        <w:ind w:left="0" w:firstLine="567"/>
        <w:jc w:val="both"/>
        <w:rPr>
          <w:rFonts w:ascii="Times New Roman" w:hAnsi="Times New Roman"/>
          <w:i/>
          <w:sz w:val="24"/>
          <w:szCs w:val="24"/>
        </w:rPr>
      </w:pPr>
      <w:r>
        <w:rPr>
          <w:rFonts w:ascii="Times New Roman" w:hAnsi="Times New Roman"/>
          <w:i/>
          <w:sz w:val="24"/>
          <w:szCs w:val="24"/>
        </w:rPr>
        <w:t>РАБОТА ПО РАЗВИТИЮ ИНИЦИАТИВНОГО БЮДЖЕТИРОВАНИЯ НА ТЕРРИТОРИИ ТОМСКОЙ ОБЛАСТИ</w:t>
      </w:r>
    </w:p>
    <w:p w:rsidR="007E27CB" w:rsidRDefault="008F141F">
      <w:pPr>
        <w:pStyle w:val="a6"/>
        <w:tabs>
          <w:tab w:val="left" w:pos="851"/>
          <w:tab w:val="left" w:pos="993"/>
          <w:tab w:val="left" w:pos="1134"/>
          <w:tab w:val="left" w:pos="4962"/>
        </w:tabs>
        <w:spacing w:after="0" w:line="240" w:lineRule="auto"/>
        <w:ind w:left="0" w:firstLine="567"/>
        <w:jc w:val="both"/>
        <w:rPr>
          <w:rFonts w:ascii="Times New Roman" w:eastAsia="Times New Roman" w:hAnsi="Times New Roman"/>
          <w:sz w:val="24"/>
          <w:szCs w:val="24"/>
          <w:lang w:eastAsia="ru-RU" w:bidi="en-US"/>
        </w:rPr>
      </w:pPr>
      <w:r>
        <w:rPr>
          <w:rFonts w:ascii="Times New Roman" w:eastAsia="Times New Roman" w:hAnsi="Times New Roman"/>
          <w:sz w:val="24"/>
          <w:szCs w:val="24"/>
          <w:lang w:eastAsia="ru-RU" w:bidi="en-US"/>
        </w:rPr>
        <w:t>В 2019 году проведен второй конкурсный отбор проектов, предлагаемых непосредственно населением Томской области, по решению вопросов местного значения.</w:t>
      </w:r>
    </w:p>
    <w:p w:rsidR="007E27CB" w:rsidRDefault="008F141F">
      <w:pPr>
        <w:tabs>
          <w:tab w:val="left" w:pos="4962"/>
        </w:tabs>
        <w:spacing w:after="0" w:line="240" w:lineRule="auto"/>
        <w:ind w:firstLine="567"/>
        <w:jc w:val="both"/>
        <w:rPr>
          <w:rFonts w:eastAsia="Calibri"/>
          <w:sz w:val="24"/>
          <w:szCs w:val="24"/>
          <w:lang w:eastAsia="ru-RU"/>
        </w:rPr>
      </w:pPr>
      <w:r>
        <w:rPr>
          <w:sz w:val="24"/>
          <w:szCs w:val="24"/>
          <w:lang w:eastAsia="ru-RU"/>
        </w:rPr>
        <w:t xml:space="preserve">В 2019 году законом об областном бюджете предусмотрено финансирование проектов инициативного бюджетирования в сумме 40,2 млн. рублей (увеличено с 25 млн. рублей) для того, чтобы хотя бы одна из заявок от каждого района или городского округа, участвовавших в конкурсе, получила право на получение субсидии. </w:t>
      </w:r>
    </w:p>
    <w:p w:rsidR="007E27CB" w:rsidRDefault="008F141F">
      <w:pPr>
        <w:tabs>
          <w:tab w:val="left" w:pos="4962"/>
        </w:tabs>
        <w:spacing w:after="0" w:line="240" w:lineRule="auto"/>
        <w:ind w:firstLine="567"/>
        <w:jc w:val="both"/>
        <w:rPr>
          <w:sz w:val="24"/>
          <w:szCs w:val="24"/>
          <w:lang w:eastAsia="ru-RU"/>
        </w:rPr>
      </w:pPr>
      <w:r>
        <w:rPr>
          <w:sz w:val="24"/>
          <w:szCs w:val="24"/>
          <w:lang w:eastAsia="ru-RU"/>
        </w:rPr>
        <w:t>Реализовано 72 проекта. Создано либо благоустроено 16 детских площадок, 8 спортивных объектов, обустроено 18 мест массового отдыха (площадей, парков, скверов), создано либо отремонтировано 10 памятников (мемориалов) воинам Великой Отечественной войны, ограждено либо благоустроено 6 кладбищ, текущий ремонт проведен на 6 объектах жилищно-коммунального хозяйства, 4 дорожных объектах (включая тротуары и остановочные павильоны), проведен текущий ремонт и обустройство территории 3 муниципальных учреждений и другие.</w:t>
      </w:r>
    </w:p>
    <w:p w:rsidR="007E27CB" w:rsidRDefault="008F141F">
      <w:pPr>
        <w:tabs>
          <w:tab w:val="left" w:pos="4962"/>
        </w:tabs>
        <w:spacing w:after="0" w:line="240" w:lineRule="auto"/>
        <w:ind w:firstLine="567"/>
        <w:jc w:val="both"/>
        <w:rPr>
          <w:sz w:val="24"/>
          <w:szCs w:val="24"/>
          <w:lang w:eastAsia="ru-RU"/>
        </w:rPr>
      </w:pPr>
      <w:r>
        <w:rPr>
          <w:sz w:val="24"/>
          <w:szCs w:val="24"/>
          <w:lang w:eastAsia="ru-RU"/>
        </w:rPr>
        <w:t>По факту выполненных работ общий объем финансирования проектов составил около 54 млн. рублей, из них 39,4 млн. рублей за счет средств областного бюджета, 8,4 млн. рублей за счет средств местных бюджетов, 6,1 млн. рублей за счет внебюджетных источников. В конце 2019 года стартовал прием заявок на 2020 год.</w:t>
      </w:r>
    </w:p>
    <w:p w:rsidR="007E27CB" w:rsidRDefault="007E27CB">
      <w:pPr>
        <w:tabs>
          <w:tab w:val="left" w:pos="4962"/>
        </w:tabs>
        <w:spacing w:after="0" w:line="240" w:lineRule="auto"/>
        <w:ind w:firstLine="567"/>
        <w:jc w:val="both"/>
        <w:rPr>
          <w:b/>
          <w:sz w:val="24"/>
          <w:szCs w:val="24"/>
        </w:rPr>
      </w:pPr>
    </w:p>
    <w:p w:rsidR="007E27CB" w:rsidRDefault="008F141F">
      <w:pPr>
        <w:tabs>
          <w:tab w:val="left" w:pos="0"/>
        </w:tabs>
        <w:spacing w:after="0" w:line="240" w:lineRule="auto"/>
        <w:ind w:firstLine="567"/>
        <w:jc w:val="both"/>
        <w:rPr>
          <w:b/>
          <w:sz w:val="24"/>
          <w:szCs w:val="24"/>
        </w:rPr>
      </w:pPr>
      <w:r>
        <w:rPr>
          <w:b/>
          <w:sz w:val="24"/>
          <w:szCs w:val="24"/>
        </w:rPr>
        <w:t xml:space="preserve">СОВЕРШЕНСТВОВАНИЕ СИСТЕМЫ ГОСУДАРСТВЕННЫХ ЗАКУПОК </w:t>
      </w:r>
    </w:p>
    <w:p w:rsidR="007E27CB" w:rsidRDefault="007E27CB">
      <w:pPr>
        <w:tabs>
          <w:tab w:val="left" w:pos="4962"/>
        </w:tabs>
        <w:spacing w:after="0" w:line="240" w:lineRule="auto"/>
        <w:ind w:firstLine="567"/>
        <w:jc w:val="both"/>
        <w:rPr>
          <w:sz w:val="24"/>
          <w:szCs w:val="24"/>
        </w:rPr>
      </w:pPr>
    </w:p>
    <w:p w:rsidR="007E27CB" w:rsidRDefault="008F141F">
      <w:pPr>
        <w:pStyle w:val="Default"/>
        <w:tabs>
          <w:tab w:val="left" w:pos="4962"/>
        </w:tabs>
        <w:ind w:firstLine="567"/>
        <w:jc w:val="both"/>
      </w:pPr>
      <w:r>
        <w:t xml:space="preserve">В рамках задачи по совершенствованию системы государственных закупок в Томской области в 2019 году расширен перечень случаев, при которых закупки осуществляются централизованно. </w:t>
      </w:r>
    </w:p>
    <w:p w:rsidR="007E27CB" w:rsidRDefault="008F141F">
      <w:pPr>
        <w:pStyle w:val="Default"/>
        <w:tabs>
          <w:tab w:val="left" w:pos="4962"/>
        </w:tabs>
        <w:ind w:firstLine="567"/>
        <w:jc w:val="both"/>
      </w:pPr>
      <w:r>
        <w:t xml:space="preserve">В целях централизации закупок на приобретение жилых помещений для детей -сирот в отчетном периоде заключено 83 соглашения с муниципальными образованиями Томской области, в рамках которых проведено 274 закупки на общую сумму 241,1 млн. рублей, экономия составила 2 млн. рублей. </w:t>
      </w:r>
    </w:p>
    <w:p w:rsidR="007E27CB" w:rsidRDefault="008F141F">
      <w:pPr>
        <w:pStyle w:val="Default"/>
        <w:tabs>
          <w:tab w:val="left" w:pos="4962"/>
        </w:tabs>
        <w:ind w:firstLine="567"/>
        <w:jc w:val="both"/>
      </w:pPr>
      <w:r>
        <w:t xml:space="preserve">С Администрацией Томского района заключено соглашение о передаче полномочий на определение подрядчиков по закупкам на выполнение работ по строительству, реконструкции, капитальному ремонту объекта капитального строительства с начальной (максимальной) ценой контракта свыше 10 млн. рублей. Всего по состоянию на 31.12.2019 соглашения заключены с 17 муниципальными образованиями. </w:t>
      </w:r>
    </w:p>
    <w:p w:rsidR="007E27CB" w:rsidRDefault="008F141F">
      <w:pPr>
        <w:pStyle w:val="Default"/>
        <w:tabs>
          <w:tab w:val="left" w:pos="4962"/>
        </w:tabs>
        <w:ind w:firstLine="567"/>
        <w:jc w:val="both"/>
        <w:rPr>
          <w:color w:val="auto"/>
        </w:rPr>
      </w:pPr>
      <w:r>
        <w:t xml:space="preserve">В рамках заключенных соглашений проведено 18 закупок (Александровский район, Асиновский район, Молчановский район, Колпашевский район (2 закупки), Верхнекетский район, Чаинский район, Зырянский район, Томский район, Шегарский район (2 закупки), Кривошеинский район (2 закупки), Первомайский район (2 закупки), Кожевниковский район (3 закупки)) на общую сумму 1 881,6 млн. рублей, экономия составила 88,3 млн. рублей. По результатам закупок заключены </w:t>
      </w:r>
      <w:r>
        <w:rPr>
          <w:color w:val="auto"/>
        </w:rPr>
        <w:t xml:space="preserve">контракты для выполнения работ на социально значимых объектах (газоснабжение, водопровод, стадион, школы, детские сады). </w:t>
      </w:r>
    </w:p>
    <w:p w:rsidR="007E27CB" w:rsidRDefault="008F141F">
      <w:pPr>
        <w:pStyle w:val="Default"/>
        <w:tabs>
          <w:tab w:val="left" w:pos="4962"/>
        </w:tabs>
        <w:ind w:firstLine="567"/>
        <w:jc w:val="both"/>
        <w:rPr>
          <w:color w:val="auto"/>
        </w:rPr>
      </w:pPr>
      <w:r>
        <w:rPr>
          <w:color w:val="auto"/>
        </w:rPr>
        <w:t xml:space="preserve">С Администрацией города Кедрового подписано соглашение о передаче полномочий на определение подрядчика на выполнение работ по благоустройству единого общественного пространства «Экокедр» в муниципальном образовании «Город Кедровый» Томской области, в рамках которого проведена закупка на сумму 48,2 млн. рублей, экономия составила 4,8 млн. рублей. </w:t>
      </w:r>
    </w:p>
    <w:p w:rsidR="007E27CB" w:rsidRDefault="008F141F">
      <w:pPr>
        <w:pStyle w:val="Default"/>
        <w:tabs>
          <w:tab w:val="left" w:pos="4962"/>
        </w:tabs>
        <w:ind w:firstLine="567"/>
        <w:jc w:val="both"/>
        <w:rPr>
          <w:color w:val="auto"/>
        </w:rPr>
      </w:pPr>
      <w:r>
        <w:rPr>
          <w:color w:val="auto"/>
        </w:rPr>
        <w:t xml:space="preserve">Переведены в электронную форму закупки товаров, работ, услуг, осуществляемые у единственного поставщика (подрядчика, исполнителя). </w:t>
      </w:r>
    </w:p>
    <w:p w:rsidR="007E27CB" w:rsidRDefault="008F141F">
      <w:pPr>
        <w:pStyle w:val="Default"/>
        <w:tabs>
          <w:tab w:val="left" w:pos="4962"/>
        </w:tabs>
        <w:ind w:firstLine="567"/>
        <w:jc w:val="both"/>
        <w:rPr>
          <w:color w:val="auto"/>
        </w:rPr>
      </w:pPr>
      <w:r>
        <w:rPr>
          <w:color w:val="auto"/>
        </w:rPr>
        <w:t xml:space="preserve">Проведен отбор электронной площадки для автоматизации закупок «малого объема». Подписано соглашение с ООО «РТС-тендер» о взаимодействии при автоматизации таких закупок. </w:t>
      </w:r>
    </w:p>
    <w:p w:rsidR="007E27CB" w:rsidRDefault="008F141F">
      <w:pPr>
        <w:pStyle w:val="Default"/>
        <w:tabs>
          <w:tab w:val="left" w:pos="4962"/>
        </w:tabs>
        <w:ind w:firstLine="567"/>
        <w:jc w:val="both"/>
        <w:rPr>
          <w:color w:val="auto"/>
        </w:rPr>
      </w:pPr>
      <w:r>
        <w:rPr>
          <w:color w:val="auto"/>
        </w:rPr>
        <w:t>Утвержден Порядок осуществления закупок товаров, работ, услуг у единственного поставщика (подрядчика, исполнителя) с использованием электронной площадки.</w:t>
      </w:r>
    </w:p>
    <w:p w:rsidR="007E27CB" w:rsidRDefault="008F141F">
      <w:pPr>
        <w:pStyle w:val="Default"/>
        <w:tabs>
          <w:tab w:val="left" w:pos="4962"/>
        </w:tabs>
        <w:ind w:firstLine="567"/>
        <w:jc w:val="both"/>
        <w:rPr>
          <w:color w:val="auto"/>
        </w:rPr>
      </w:pPr>
      <w:r>
        <w:rPr>
          <w:color w:val="auto"/>
        </w:rPr>
        <w:t xml:space="preserve">В 2019 году в Электронном магазине Томской области заказчиками проведено 2 829 закупок на общую сумму 193,97 млн. рублей, экономия по результатам закупок составила около 12 млн. рублей (9%). </w:t>
      </w:r>
    </w:p>
    <w:p w:rsidR="007E27CB" w:rsidRDefault="007E27CB">
      <w:pPr>
        <w:pStyle w:val="Default"/>
        <w:tabs>
          <w:tab w:val="left" w:pos="4962"/>
        </w:tabs>
        <w:ind w:firstLine="567"/>
        <w:jc w:val="both"/>
        <w:rPr>
          <w:color w:val="auto"/>
        </w:rPr>
      </w:pPr>
    </w:p>
    <w:p w:rsidR="007E27CB" w:rsidRDefault="008F141F">
      <w:pPr>
        <w:shd w:val="clear" w:color="auto" w:fill="F2F2F2" w:themeFill="background1" w:themeFillShade="F2"/>
        <w:tabs>
          <w:tab w:val="left" w:pos="4962"/>
        </w:tabs>
        <w:autoSpaceDE w:val="0"/>
        <w:autoSpaceDN w:val="0"/>
        <w:adjustRightInd w:val="0"/>
        <w:spacing w:after="0" w:line="240" w:lineRule="auto"/>
        <w:jc w:val="both"/>
        <w:rPr>
          <w:b/>
          <w:sz w:val="24"/>
          <w:szCs w:val="24"/>
        </w:rPr>
      </w:pPr>
      <w:r>
        <w:rPr>
          <w:b/>
          <w:sz w:val="24"/>
          <w:szCs w:val="24"/>
        </w:rPr>
        <w:t>Перспективные задачи</w:t>
      </w:r>
    </w:p>
    <w:p w:rsidR="007E27CB" w:rsidRDefault="007E27CB">
      <w:pPr>
        <w:pStyle w:val="a6"/>
        <w:tabs>
          <w:tab w:val="left" w:pos="284"/>
          <w:tab w:val="left" w:pos="4962"/>
        </w:tabs>
        <w:autoSpaceDE w:val="0"/>
        <w:autoSpaceDN w:val="0"/>
        <w:adjustRightInd w:val="0"/>
        <w:spacing w:after="0" w:line="240" w:lineRule="auto"/>
        <w:ind w:left="0"/>
        <w:jc w:val="both"/>
        <w:rPr>
          <w:rFonts w:ascii="Times New Roman" w:eastAsiaTheme="minorHAnsi" w:hAnsi="Times New Roman"/>
          <w:sz w:val="24"/>
          <w:szCs w:val="24"/>
        </w:rPr>
      </w:pPr>
    </w:p>
    <w:p w:rsidR="007E27CB" w:rsidRDefault="008F141F">
      <w:pPr>
        <w:pStyle w:val="a6"/>
        <w:numPr>
          <w:ilvl w:val="0"/>
          <w:numId w:val="6"/>
        </w:numPr>
        <w:tabs>
          <w:tab w:val="left" w:pos="142"/>
          <w:tab w:val="left" w:pos="284"/>
        </w:tabs>
        <w:autoSpaceDE w:val="0"/>
        <w:autoSpaceDN w:val="0"/>
        <w:adjustRightInd w:val="0"/>
        <w:spacing w:after="0" w:line="240" w:lineRule="auto"/>
        <w:ind w:left="0" w:firstLine="0"/>
        <w:jc w:val="both"/>
        <w:rPr>
          <w:rFonts w:ascii="Times New Roman" w:eastAsia="Times New Roman" w:hAnsi="Times New Roman"/>
          <w:sz w:val="24"/>
          <w:szCs w:val="24"/>
          <w:lang w:eastAsia="ru-RU" w:bidi="en-US"/>
        </w:rPr>
      </w:pPr>
      <w:r>
        <w:rPr>
          <w:rFonts w:ascii="Times New Roman" w:eastAsia="Times New Roman" w:hAnsi="Times New Roman"/>
          <w:sz w:val="24"/>
          <w:szCs w:val="24"/>
          <w:lang w:eastAsia="ru-RU" w:bidi="en-US"/>
        </w:rPr>
        <w:t>Продолжение участия Томской области в реализации национальных проектов в  рамках Указа Президента Российской Федерации от 07.05.2018 № 204 «О национальных целях и стратегических задачах развития Российской Федерации на период до 2024 года».</w:t>
      </w:r>
    </w:p>
    <w:p w:rsidR="007E27CB" w:rsidRDefault="008F141F">
      <w:pPr>
        <w:pStyle w:val="a6"/>
        <w:numPr>
          <w:ilvl w:val="0"/>
          <w:numId w:val="6"/>
        </w:numPr>
        <w:tabs>
          <w:tab w:val="left" w:pos="142"/>
          <w:tab w:val="left" w:pos="284"/>
          <w:tab w:val="left" w:pos="851"/>
          <w:tab w:val="left" w:pos="1134"/>
        </w:tabs>
        <w:spacing w:after="0" w:line="240" w:lineRule="auto"/>
        <w:ind w:left="0" w:firstLine="0"/>
        <w:jc w:val="both"/>
        <w:rPr>
          <w:rFonts w:ascii="Times New Roman" w:eastAsia="Times New Roman" w:hAnsi="Times New Roman"/>
          <w:sz w:val="24"/>
          <w:szCs w:val="24"/>
          <w:lang w:eastAsia="ru-RU" w:bidi="en-US"/>
        </w:rPr>
      </w:pPr>
      <w:r>
        <w:rPr>
          <w:rFonts w:ascii="Times New Roman" w:eastAsia="Times New Roman" w:hAnsi="Times New Roman"/>
          <w:sz w:val="24"/>
          <w:szCs w:val="24"/>
          <w:lang w:eastAsia="ru-RU" w:bidi="en-US"/>
        </w:rPr>
        <w:t>Совершенствование методов и механизмов оценки эффективности бюджетных расходов и повышения качества бюджетного процесса.</w:t>
      </w:r>
    </w:p>
    <w:p w:rsidR="007E27CB" w:rsidRDefault="008F141F">
      <w:pPr>
        <w:pStyle w:val="a6"/>
        <w:numPr>
          <w:ilvl w:val="0"/>
          <w:numId w:val="6"/>
        </w:numPr>
        <w:tabs>
          <w:tab w:val="left" w:pos="142"/>
          <w:tab w:val="left" w:pos="284"/>
          <w:tab w:val="left" w:pos="851"/>
          <w:tab w:val="left" w:pos="1134"/>
        </w:tabs>
        <w:spacing w:after="0" w:line="240" w:lineRule="auto"/>
        <w:ind w:left="0" w:firstLine="0"/>
        <w:jc w:val="both"/>
        <w:rPr>
          <w:rFonts w:ascii="Times New Roman" w:eastAsia="Times New Roman" w:hAnsi="Times New Roman"/>
          <w:sz w:val="24"/>
          <w:szCs w:val="24"/>
          <w:lang w:eastAsia="ru-RU" w:bidi="en-US"/>
        </w:rPr>
      </w:pPr>
      <w:r>
        <w:rPr>
          <w:rFonts w:ascii="Times New Roman" w:eastAsia="Times New Roman" w:hAnsi="Times New Roman"/>
          <w:sz w:val="24"/>
          <w:szCs w:val="24"/>
          <w:lang w:eastAsia="ru-RU" w:bidi="en-US"/>
        </w:rPr>
        <w:t>Реализация новых требований бюджетного законодательства в части совершенствования межбюджетных отношений.</w:t>
      </w:r>
    </w:p>
    <w:p w:rsidR="007E27CB" w:rsidRDefault="008F141F">
      <w:pPr>
        <w:pStyle w:val="a6"/>
        <w:numPr>
          <w:ilvl w:val="0"/>
          <w:numId w:val="6"/>
        </w:numPr>
        <w:tabs>
          <w:tab w:val="left" w:pos="284"/>
          <w:tab w:val="left" w:pos="4962"/>
        </w:tabs>
        <w:autoSpaceDE w:val="0"/>
        <w:autoSpaceDN w:val="0"/>
        <w:adjustRightInd w:val="0"/>
        <w:spacing w:after="0" w:line="240" w:lineRule="auto"/>
        <w:ind w:left="0" w:firstLine="0"/>
        <w:jc w:val="both"/>
        <w:rPr>
          <w:rFonts w:ascii="Times New Roman" w:eastAsiaTheme="minorHAnsi" w:hAnsi="Times New Roman"/>
          <w:sz w:val="24"/>
          <w:szCs w:val="24"/>
        </w:rPr>
      </w:pPr>
      <w:r>
        <w:rPr>
          <w:rFonts w:ascii="Times New Roman" w:eastAsiaTheme="minorHAnsi" w:hAnsi="Times New Roman"/>
          <w:sz w:val="24"/>
          <w:szCs w:val="24"/>
        </w:rPr>
        <w:t xml:space="preserve">Совершенствование системы государственных закупок в Томской области, в том числе при выполнении национальных проектов, реализация масштабных изменений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w:t>
      </w:r>
      <w:r>
        <w:rPr>
          <w:rFonts w:ascii="Times New Roman" w:hAnsi="Times New Roman"/>
          <w:sz w:val="24"/>
          <w:szCs w:val="24"/>
        </w:rPr>
        <w:t>в части порядка проведения закупочных процедур.</w:t>
      </w:r>
    </w:p>
    <w:p w:rsidR="007E27CB" w:rsidRDefault="007E27CB">
      <w:pPr>
        <w:tabs>
          <w:tab w:val="left" w:pos="993"/>
          <w:tab w:val="left" w:pos="4962"/>
        </w:tabs>
        <w:spacing w:after="0" w:line="240" w:lineRule="auto"/>
        <w:jc w:val="both"/>
        <w:rPr>
          <w:rFonts w:eastAsia="Times New Roman"/>
          <w:sz w:val="24"/>
          <w:szCs w:val="24"/>
        </w:rPr>
      </w:pPr>
    </w:p>
    <w:p w:rsidR="007E27CB" w:rsidRDefault="008F141F">
      <w:pPr>
        <w:tabs>
          <w:tab w:val="left" w:pos="4962"/>
        </w:tabs>
        <w:spacing w:after="0" w:line="240" w:lineRule="auto"/>
        <w:ind w:left="567" w:hanging="567"/>
        <w:rPr>
          <w:rFonts w:eastAsia="Times New Roman"/>
          <w:b/>
          <w:sz w:val="24"/>
          <w:szCs w:val="24"/>
        </w:rPr>
      </w:pPr>
      <w:r>
        <w:rPr>
          <w:rFonts w:eastAsia="Times New Roman"/>
          <w:b/>
          <w:sz w:val="24"/>
          <w:szCs w:val="24"/>
        </w:rPr>
        <w:t>5.3. </w:t>
      </w:r>
      <w:r>
        <w:rPr>
          <w:rFonts w:eastAsia="Times New Roman"/>
          <w:b/>
          <w:sz w:val="24"/>
          <w:szCs w:val="24"/>
          <w:shd w:val="clear" w:color="auto" w:fill="FFFFFF" w:themeFill="background1"/>
        </w:rPr>
        <w:t>Повышение эффективности управления государственным имуществом</w:t>
      </w:r>
    </w:p>
    <w:p w:rsidR="007E27CB" w:rsidRDefault="007E27CB">
      <w:pPr>
        <w:tabs>
          <w:tab w:val="left" w:pos="4962"/>
        </w:tabs>
        <w:autoSpaceDE w:val="0"/>
        <w:autoSpaceDN w:val="0"/>
        <w:adjustRightInd w:val="0"/>
        <w:spacing w:after="0" w:line="240" w:lineRule="auto"/>
        <w:ind w:firstLine="567"/>
        <w:jc w:val="both"/>
        <w:rPr>
          <w:sz w:val="24"/>
          <w:szCs w:val="24"/>
        </w:rPr>
      </w:pPr>
    </w:p>
    <w:p w:rsidR="007E27CB" w:rsidRDefault="008F141F">
      <w:pPr>
        <w:pStyle w:val="11"/>
        <w:tabs>
          <w:tab w:val="left" w:pos="4962"/>
        </w:tabs>
        <w:rPr>
          <w:sz w:val="24"/>
          <w:szCs w:val="24"/>
        </w:rPr>
      </w:pPr>
      <w:r>
        <w:rPr>
          <w:sz w:val="24"/>
          <w:szCs w:val="24"/>
        </w:rPr>
        <w:t>Во исполнение Концепции управления государственной собственностью Томской области на период до 2020 года в 2019 году осуществлялся комплекс мероприятий, направленных на повышение эффективности управления государственным имуществом на территории Томской области.</w:t>
      </w:r>
    </w:p>
    <w:p w:rsidR="007E27CB" w:rsidRDefault="008F141F">
      <w:pPr>
        <w:pStyle w:val="11"/>
        <w:tabs>
          <w:tab w:val="left" w:pos="4962"/>
        </w:tabs>
        <w:rPr>
          <w:sz w:val="24"/>
          <w:szCs w:val="24"/>
        </w:rPr>
      </w:pPr>
      <w:r>
        <w:rPr>
          <w:sz w:val="24"/>
          <w:szCs w:val="24"/>
        </w:rPr>
        <w:t>В целях пополнения доходной части бюджета Томской области в 2019 году обеспечены поступления в бюджет Томской области доходов от использования и реализации принадлежащего Томской области имущества в сумме 89 396,9 тыс. рублей (171,3% к доходам 2018 года, которые составили 52 196,5 тыс. рублей), в том числе:</w:t>
      </w:r>
    </w:p>
    <w:p w:rsidR="007E27CB" w:rsidRDefault="008F141F">
      <w:pPr>
        <w:pStyle w:val="11"/>
        <w:numPr>
          <w:ilvl w:val="0"/>
          <w:numId w:val="192"/>
        </w:numPr>
        <w:tabs>
          <w:tab w:val="left" w:pos="851"/>
          <w:tab w:val="left" w:pos="4962"/>
        </w:tabs>
        <w:ind w:left="0" w:firstLine="567"/>
        <w:rPr>
          <w:sz w:val="24"/>
          <w:szCs w:val="24"/>
        </w:rPr>
      </w:pPr>
      <w:r>
        <w:rPr>
          <w:sz w:val="24"/>
          <w:szCs w:val="24"/>
        </w:rPr>
        <w:t>доходы от сдачи в аренду государственного имущества Томской области, составляющего казну субъекта Российской Федерации (за исключением земельных участков), и от сдачи государственного имущества Томской области, находящегося в оперативном управлении органов государственной власти субъектов Российской Федерации и созданных ими учреждений (за исключением имущества бюджетных и автономных учреждений субъектов Российской Федерации), составили 18 442,9 тыс. рублей;</w:t>
      </w:r>
    </w:p>
    <w:p w:rsidR="007E27CB" w:rsidRDefault="008F141F">
      <w:pPr>
        <w:pStyle w:val="11"/>
        <w:numPr>
          <w:ilvl w:val="0"/>
          <w:numId w:val="192"/>
        </w:numPr>
        <w:tabs>
          <w:tab w:val="left" w:pos="851"/>
          <w:tab w:val="left" w:pos="4962"/>
        </w:tabs>
        <w:ind w:left="0" w:firstLine="567"/>
        <w:rPr>
          <w:sz w:val="24"/>
          <w:szCs w:val="24"/>
        </w:rPr>
      </w:pPr>
      <w:r>
        <w:rPr>
          <w:sz w:val="24"/>
          <w:szCs w:val="24"/>
        </w:rPr>
        <w:t>доходы, получаемые в виде арендной платы за земельные участки, находящиеся в государственной собственности Томской области, составили 11 150,9 тыс. рублей;</w:t>
      </w:r>
    </w:p>
    <w:p w:rsidR="007E27CB" w:rsidRDefault="008F141F">
      <w:pPr>
        <w:pStyle w:val="11"/>
        <w:numPr>
          <w:ilvl w:val="0"/>
          <w:numId w:val="192"/>
        </w:numPr>
        <w:tabs>
          <w:tab w:val="left" w:pos="851"/>
          <w:tab w:val="left" w:pos="4962"/>
        </w:tabs>
        <w:ind w:left="0" w:firstLine="567"/>
        <w:rPr>
          <w:sz w:val="24"/>
          <w:szCs w:val="24"/>
        </w:rPr>
      </w:pPr>
      <w:r>
        <w:rPr>
          <w:sz w:val="24"/>
          <w:szCs w:val="24"/>
        </w:rPr>
        <w:t xml:space="preserve">доходы в виде прибыли, приходящейся на доли в уставных (складочных) капиталах хозяйственных обществ, или дивидендов по акциям, находящимся в собственности Томской области, </w:t>
      </w:r>
      <w:r>
        <w:rPr>
          <w:rFonts w:eastAsia="Calibri"/>
          <w:sz w:val="24"/>
          <w:szCs w:val="24"/>
        </w:rPr>
        <w:t xml:space="preserve">составили 11 315,5 тыс. </w:t>
      </w:r>
      <w:r>
        <w:rPr>
          <w:sz w:val="24"/>
          <w:szCs w:val="24"/>
        </w:rPr>
        <w:t>рублей;</w:t>
      </w:r>
    </w:p>
    <w:p w:rsidR="007E27CB" w:rsidRDefault="008F141F">
      <w:pPr>
        <w:pStyle w:val="11"/>
        <w:numPr>
          <w:ilvl w:val="0"/>
          <w:numId w:val="192"/>
        </w:numPr>
        <w:tabs>
          <w:tab w:val="left" w:pos="851"/>
          <w:tab w:val="left" w:pos="4962"/>
        </w:tabs>
        <w:ind w:left="0" w:firstLine="567"/>
        <w:rPr>
          <w:sz w:val="24"/>
          <w:szCs w:val="24"/>
        </w:rPr>
      </w:pPr>
      <w:r>
        <w:rPr>
          <w:sz w:val="24"/>
          <w:szCs w:val="24"/>
        </w:rPr>
        <w:t>доходы от перечисления части прибыли, остающейся после уплаты налогов и иных обязательных платежей государственных унитарных предприятий Томской области, составили 25 384,1 тыс. рублей;</w:t>
      </w:r>
    </w:p>
    <w:p w:rsidR="007E27CB" w:rsidRDefault="008F141F">
      <w:pPr>
        <w:pStyle w:val="11"/>
        <w:numPr>
          <w:ilvl w:val="0"/>
          <w:numId w:val="192"/>
        </w:numPr>
        <w:tabs>
          <w:tab w:val="left" w:pos="851"/>
          <w:tab w:val="left" w:pos="4962"/>
        </w:tabs>
        <w:ind w:left="0" w:firstLine="567"/>
        <w:rPr>
          <w:sz w:val="24"/>
          <w:szCs w:val="24"/>
        </w:rPr>
      </w:pPr>
      <w:r>
        <w:rPr>
          <w:sz w:val="24"/>
          <w:szCs w:val="24"/>
        </w:rPr>
        <w:t>доходы от реализации государственного имущества Томской области составили 20 838,2 тыс. рублей, в том числе от продажи земельных участков – 9 969,0 тыс. рублей.</w:t>
      </w:r>
    </w:p>
    <w:p w:rsidR="007E27CB" w:rsidRDefault="008F141F">
      <w:pPr>
        <w:pStyle w:val="11"/>
        <w:tabs>
          <w:tab w:val="left" w:pos="4962"/>
        </w:tabs>
        <w:rPr>
          <w:sz w:val="24"/>
          <w:szCs w:val="24"/>
        </w:rPr>
      </w:pPr>
      <w:r>
        <w:rPr>
          <w:sz w:val="24"/>
          <w:szCs w:val="24"/>
        </w:rPr>
        <w:t>Количество земельных участков, находящихся в государственной собственности Томской области, за 2019 год увеличилось на 105 участков и составило 1 544 земельных участка. В отчетном году были проведены кадастровые работы, в результате которых обеспечена постановка на государственный кадастровый учет 27 земельных участков, а также осуществлена оценка рыночной стоимости арендной платы 95 земельных участков, находящихся в государственной собственности Томской области. Кроме того, поставлены на кадастровый учёт границы особой экономической зоны технико-внедренческого типа «Томск».</w:t>
      </w:r>
    </w:p>
    <w:p w:rsidR="007E27CB" w:rsidRDefault="008F141F">
      <w:pPr>
        <w:pStyle w:val="11"/>
        <w:tabs>
          <w:tab w:val="left" w:pos="4962"/>
        </w:tabs>
        <w:rPr>
          <w:sz w:val="24"/>
          <w:szCs w:val="24"/>
        </w:rPr>
      </w:pPr>
      <w:r>
        <w:rPr>
          <w:sz w:val="24"/>
          <w:szCs w:val="24"/>
        </w:rPr>
        <w:t>В отчетном году продолжена работа по формированию Перечня объектов недвижимого имущества, в отношении которых налоговая база в целях обложения налогом на имущество определяется исходя из кадастровой стоимости (в соответствии со ст. 378.2 Налогового кодекса Российской Федерации). Включение объектов в Перечень способствует получению дополнительных доходов в бюджет Томской области. На 2019 год количество объектов в Перечне составило 2 086, что по сравнению с 2018 годом больше на 1 437 объектов.</w:t>
      </w:r>
    </w:p>
    <w:p w:rsidR="007E27CB" w:rsidRDefault="008F141F">
      <w:pPr>
        <w:pStyle w:val="11"/>
        <w:tabs>
          <w:tab w:val="left" w:pos="4962"/>
        </w:tabs>
        <w:rPr>
          <w:sz w:val="24"/>
          <w:szCs w:val="24"/>
        </w:rPr>
      </w:pPr>
      <w:r>
        <w:rPr>
          <w:sz w:val="24"/>
          <w:szCs w:val="24"/>
        </w:rPr>
        <w:t>Во исполнение прогнозного плана (программы) приватизации государственного имущества Томской области осуществлена продажа трех имущественных комплексов, расположенных в г. Томске по ул. Мичурина, 110, в с. Каргасок по ул. Кирова, 104 и в      с. Тызырачево Шегарского района по ул. Мост, двух нежилых помещений в г. Томске по ул. Дзержинского, 49 и двух автомобилей.</w:t>
      </w:r>
    </w:p>
    <w:p w:rsidR="007E27CB" w:rsidRDefault="008F141F">
      <w:pPr>
        <w:pStyle w:val="11"/>
        <w:tabs>
          <w:tab w:val="left" w:pos="4962"/>
        </w:tabs>
        <w:rPr>
          <w:sz w:val="24"/>
          <w:szCs w:val="24"/>
        </w:rPr>
      </w:pPr>
      <w:r>
        <w:rPr>
          <w:sz w:val="24"/>
          <w:szCs w:val="24"/>
        </w:rPr>
        <w:t xml:space="preserve">С целью обеспечения контроля за соблюдением требований эффективного использования и сохранности государственного имущества Томской области в 2019 году проведены проверки в отношении 305 объектов недвижимого имущества и 90 объектов движимого имущества (116% от плана). </w:t>
      </w:r>
    </w:p>
    <w:p w:rsidR="007E27CB" w:rsidRDefault="008F141F">
      <w:pPr>
        <w:pStyle w:val="11"/>
        <w:tabs>
          <w:tab w:val="left" w:pos="4962"/>
        </w:tabs>
        <w:rPr>
          <w:sz w:val="24"/>
          <w:szCs w:val="24"/>
        </w:rPr>
      </w:pPr>
      <w:r>
        <w:rPr>
          <w:sz w:val="24"/>
          <w:szCs w:val="24"/>
        </w:rPr>
        <w:t>В 2019 году в государственную собственность Томской области от Российской Федерации передано следующее имущество:</w:t>
      </w:r>
    </w:p>
    <w:p w:rsidR="007E27CB" w:rsidRDefault="008F141F">
      <w:pPr>
        <w:pStyle w:val="a6"/>
        <w:numPr>
          <w:ilvl w:val="0"/>
          <w:numId w:val="138"/>
        </w:numPr>
        <w:tabs>
          <w:tab w:val="left" w:pos="851"/>
        </w:tabs>
        <w:spacing w:after="0" w:line="240" w:lineRule="auto"/>
        <w:ind w:left="0"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помещение, расположенное по адресу: Томская область, г.</w:t>
      </w:r>
      <w:r>
        <w:rPr>
          <w:sz w:val="24"/>
          <w:szCs w:val="24"/>
        </w:rPr>
        <w:t> </w:t>
      </w:r>
      <w:r>
        <w:rPr>
          <w:rFonts w:ascii="Times New Roman" w:eastAsia="Times New Roman" w:hAnsi="Times New Roman"/>
          <w:sz w:val="24"/>
          <w:szCs w:val="24"/>
          <w:lang w:eastAsia="ru-RU"/>
        </w:rPr>
        <w:t>Томск,                       пер. Нахановича, д. 3а, пом. 21, для дальнейшего использования Департаментом архитектуры и строительства Томской области;</w:t>
      </w:r>
    </w:p>
    <w:p w:rsidR="007E27CB" w:rsidRDefault="008F141F">
      <w:pPr>
        <w:pStyle w:val="a6"/>
        <w:numPr>
          <w:ilvl w:val="0"/>
          <w:numId w:val="138"/>
        </w:numPr>
        <w:tabs>
          <w:tab w:val="left" w:pos="851"/>
        </w:tabs>
        <w:spacing w:after="0" w:line="240" w:lineRule="auto"/>
        <w:ind w:left="0"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два нежилых здания, расположенных по адресу: Томская область, г. Томск,        ул. Максима Горького, д. 35 (</w:t>
      </w:r>
      <w:r>
        <w:rPr>
          <w:rFonts w:ascii="Times New Roman" w:hAnsi="Times New Roman"/>
          <w:sz w:val="24"/>
          <w:szCs w:val="24"/>
        </w:rPr>
        <w:t>объект культурного наследия федерального значения)</w:t>
      </w:r>
      <w:r>
        <w:rPr>
          <w:rFonts w:ascii="Times New Roman" w:eastAsia="Times New Roman" w:hAnsi="Times New Roman"/>
          <w:sz w:val="24"/>
          <w:szCs w:val="24"/>
          <w:lang w:eastAsia="ru-RU"/>
        </w:rPr>
        <w:t xml:space="preserve"> и д. 35 строение 1, для дальнейшего использования ОГАУК «Центр татарской культуры»;</w:t>
      </w:r>
    </w:p>
    <w:p w:rsidR="007E27CB" w:rsidRDefault="008F141F">
      <w:pPr>
        <w:pStyle w:val="a6"/>
        <w:numPr>
          <w:ilvl w:val="0"/>
          <w:numId w:val="138"/>
        </w:numPr>
        <w:tabs>
          <w:tab w:val="left" w:pos="851"/>
        </w:tabs>
        <w:spacing w:after="0" w:line="240" w:lineRule="auto"/>
        <w:ind w:left="0" w:firstLine="567"/>
        <w:jc w:val="both"/>
        <w:rPr>
          <w:rFonts w:ascii="Times New Roman" w:eastAsia="Times New Roman" w:hAnsi="Times New Roman"/>
          <w:sz w:val="24"/>
          <w:szCs w:val="24"/>
          <w:lang w:eastAsia="ru-RU"/>
        </w:rPr>
      </w:pPr>
      <w:r>
        <w:rPr>
          <w:rFonts w:ascii="Times New Roman" w:hAnsi="Times New Roman"/>
          <w:sz w:val="24"/>
          <w:szCs w:val="24"/>
        </w:rPr>
        <w:t>объект культурного наследия федерального значения</w:t>
      </w:r>
      <w:r>
        <w:rPr>
          <w:rFonts w:ascii="Times New Roman" w:eastAsia="Times New Roman" w:hAnsi="Times New Roman"/>
          <w:sz w:val="24"/>
          <w:szCs w:val="24"/>
          <w:lang w:eastAsia="ru-RU"/>
        </w:rPr>
        <w:t xml:space="preserve">, расположенный по адресу: г. Томск, просп. Ленина, д. 83, пом. 1013 </w:t>
      </w:r>
      <w:r>
        <w:rPr>
          <w:rFonts w:ascii="Times New Roman" w:hAnsi="Times New Roman"/>
          <w:sz w:val="24"/>
          <w:szCs w:val="24"/>
        </w:rPr>
        <w:t xml:space="preserve">– </w:t>
      </w:r>
      <w:r>
        <w:rPr>
          <w:rFonts w:ascii="Times New Roman" w:eastAsia="Times New Roman" w:hAnsi="Times New Roman"/>
          <w:sz w:val="24"/>
          <w:szCs w:val="24"/>
          <w:lang w:eastAsia="ru-RU"/>
        </w:rPr>
        <w:t xml:space="preserve">1014, 1020, 1033, 2001, 2003 </w:t>
      </w:r>
      <w:r>
        <w:rPr>
          <w:rFonts w:ascii="Times New Roman" w:hAnsi="Times New Roman"/>
          <w:sz w:val="24"/>
          <w:szCs w:val="24"/>
        </w:rPr>
        <w:t xml:space="preserve">– </w:t>
      </w:r>
      <w:r>
        <w:rPr>
          <w:rFonts w:ascii="Times New Roman" w:eastAsia="Times New Roman" w:hAnsi="Times New Roman"/>
          <w:sz w:val="24"/>
          <w:szCs w:val="24"/>
          <w:lang w:eastAsia="ru-RU"/>
        </w:rPr>
        <w:t xml:space="preserve">2011, 2014, 2019, 2024, 2027 </w:t>
      </w:r>
      <w:r>
        <w:rPr>
          <w:rFonts w:ascii="Times New Roman" w:hAnsi="Times New Roman"/>
          <w:sz w:val="24"/>
          <w:szCs w:val="24"/>
        </w:rPr>
        <w:t>–</w:t>
      </w:r>
      <w:r>
        <w:rPr>
          <w:rFonts w:ascii="Times New Roman" w:eastAsia="Times New Roman" w:hAnsi="Times New Roman"/>
          <w:sz w:val="24"/>
          <w:szCs w:val="24"/>
          <w:lang w:eastAsia="ru-RU"/>
        </w:rPr>
        <w:t xml:space="preserve"> 2038, для дальнейшего использования Департаментом ЗАГС Томской области;</w:t>
      </w:r>
    </w:p>
    <w:p w:rsidR="007E27CB" w:rsidRDefault="008F141F">
      <w:pPr>
        <w:pStyle w:val="a6"/>
        <w:numPr>
          <w:ilvl w:val="0"/>
          <w:numId w:val="138"/>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12 школьных автобусов, из которых 11 ед. переданы в собственность муниципальных образований для закрепления на праве оперативного управления за образовательными учреждениями, один автобус закреплен на праве оперативного управления за ОГКОУ «Моряковская школа-интернат для детей-сирот и детей, оставшихся без попечения родителей, с ограниченными возможностями здоровья»;</w:t>
      </w:r>
    </w:p>
    <w:p w:rsidR="007E27CB" w:rsidRDefault="008F141F">
      <w:pPr>
        <w:pStyle w:val="a6"/>
        <w:numPr>
          <w:ilvl w:val="0"/>
          <w:numId w:val="138"/>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в соответствии с распоряжением Правительства Российской Федерации от 26.04.2019 № 653-р «О передаче в государственную собственность Томской области ФГУП «Бакчарское» (Томская область) как имущественного комплекса» из федеральной собственности в государственную собственность Томской области было передано федеральное государственное унитарное предприятие «Бакчарское» (в настоящее время – областное государственное унитарное предприятие «Бакчарское»);</w:t>
      </w:r>
    </w:p>
    <w:p w:rsidR="007E27CB" w:rsidRDefault="008F141F">
      <w:pPr>
        <w:pStyle w:val="a6"/>
        <w:numPr>
          <w:ilvl w:val="0"/>
          <w:numId w:val="138"/>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в соответствии с договорами о безвозмездной передаче обыкновенных именных бездокументарных акций в 2019 году акционерным обществом «Особые экономические зоны» (г. Москва) в государственную собственность Томской области переданы принадлежащие ему акции АО «Особая экономическая зона технико-внедренческого типа «Томск»; в результате указанных сделок Томская область в настоящее время является единственным акционером и владельцем 100 процентов акций АО «ОЭЗ ТВТ «Томск».</w:t>
      </w:r>
    </w:p>
    <w:p w:rsidR="007E27CB" w:rsidRDefault="008F141F">
      <w:pPr>
        <w:pStyle w:val="11"/>
        <w:tabs>
          <w:tab w:val="left" w:pos="4962"/>
        </w:tabs>
        <w:rPr>
          <w:sz w:val="24"/>
          <w:szCs w:val="24"/>
        </w:rPr>
      </w:pPr>
      <w:r>
        <w:rPr>
          <w:sz w:val="24"/>
          <w:szCs w:val="24"/>
        </w:rPr>
        <w:t xml:space="preserve">В целях обеспечения прозрачности отношений участников рынка жилищно-коммунальных услуг, повышения доступности и удобства использования различных механизмов по оплате, связанных с развитием клиентских сервисов, на основании распоряжения Администрации Томской области от 22.08.2019 № 516-ра «Об участии Томской области в качестве учредителя (участника) общества с ограниченной ответственностью «Единый информационно-расчетный  центр Томской области» Томская область выступила учредителем ООО «Единый информационно-расчетный центр Томской области» с долей 26% в уставном капитале общества. </w:t>
      </w:r>
    </w:p>
    <w:p w:rsidR="007E27CB" w:rsidRDefault="008F141F">
      <w:pPr>
        <w:tabs>
          <w:tab w:val="left" w:pos="4962"/>
        </w:tabs>
        <w:autoSpaceDE w:val="0"/>
        <w:autoSpaceDN w:val="0"/>
        <w:adjustRightInd w:val="0"/>
        <w:spacing w:after="0" w:line="240" w:lineRule="auto"/>
        <w:ind w:firstLine="567"/>
        <w:jc w:val="both"/>
        <w:rPr>
          <w:rFonts w:eastAsia="Times New Roman"/>
          <w:sz w:val="24"/>
          <w:szCs w:val="24"/>
        </w:rPr>
      </w:pPr>
      <w:r>
        <w:rPr>
          <w:rFonts w:eastAsia="Times New Roman"/>
          <w:sz w:val="24"/>
          <w:szCs w:val="24"/>
        </w:rPr>
        <w:t>В 2019 году обеспечено правовое регулирование общественных отношений в сфере управления государственным и муниципальным имуществом. Так, по инициативе Губернатора Томской области в июне 2019 года Законодательной Думой Томской области принят Закон Томской области «Об отдельных вопросах разграничения имущества, находящегося в муниципальной собственности, между муниципальными образованиями Томской области». Данным законом впервые установлен механизм взаимодействия между органами местного самоуправления, органами местного самоуправления и исполнительными органами государственной власти Томской области при перераспределении принадлежащего муниципальным образованиям имущества в случаях, предусмотренных федеральным законодательством. В июле 2019 года принят Закон Томской области «О предоставлении государственного имущества Томской области в аренду и безвозмездное пользование».</w:t>
      </w:r>
    </w:p>
    <w:p w:rsidR="007E27CB" w:rsidRDefault="008F141F">
      <w:pPr>
        <w:tabs>
          <w:tab w:val="left" w:pos="4962"/>
        </w:tabs>
        <w:autoSpaceDE w:val="0"/>
        <w:autoSpaceDN w:val="0"/>
        <w:adjustRightInd w:val="0"/>
        <w:spacing w:after="0" w:line="240" w:lineRule="auto"/>
        <w:ind w:firstLine="567"/>
        <w:jc w:val="both"/>
        <w:rPr>
          <w:sz w:val="24"/>
          <w:szCs w:val="24"/>
        </w:rPr>
      </w:pPr>
      <w:r>
        <w:rPr>
          <w:sz w:val="24"/>
          <w:szCs w:val="24"/>
        </w:rPr>
        <w:t>С целью наиболее эффективного и оперативного управления земельными участками, находящимися в государственной собственности Томской области, в отчетном году было осуществлено перераспределение полномочий в сфере земельных отношений (Закон Томской области от 14.03.2019 № 18-ОЗ «О внесении изменений в Закон Томской области «О земельных отношениях в Томской области»). В частности, полномочия по принятию решений об утверждении схемы расположения земельных участков на кадастровом плане территории, о проведении аукционов по продаже земельных участков, аукционов на право заключения договоров аренды земельных участков, о предварительном согласовании предоставления земельных участков и иные полномочия, ранее осуществляемые Администрацией Томской области, были закреплены за Департаментом по управлению государственной собственностью Томской области.</w:t>
      </w:r>
    </w:p>
    <w:p w:rsidR="007E27CB" w:rsidRDefault="008F141F">
      <w:pPr>
        <w:tabs>
          <w:tab w:val="left" w:pos="4962"/>
        </w:tabs>
        <w:autoSpaceDE w:val="0"/>
        <w:autoSpaceDN w:val="0"/>
        <w:adjustRightInd w:val="0"/>
        <w:spacing w:after="0" w:line="240" w:lineRule="auto"/>
        <w:ind w:firstLine="567"/>
        <w:jc w:val="both"/>
        <w:rPr>
          <w:sz w:val="24"/>
          <w:szCs w:val="24"/>
        </w:rPr>
      </w:pPr>
      <w:r>
        <w:rPr>
          <w:sz w:val="24"/>
          <w:szCs w:val="24"/>
        </w:rPr>
        <w:t xml:space="preserve">Одной из основных задач в сфере имущественных отношений в 2019 году являлось проведение государственной кадастровой оценки объектов капитального строительства, помещений, машино-мест и иных видов объектов недвижимости (за исключением земельных участков), расположенных на территории Томской области. Определение кадастровой стоимости осуществлено в отношении более 730 тысяч объектов недвижимости. </w:t>
      </w:r>
    </w:p>
    <w:p w:rsidR="007E27CB" w:rsidRDefault="008F141F">
      <w:pPr>
        <w:tabs>
          <w:tab w:val="left" w:pos="1134"/>
          <w:tab w:val="left" w:pos="4962"/>
        </w:tabs>
        <w:spacing w:after="0" w:line="240" w:lineRule="auto"/>
        <w:ind w:firstLine="567"/>
        <w:jc w:val="both"/>
        <w:rPr>
          <w:sz w:val="24"/>
          <w:szCs w:val="24"/>
        </w:rPr>
      </w:pPr>
      <w:r>
        <w:rPr>
          <w:sz w:val="24"/>
          <w:szCs w:val="24"/>
        </w:rPr>
        <w:t>Кроме того, в 2019 году осуществлена подготовительная работа к проведению в 2020 году государственной кадастровой оценки более 430 тысяч земельных участков, расположенных на территории Томской области.</w:t>
      </w:r>
    </w:p>
    <w:p w:rsidR="007E27CB" w:rsidRDefault="007E27CB">
      <w:pPr>
        <w:tabs>
          <w:tab w:val="left" w:pos="1134"/>
          <w:tab w:val="left" w:pos="4962"/>
        </w:tabs>
        <w:spacing w:after="0" w:line="240" w:lineRule="auto"/>
        <w:ind w:firstLine="567"/>
        <w:jc w:val="both"/>
        <w:rPr>
          <w:sz w:val="24"/>
          <w:szCs w:val="24"/>
        </w:rPr>
      </w:pPr>
    </w:p>
    <w:p w:rsidR="007E27CB" w:rsidRDefault="008F141F">
      <w:pPr>
        <w:shd w:val="clear" w:color="auto" w:fill="F2F2F2" w:themeFill="background1" w:themeFillShade="F2"/>
        <w:tabs>
          <w:tab w:val="left" w:pos="4962"/>
        </w:tabs>
        <w:autoSpaceDE w:val="0"/>
        <w:autoSpaceDN w:val="0"/>
        <w:adjustRightInd w:val="0"/>
        <w:spacing w:after="0" w:line="240" w:lineRule="auto"/>
        <w:jc w:val="both"/>
        <w:rPr>
          <w:b/>
          <w:sz w:val="24"/>
          <w:szCs w:val="24"/>
        </w:rPr>
      </w:pPr>
      <w:r>
        <w:rPr>
          <w:b/>
          <w:sz w:val="24"/>
          <w:szCs w:val="24"/>
        </w:rPr>
        <w:t>Перспективные задачи</w:t>
      </w:r>
    </w:p>
    <w:p w:rsidR="007E27CB" w:rsidRDefault="007E27CB">
      <w:pPr>
        <w:tabs>
          <w:tab w:val="left" w:pos="4962"/>
        </w:tabs>
        <w:autoSpaceDE w:val="0"/>
        <w:autoSpaceDN w:val="0"/>
        <w:adjustRightInd w:val="0"/>
        <w:spacing w:after="0" w:line="240" w:lineRule="auto"/>
        <w:jc w:val="both"/>
        <w:rPr>
          <w:sz w:val="24"/>
          <w:szCs w:val="24"/>
        </w:rPr>
      </w:pPr>
    </w:p>
    <w:p w:rsidR="007E27CB" w:rsidRDefault="008F141F">
      <w:pPr>
        <w:tabs>
          <w:tab w:val="left" w:pos="284"/>
          <w:tab w:val="left" w:pos="4962"/>
        </w:tabs>
        <w:spacing w:after="0" w:line="240" w:lineRule="auto"/>
        <w:jc w:val="both"/>
        <w:rPr>
          <w:sz w:val="24"/>
          <w:szCs w:val="24"/>
        </w:rPr>
      </w:pPr>
      <w:r>
        <w:rPr>
          <w:sz w:val="24"/>
          <w:szCs w:val="24"/>
        </w:rPr>
        <w:t>1. Проведение государственной кадастровой оценки земельных участков, расположенных на территории Томской области, из состава следующих категорий земель:</w:t>
      </w:r>
    </w:p>
    <w:p w:rsidR="007E27CB" w:rsidRDefault="008F141F">
      <w:pPr>
        <w:pStyle w:val="a6"/>
        <w:numPr>
          <w:ilvl w:val="0"/>
          <w:numId w:val="139"/>
        </w:numPr>
        <w:tabs>
          <w:tab w:val="left" w:pos="284"/>
          <w:tab w:val="left" w:pos="993"/>
        </w:tabs>
        <w:spacing w:after="0" w:line="240" w:lineRule="auto"/>
        <w:ind w:left="0" w:firstLine="0"/>
        <w:jc w:val="both"/>
        <w:rPr>
          <w:rFonts w:ascii="Times New Roman" w:eastAsiaTheme="minorHAnsi" w:hAnsi="Times New Roman"/>
          <w:sz w:val="24"/>
          <w:szCs w:val="24"/>
        </w:rPr>
      </w:pPr>
      <w:r>
        <w:rPr>
          <w:rFonts w:ascii="Times New Roman" w:eastAsiaTheme="minorHAnsi" w:hAnsi="Times New Roman"/>
          <w:sz w:val="24"/>
          <w:szCs w:val="24"/>
        </w:rPr>
        <w:t>земли населенных пунктов;</w:t>
      </w:r>
    </w:p>
    <w:p w:rsidR="007E27CB" w:rsidRDefault="008F141F">
      <w:pPr>
        <w:pStyle w:val="a6"/>
        <w:numPr>
          <w:ilvl w:val="0"/>
          <w:numId w:val="139"/>
        </w:numPr>
        <w:tabs>
          <w:tab w:val="left" w:pos="284"/>
          <w:tab w:val="left" w:pos="993"/>
        </w:tabs>
        <w:spacing w:after="0" w:line="240" w:lineRule="auto"/>
        <w:ind w:left="0" w:firstLine="0"/>
        <w:jc w:val="both"/>
        <w:rPr>
          <w:rFonts w:ascii="Times New Roman" w:eastAsiaTheme="minorHAnsi" w:hAnsi="Times New Roman"/>
          <w:sz w:val="24"/>
          <w:szCs w:val="24"/>
        </w:rPr>
      </w:pPr>
      <w:r>
        <w:rPr>
          <w:rFonts w:ascii="Times New Roman" w:eastAsiaTheme="minorHAnsi" w:hAnsi="Times New Roman"/>
          <w:sz w:val="24"/>
          <w:szCs w:val="24"/>
        </w:rPr>
        <w:t xml:space="preserve">земли </w:t>
      </w:r>
      <w:hyperlink r:id="rId32" w:history="1">
        <w:r>
          <w:rPr>
            <w:rStyle w:val="a9"/>
            <w:rFonts w:ascii="Times New Roman" w:eastAsiaTheme="minorHAnsi" w:hAnsi="Times New Roman"/>
            <w:color w:val="auto"/>
            <w:sz w:val="24"/>
            <w:szCs w:val="24"/>
            <w:u w:val="none"/>
          </w:rPr>
          <w:t>сельскохозяйственного назначения</w:t>
        </w:r>
      </w:hyperlink>
      <w:r>
        <w:rPr>
          <w:rFonts w:ascii="Times New Roman" w:eastAsiaTheme="minorHAnsi" w:hAnsi="Times New Roman"/>
          <w:sz w:val="24"/>
          <w:szCs w:val="24"/>
        </w:rPr>
        <w:t>;</w:t>
      </w:r>
    </w:p>
    <w:p w:rsidR="007E27CB" w:rsidRDefault="00987900">
      <w:pPr>
        <w:pStyle w:val="a6"/>
        <w:numPr>
          <w:ilvl w:val="0"/>
          <w:numId w:val="139"/>
        </w:numPr>
        <w:tabs>
          <w:tab w:val="left" w:pos="284"/>
          <w:tab w:val="left" w:pos="993"/>
        </w:tabs>
        <w:spacing w:after="0" w:line="240" w:lineRule="auto"/>
        <w:ind w:left="0" w:firstLine="0"/>
        <w:jc w:val="both"/>
        <w:rPr>
          <w:rFonts w:ascii="Times New Roman" w:eastAsiaTheme="minorHAnsi" w:hAnsi="Times New Roman"/>
          <w:sz w:val="24"/>
          <w:szCs w:val="24"/>
        </w:rPr>
      </w:pPr>
      <w:hyperlink r:id="rId33" w:history="1">
        <w:r w:rsidR="008F141F">
          <w:rPr>
            <w:rStyle w:val="a9"/>
            <w:rFonts w:ascii="Times New Roman" w:eastAsiaTheme="minorHAnsi" w:hAnsi="Times New Roman"/>
            <w:color w:val="auto"/>
            <w:sz w:val="24"/>
            <w:szCs w:val="24"/>
            <w:u w:val="none"/>
          </w:rPr>
          <w:t>земли</w:t>
        </w:r>
      </w:hyperlink>
      <w:r w:rsidR="008F141F">
        <w:rPr>
          <w:rFonts w:ascii="Times New Roman" w:eastAsiaTheme="minorHAnsi" w:hAnsi="Times New Roman"/>
          <w:sz w:val="24"/>
          <w:szCs w:val="24"/>
        </w:rPr>
        <w:t xml:space="preserve">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p w:rsidR="007E27CB" w:rsidRDefault="008F141F">
      <w:pPr>
        <w:pStyle w:val="a6"/>
        <w:numPr>
          <w:ilvl w:val="0"/>
          <w:numId w:val="139"/>
        </w:numPr>
        <w:tabs>
          <w:tab w:val="left" w:pos="284"/>
          <w:tab w:val="left" w:pos="993"/>
        </w:tabs>
        <w:spacing w:after="0" w:line="240" w:lineRule="auto"/>
        <w:ind w:left="0" w:firstLine="0"/>
        <w:jc w:val="both"/>
        <w:rPr>
          <w:rFonts w:ascii="Times New Roman" w:eastAsiaTheme="minorHAnsi" w:hAnsi="Times New Roman"/>
          <w:sz w:val="24"/>
          <w:szCs w:val="24"/>
        </w:rPr>
      </w:pPr>
      <w:r>
        <w:rPr>
          <w:rFonts w:ascii="Times New Roman" w:eastAsiaTheme="minorHAnsi" w:hAnsi="Times New Roman"/>
          <w:sz w:val="24"/>
          <w:szCs w:val="24"/>
        </w:rPr>
        <w:t xml:space="preserve">земли особо охраняемых </w:t>
      </w:r>
      <w:hyperlink r:id="rId34" w:history="1">
        <w:r>
          <w:rPr>
            <w:rStyle w:val="a9"/>
            <w:rFonts w:ascii="Times New Roman" w:eastAsiaTheme="minorHAnsi" w:hAnsi="Times New Roman"/>
            <w:color w:val="auto"/>
            <w:sz w:val="24"/>
            <w:szCs w:val="24"/>
            <w:u w:val="none"/>
          </w:rPr>
          <w:t>территорий и объектов</w:t>
        </w:r>
      </w:hyperlink>
      <w:r>
        <w:rPr>
          <w:rFonts w:ascii="Times New Roman" w:eastAsiaTheme="minorHAnsi" w:hAnsi="Times New Roman"/>
          <w:sz w:val="24"/>
          <w:szCs w:val="24"/>
        </w:rPr>
        <w:t>.</w:t>
      </w:r>
    </w:p>
    <w:p w:rsidR="007E27CB" w:rsidRDefault="008F141F">
      <w:pPr>
        <w:tabs>
          <w:tab w:val="left" w:pos="284"/>
          <w:tab w:val="left" w:pos="4962"/>
        </w:tabs>
        <w:autoSpaceDE w:val="0"/>
        <w:autoSpaceDN w:val="0"/>
        <w:adjustRightInd w:val="0"/>
        <w:spacing w:after="0" w:line="240" w:lineRule="auto"/>
        <w:jc w:val="both"/>
        <w:rPr>
          <w:sz w:val="24"/>
          <w:szCs w:val="24"/>
        </w:rPr>
      </w:pPr>
      <w:r>
        <w:rPr>
          <w:sz w:val="24"/>
          <w:szCs w:val="24"/>
        </w:rPr>
        <w:t>2. Осуществление мероприятий по проведению комплексных кадастровых работ: подготовка заявки на получение субсидии на проведение комплексных кадастровых работ из федерального бюджета в рамках реализации государственной программы Российской Федерации «Экономическое развитие и инновационная экономика»; предоставление из областного бюджета субсидии муниципальным образованиям Томской области на выполнение комплексных кадастровых работ.</w:t>
      </w:r>
    </w:p>
    <w:p w:rsidR="007E27CB" w:rsidRDefault="008F141F">
      <w:pPr>
        <w:tabs>
          <w:tab w:val="left" w:pos="284"/>
          <w:tab w:val="left" w:pos="4962"/>
        </w:tabs>
        <w:autoSpaceDE w:val="0"/>
        <w:autoSpaceDN w:val="0"/>
        <w:adjustRightInd w:val="0"/>
        <w:spacing w:after="0" w:line="240" w:lineRule="auto"/>
        <w:jc w:val="both"/>
        <w:rPr>
          <w:sz w:val="24"/>
          <w:szCs w:val="24"/>
        </w:rPr>
      </w:pPr>
      <w:r>
        <w:rPr>
          <w:sz w:val="24"/>
          <w:szCs w:val="24"/>
        </w:rPr>
        <w:t>3. Осуществление контроля за эффективностью использования земельных участков, находящихся в областной собственности, путем проведения проверок.</w:t>
      </w:r>
    </w:p>
    <w:p w:rsidR="007E27CB" w:rsidRDefault="008F141F">
      <w:pPr>
        <w:tabs>
          <w:tab w:val="left" w:pos="284"/>
          <w:tab w:val="left" w:pos="4962"/>
        </w:tabs>
        <w:autoSpaceDE w:val="0"/>
        <w:autoSpaceDN w:val="0"/>
        <w:adjustRightInd w:val="0"/>
        <w:spacing w:after="0" w:line="240" w:lineRule="auto"/>
        <w:jc w:val="both"/>
        <w:rPr>
          <w:sz w:val="24"/>
          <w:szCs w:val="24"/>
        </w:rPr>
      </w:pPr>
      <w:r>
        <w:rPr>
          <w:sz w:val="24"/>
          <w:szCs w:val="24"/>
        </w:rPr>
        <w:t>4. Исполнение областного бюджета в части прогнозируемых неналоговых доходов от использования государственного имущества Томской области.</w:t>
      </w:r>
    </w:p>
    <w:p w:rsidR="007E27CB" w:rsidRDefault="008F141F">
      <w:pPr>
        <w:tabs>
          <w:tab w:val="left" w:pos="284"/>
          <w:tab w:val="left" w:pos="4962"/>
        </w:tabs>
        <w:autoSpaceDE w:val="0"/>
        <w:autoSpaceDN w:val="0"/>
        <w:adjustRightInd w:val="0"/>
        <w:spacing w:after="0" w:line="240" w:lineRule="auto"/>
        <w:jc w:val="both"/>
        <w:rPr>
          <w:sz w:val="24"/>
          <w:szCs w:val="24"/>
        </w:rPr>
      </w:pPr>
      <w:r>
        <w:rPr>
          <w:sz w:val="24"/>
          <w:szCs w:val="24"/>
        </w:rPr>
        <w:t xml:space="preserve">5. Ввод в эксплуатацию единой информационной системы учета государственного имущества Томской области. </w:t>
      </w:r>
    </w:p>
    <w:p w:rsidR="007E27CB" w:rsidRDefault="008F141F">
      <w:pPr>
        <w:tabs>
          <w:tab w:val="left" w:pos="284"/>
          <w:tab w:val="left" w:pos="4962"/>
        </w:tabs>
        <w:autoSpaceDE w:val="0"/>
        <w:autoSpaceDN w:val="0"/>
        <w:adjustRightInd w:val="0"/>
        <w:spacing w:after="0" w:line="240" w:lineRule="auto"/>
        <w:jc w:val="both"/>
        <w:rPr>
          <w:sz w:val="24"/>
          <w:szCs w:val="24"/>
        </w:rPr>
      </w:pPr>
      <w:r>
        <w:rPr>
          <w:sz w:val="24"/>
          <w:szCs w:val="24"/>
        </w:rPr>
        <w:t>6. Приобретение жилых помещений в целях обеспечения многодетных семей, имеющих пять и более несовершеннолетних детей.</w:t>
      </w:r>
    </w:p>
    <w:p w:rsidR="007E27CB" w:rsidRDefault="007E27CB">
      <w:pPr>
        <w:tabs>
          <w:tab w:val="left" w:pos="4962"/>
        </w:tabs>
        <w:autoSpaceDE w:val="0"/>
        <w:autoSpaceDN w:val="0"/>
        <w:adjustRightInd w:val="0"/>
        <w:spacing w:after="0" w:line="240" w:lineRule="auto"/>
        <w:ind w:firstLine="567"/>
        <w:jc w:val="both"/>
        <w:rPr>
          <w:sz w:val="24"/>
          <w:szCs w:val="24"/>
        </w:rPr>
      </w:pPr>
    </w:p>
    <w:p w:rsidR="007E27CB" w:rsidRDefault="008F141F">
      <w:pPr>
        <w:tabs>
          <w:tab w:val="left" w:pos="4962"/>
        </w:tabs>
        <w:spacing w:after="0" w:line="240" w:lineRule="auto"/>
        <w:rPr>
          <w:rFonts w:eastAsia="Times New Roman"/>
          <w:b/>
          <w:sz w:val="24"/>
          <w:szCs w:val="24"/>
        </w:rPr>
      </w:pPr>
      <w:r>
        <w:rPr>
          <w:rFonts w:eastAsia="Times New Roman"/>
          <w:b/>
          <w:sz w:val="24"/>
          <w:szCs w:val="24"/>
        </w:rPr>
        <w:t>5.4. Обеспечение повышения эффективности регионального и муниципального управления</w:t>
      </w:r>
    </w:p>
    <w:p w:rsidR="007E27CB" w:rsidRDefault="007E27CB">
      <w:pPr>
        <w:tabs>
          <w:tab w:val="left" w:pos="4962"/>
        </w:tabs>
        <w:spacing w:after="0" w:line="240" w:lineRule="auto"/>
        <w:rPr>
          <w:rFonts w:eastAsia="Times New Roman"/>
          <w:b/>
          <w:color w:val="FF0000"/>
          <w:sz w:val="24"/>
          <w:szCs w:val="24"/>
        </w:rPr>
      </w:pPr>
    </w:p>
    <w:p w:rsidR="007E27CB" w:rsidRDefault="008F141F">
      <w:pPr>
        <w:tabs>
          <w:tab w:val="left" w:pos="0"/>
          <w:tab w:val="left" w:pos="567"/>
        </w:tabs>
        <w:spacing w:after="0" w:line="240" w:lineRule="auto"/>
        <w:ind w:firstLine="567"/>
        <w:jc w:val="both"/>
        <w:rPr>
          <w:rFonts w:eastAsia="Times New Roman"/>
          <w:i/>
          <w:sz w:val="24"/>
          <w:szCs w:val="24"/>
        </w:rPr>
      </w:pPr>
      <w:bookmarkStart w:id="3" w:name="_Toc778252"/>
      <w:r>
        <w:rPr>
          <w:rFonts w:eastAsia="Times New Roman"/>
          <w:i/>
          <w:sz w:val="24"/>
          <w:szCs w:val="24"/>
        </w:rPr>
        <w:t xml:space="preserve">СОВЕРШЕНСТВОВАНИЕ УПРАВЛЕНИЯ КАДРОВЫМ СОСТАВОМ ГОСУДАРСТВЕННОЙ ГРАЖДАНСКОЙ СЛУЖБЫ </w:t>
      </w:r>
    </w:p>
    <w:p w:rsidR="007E27CB" w:rsidRDefault="008F141F">
      <w:pPr>
        <w:tabs>
          <w:tab w:val="left" w:pos="0"/>
          <w:tab w:val="left" w:pos="4962"/>
        </w:tabs>
        <w:spacing w:after="0" w:line="240" w:lineRule="auto"/>
        <w:ind w:firstLine="567"/>
        <w:jc w:val="both"/>
        <w:rPr>
          <w:sz w:val="24"/>
          <w:szCs w:val="24"/>
        </w:rPr>
      </w:pPr>
      <w:r>
        <w:rPr>
          <w:rFonts w:eastAsia="Times New Roman"/>
          <w:sz w:val="24"/>
          <w:szCs w:val="24"/>
        </w:rPr>
        <w:t xml:space="preserve">В период с июня по сентябрь 2019 года в Томской области внедрена федеральная государственная информационная система </w:t>
      </w:r>
      <w:r>
        <w:rPr>
          <w:sz w:val="24"/>
          <w:szCs w:val="24"/>
        </w:rPr>
        <w:t>«Единая информационная система управления кадровым составом государственной гражданской службы Российской Федерации», все 39 органов государственной власти Томской области в отчетном периоде обеспечили 100-процентное внесение личных дел в Единую систему и провели все назначения на должность.</w:t>
      </w:r>
    </w:p>
    <w:p w:rsidR="007E27CB" w:rsidRDefault="008F141F">
      <w:pPr>
        <w:tabs>
          <w:tab w:val="left" w:pos="0"/>
          <w:tab w:val="left" w:pos="4962"/>
        </w:tabs>
        <w:spacing w:after="0" w:line="240" w:lineRule="auto"/>
        <w:ind w:firstLine="567"/>
        <w:jc w:val="both"/>
        <w:rPr>
          <w:rFonts w:eastAsia="Times New Roman"/>
          <w:sz w:val="24"/>
          <w:szCs w:val="24"/>
          <w:lang w:eastAsia="ar-SA"/>
        </w:rPr>
      </w:pPr>
      <w:r>
        <w:rPr>
          <w:rFonts w:eastAsia="Times New Roman"/>
          <w:sz w:val="24"/>
          <w:szCs w:val="24"/>
          <w:lang w:eastAsia="ar-SA"/>
        </w:rPr>
        <w:t xml:space="preserve">В 2019 году в Закон Томской области от 12.02.2007 № 71-ОЗ «Об утверждении Положения о кадровых резервах государственной гражданской службы Томской области» внесены изменения, закрепившие порядок проведения конкурсов на включение в кадровый резерв в органах государственной власти Томской области. </w:t>
      </w:r>
    </w:p>
    <w:p w:rsidR="007E27CB" w:rsidRDefault="008F141F">
      <w:pPr>
        <w:tabs>
          <w:tab w:val="left" w:pos="0"/>
          <w:tab w:val="left" w:pos="4962"/>
        </w:tabs>
        <w:spacing w:after="0" w:line="240" w:lineRule="auto"/>
        <w:ind w:firstLine="567"/>
        <w:jc w:val="both"/>
        <w:rPr>
          <w:rFonts w:eastAsia="Times New Roman"/>
          <w:sz w:val="24"/>
          <w:szCs w:val="24"/>
          <w:lang w:eastAsia="ar-SA"/>
        </w:rPr>
      </w:pPr>
      <w:r>
        <w:rPr>
          <w:rFonts w:eastAsia="Times New Roman"/>
          <w:sz w:val="24"/>
          <w:szCs w:val="24"/>
          <w:lang w:eastAsia="ar-SA"/>
        </w:rPr>
        <w:t>В целях повышения эффективности кадрового планирования, привлечения кандидатов на замещение должностей гражданской службы и совершенствования порядка назначения резервиста на должность гражданской службы из кадрового резерва</w:t>
      </w:r>
      <w:r>
        <w:rPr>
          <w:rFonts w:eastAsia="Times New Roman"/>
          <w:sz w:val="24"/>
          <w:szCs w:val="24"/>
          <w:lang w:eastAsia="ar-SA"/>
        </w:rPr>
        <w:br/>
        <w:t>разработаны Методические рекомендации.</w:t>
      </w:r>
    </w:p>
    <w:p w:rsidR="007E27CB" w:rsidRDefault="008F141F">
      <w:pPr>
        <w:tabs>
          <w:tab w:val="left" w:pos="0"/>
          <w:tab w:val="left" w:pos="567"/>
          <w:tab w:val="left" w:pos="4962"/>
        </w:tabs>
        <w:spacing w:after="0" w:line="240" w:lineRule="auto"/>
        <w:ind w:firstLine="567"/>
        <w:jc w:val="both"/>
        <w:rPr>
          <w:rFonts w:eastAsia="Calibri"/>
          <w:sz w:val="24"/>
          <w:szCs w:val="24"/>
        </w:rPr>
      </w:pPr>
      <w:r>
        <w:rPr>
          <w:rFonts w:eastAsia="Calibri"/>
          <w:sz w:val="24"/>
          <w:szCs w:val="24"/>
        </w:rPr>
        <w:t>Для обеспечения оперативного (своевременного) замещения вакантных должностей государственной гражданской службы исполнительными органами государственной власти Томской области проведены 140 конкурсов на вакантные должности государственной службы и включение в кадровый резерв. Участие в конкурсах приняли 811 человек, из них 708 человек участвовали в конкурсах на включение в кадровый резерв. По итогам проведенных конкурсов, а также по результатам аттестации в кадровые резервы органов государственной власти Томской области включены 438 человек.</w:t>
      </w:r>
    </w:p>
    <w:p w:rsidR="007E27CB" w:rsidRDefault="008F141F">
      <w:pPr>
        <w:tabs>
          <w:tab w:val="left" w:pos="0"/>
          <w:tab w:val="left" w:pos="4962"/>
        </w:tabs>
        <w:spacing w:after="0" w:line="240" w:lineRule="auto"/>
        <w:ind w:firstLine="567"/>
        <w:jc w:val="both"/>
        <w:rPr>
          <w:sz w:val="24"/>
          <w:szCs w:val="24"/>
        </w:rPr>
      </w:pPr>
      <w:r>
        <w:rPr>
          <w:sz w:val="24"/>
          <w:szCs w:val="24"/>
        </w:rPr>
        <w:t>В кадровом резерве Томской области на начало 2020 года состояли 303 человека, в том числе для замещения должностей государственной гражданской службы высшей группы – 8 человек, для замещения должностей главной группы – 114 человек, для замещения должностей ведущей группы – 181 человек.</w:t>
      </w:r>
    </w:p>
    <w:p w:rsidR="007E27CB" w:rsidRDefault="008F141F">
      <w:pPr>
        <w:pStyle w:val="a6"/>
        <w:tabs>
          <w:tab w:val="left" w:pos="0"/>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За отчетный год 156 вакантных должностей государственной гражданской службы замещены из кадровых резервов исполнительных органов государственной власти  Томской области и 24 должности из кадрового резерва Томской области, что составляет 57% от количества всех назначений на вакантные должности по различным основаниям.  </w:t>
      </w:r>
    </w:p>
    <w:p w:rsidR="007E27CB" w:rsidRDefault="008F141F">
      <w:pPr>
        <w:tabs>
          <w:tab w:val="left" w:pos="0"/>
          <w:tab w:val="left" w:pos="851"/>
          <w:tab w:val="left" w:pos="4962"/>
        </w:tabs>
        <w:spacing w:after="0" w:line="240" w:lineRule="auto"/>
        <w:ind w:firstLine="567"/>
        <w:jc w:val="both"/>
        <w:rPr>
          <w:strike/>
          <w:color w:val="FF0000"/>
          <w:sz w:val="24"/>
          <w:szCs w:val="24"/>
        </w:rPr>
      </w:pPr>
      <w:r>
        <w:rPr>
          <w:color w:val="000000"/>
          <w:sz w:val="24"/>
          <w:szCs w:val="24"/>
        </w:rPr>
        <w:t>С целью долгосрочного кадрового планирования, привлечения на государственную гражданскую службу молодых специалистов осуществляется взаимодействие с вузами по организации практик студентов. В 2019 году организовано прохождение  различных видов практик в органах государственной власти Томской области для 123 студентов</w:t>
      </w:r>
      <w:r>
        <w:rPr>
          <w:rFonts w:eastAsia="Times New Roman"/>
          <w:sz w:val="24"/>
          <w:szCs w:val="24"/>
        </w:rPr>
        <w:t>.</w:t>
      </w:r>
    </w:p>
    <w:p w:rsidR="007E27CB" w:rsidRDefault="008F141F">
      <w:pPr>
        <w:spacing w:after="0" w:line="240" w:lineRule="auto"/>
        <w:ind w:firstLine="567"/>
        <w:jc w:val="both"/>
        <w:rPr>
          <w:sz w:val="24"/>
          <w:szCs w:val="24"/>
        </w:rPr>
      </w:pPr>
      <w:r>
        <w:rPr>
          <w:sz w:val="24"/>
          <w:szCs w:val="24"/>
        </w:rPr>
        <w:t>Продолжена работа по проведению аттестации и присвоению классных чинов государственным гражданским служащим Томской области. Классные чины присвоены 489 государственным гражданским служащим, из них первые классные чины государственной гражданской службы Томской области присвоены 199 служащим, очередные – 290 служащим. В том числе 64</w:t>
      </w:r>
      <w:r>
        <w:rPr>
          <w:b/>
          <w:sz w:val="24"/>
          <w:szCs w:val="24"/>
        </w:rPr>
        <w:t xml:space="preserve"> </w:t>
      </w:r>
      <w:r>
        <w:rPr>
          <w:sz w:val="24"/>
          <w:szCs w:val="24"/>
        </w:rPr>
        <w:t xml:space="preserve">государственным служащим классные чины присвоены по результатам проведения квалификационного экзамена. </w:t>
      </w:r>
    </w:p>
    <w:p w:rsidR="007E27CB" w:rsidRDefault="008F141F">
      <w:pPr>
        <w:tabs>
          <w:tab w:val="left" w:pos="0"/>
          <w:tab w:val="left" w:pos="4962"/>
        </w:tabs>
        <w:spacing w:after="0" w:line="240" w:lineRule="auto"/>
        <w:ind w:firstLine="567"/>
        <w:contextualSpacing/>
        <w:jc w:val="both"/>
        <w:rPr>
          <w:rFonts w:eastAsia="Times New Roman"/>
          <w:sz w:val="24"/>
          <w:szCs w:val="24"/>
        </w:rPr>
      </w:pPr>
      <w:r>
        <w:rPr>
          <w:rFonts w:eastAsia="Times New Roman"/>
          <w:sz w:val="24"/>
          <w:szCs w:val="24"/>
        </w:rPr>
        <w:t>В 2019 году усовершенствовано законодательство о государственной гражданской службе в части формирования системы непрерывного профессионального развития государственных гражданских служащих, которая позволяет создать условия для получения государственными гражданскими служащими необходимых им знаний и умений посредством использования разнообразных форм, методов, технологий обучения и обмена актуальной информацией и опытом.</w:t>
      </w:r>
    </w:p>
    <w:p w:rsidR="007E27CB" w:rsidRDefault="008F141F">
      <w:pPr>
        <w:tabs>
          <w:tab w:val="left" w:pos="0"/>
          <w:tab w:val="left" w:pos="851"/>
          <w:tab w:val="left" w:pos="4962"/>
        </w:tabs>
        <w:spacing w:after="0" w:line="240" w:lineRule="auto"/>
        <w:ind w:firstLine="567"/>
        <w:jc w:val="both"/>
        <w:rPr>
          <w:rFonts w:eastAsia="Times New Roman"/>
          <w:sz w:val="24"/>
          <w:szCs w:val="24"/>
        </w:rPr>
      </w:pPr>
      <w:r>
        <w:rPr>
          <w:rFonts w:eastAsia="Times New Roman"/>
          <w:sz w:val="24"/>
          <w:szCs w:val="24"/>
        </w:rPr>
        <w:t>В образовательных мероприятиях приняли участие 1 043 государственных гражданских служащих Томской области.</w:t>
      </w:r>
    </w:p>
    <w:p w:rsidR="007E27CB" w:rsidRDefault="008F141F">
      <w:pPr>
        <w:tabs>
          <w:tab w:val="left" w:pos="0"/>
          <w:tab w:val="left" w:pos="851"/>
          <w:tab w:val="left" w:pos="4962"/>
        </w:tabs>
        <w:spacing w:after="0" w:line="240" w:lineRule="auto"/>
        <w:ind w:firstLine="567"/>
        <w:jc w:val="both"/>
        <w:rPr>
          <w:rFonts w:eastAsia="Times New Roman"/>
          <w:b/>
          <w:color w:val="FF0000"/>
          <w:sz w:val="24"/>
          <w:szCs w:val="24"/>
        </w:rPr>
      </w:pPr>
      <w:r>
        <w:rPr>
          <w:rFonts w:eastAsia="Times New Roman"/>
          <w:sz w:val="24"/>
          <w:szCs w:val="24"/>
        </w:rPr>
        <w:t>Уровень удовлетворенности результатами обучения (согласно анкетам обратной связи) составил 89%, на возможность использовать полученные знания и умения на практике указали 93% специалистов, прошедших обучение.</w:t>
      </w:r>
    </w:p>
    <w:p w:rsidR="007E27CB" w:rsidRDefault="007E27CB">
      <w:pPr>
        <w:tabs>
          <w:tab w:val="left" w:pos="4962"/>
        </w:tabs>
        <w:spacing w:after="0" w:line="240" w:lineRule="auto"/>
        <w:ind w:firstLine="567"/>
        <w:jc w:val="center"/>
        <w:rPr>
          <w:rFonts w:eastAsia="Times New Roman"/>
          <w:b/>
          <w:sz w:val="24"/>
          <w:szCs w:val="24"/>
        </w:rPr>
      </w:pPr>
    </w:p>
    <w:p w:rsidR="007E27CB" w:rsidRDefault="008F141F">
      <w:pPr>
        <w:tabs>
          <w:tab w:val="left" w:pos="0"/>
          <w:tab w:val="left" w:pos="567"/>
        </w:tabs>
        <w:spacing w:after="0" w:line="240" w:lineRule="auto"/>
        <w:ind w:firstLine="567"/>
        <w:jc w:val="both"/>
        <w:rPr>
          <w:rFonts w:eastAsia="Times New Roman"/>
          <w:i/>
          <w:sz w:val="24"/>
          <w:szCs w:val="24"/>
        </w:rPr>
      </w:pPr>
      <w:r>
        <w:rPr>
          <w:rFonts w:eastAsia="Times New Roman"/>
          <w:i/>
          <w:sz w:val="24"/>
          <w:szCs w:val="24"/>
        </w:rPr>
        <w:t>РАЗВИТИЕ КАДРОВОГО ПОТЕНЦИАЛА РЕГИОНА</w:t>
      </w:r>
    </w:p>
    <w:p w:rsidR="007E27CB" w:rsidRDefault="008F141F">
      <w:pPr>
        <w:widowControl w:val="0"/>
        <w:tabs>
          <w:tab w:val="left" w:pos="0"/>
          <w:tab w:val="left" w:pos="4962"/>
        </w:tabs>
        <w:spacing w:after="0" w:line="240" w:lineRule="auto"/>
        <w:ind w:firstLine="567"/>
        <w:jc w:val="both"/>
        <w:rPr>
          <w:sz w:val="24"/>
          <w:szCs w:val="24"/>
        </w:rPr>
      </w:pPr>
      <w:r>
        <w:rPr>
          <w:color w:val="000000"/>
          <w:sz w:val="24"/>
          <w:szCs w:val="24"/>
        </w:rPr>
        <w:t xml:space="preserve">В целях повышения качества руководящего состава системы государственного управления, местного самоуправления, а также подведомственных учреждений, предприятий в Томской области ведется работа по формированию и использованию Резерва управленческих кадров Томской области. </w:t>
      </w:r>
      <w:r>
        <w:rPr>
          <w:sz w:val="24"/>
          <w:szCs w:val="24"/>
        </w:rPr>
        <w:t>Обновление состава осуществляется ежеквартально при включении в установленном порядке новых лиц в Резерв, а также в результате исключения резервистов по соответствующим основаниям.</w:t>
      </w:r>
    </w:p>
    <w:p w:rsidR="007E27CB" w:rsidRDefault="008F141F">
      <w:pPr>
        <w:tabs>
          <w:tab w:val="left" w:pos="0"/>
          <w:tab w:val="left" w:pos="4962"/>
        </w:tabs>
        <w:spacing w:after="0" w:line="240" w:lineRule="auto"/>
        <w:ind w:firstLine="567"/>
        <w:jc w:val="both"/>
        <w:rPr>
          <w:sz w:val="24"/>
          <w:szCs w:val="24"/>
        </w:rPr>
      </w:pPr>
      <w:r>
        <w:rPr>
          <w:sz w:val="24"/>
          <w:szCs w:val="24"/>
        </w:rPr>
        <w:t xml:space="preserve">В 2019 году в </w:t>
      </w:r>
      <w:r>
        <w:rPr>
          <w:color w:val="000000"/>
          <w:sz w:val="24"/>
          <w:szCs w:val="24"/>
        </w:rPr>
        <w:t>Резерв управленческих кадров Томской области</w:t>
      </w:r>
      <w:r>
        <w:rPr>
          <w:sz w:val="24"/>
          <w:szCs w:val="24"/>
        </w:rPr>
        <w:t xml:space="preserve"> включено 94 человека, в том числе на должности руководителей и заместителей руководителей исполнительных органов государственной власти Томской области, структурных подразделений Администрации Томской области – 2 человека, на должности руководителей учреждений, предприятий – 92 человека. </w:t>
      </w:r>
    </w:p>
    <w:p w:rsidR="007E27CB" w:rsidRDefault="008F141F">
      <w:pPr>
        <w:tabs>
          <w:tab w:val="left" w:pos="0"/>
          <w:tab w:val="left" w:pos="4962"/>
        </w:tabs>
        <w:spacing w:after="0" w:line="240" w:lineRule="auto"/>
        <w:ind w:firstLine="567"/>
        <w:jc w:val="both"/>
        <w:rPr>
          <w:sz w:val="24"/>
          <w:szCs w:val="24"/>
        </w:rPr>
      </w:pPr>
      <w:r>
        <w:rPr>
          <w:sz w:val="24"/>
          <w:szCs w:val="24"/>
        </w:rPr>
        <w:t>По итогам 2019 года на должности, входящие в структуру Резерва, назначены 73 человека, из них 71 человек (97%) назначены из Резерва.</w:t>
      </w:r>
    </w:p>
    <w:p w:rsidR="007E27CB" w:rsidRDefault="008F141F">
      <w:pPr>
        <w:widowControl w:val="0"/>
        <w:tabs>
          <w:tab w:val="left" w:pos="0"/>
          <w:tab w:val="left" w:pos="4962"/>
        </w:tabs>
        <w:spacing w:after="0" w:line="240" w:lineRule="auto"/>
        <w:ind w:firstLine="567"/>
        <w:jc w:val="both"/>
        <w:rPr>
          <w:color w:val="000000"/>
          <w:sz w:val="24"/>
          <w:szCs w:val="24"/>
        </w:rPr>
      </w:pPr>
      <w:r>
        <w:rPr>
          <w:color w:val="000000"/>
          <w:sz w:val="24"/>
          <w:szCs w:val="24"/>
        </w:rPr>
        <w:t>С 2008 года Томская область участвует в реализации Государственного плана подготовки управленческих кадров для организаций народного хозяйства Российской Федерации. За истекший период обучение прошли 1 531 руководитель разного уровня томских предприятий и организаций, в 2018/2019 учебном году обучение прошли 25 человек (ТПУ – 13 чел., ТГУ – 12 чел.).</w:t>
      </w:r>
    </w:p>
    <w:p w:rsidR="007E27CB" w:rsidRDefault="008F141F">
      <w:pPr>
        <w:widowControl w:val="0"/>
        <w:tabs>
          <w:tab w:val="left" w:pos="0"/>
          <w:tab w:val="left" w:pos="4962"/>
        </w:tabs>
        <w:spacing w:after="0" w:line="240" w:lineRule="auto"/>
        <w:ind w:firstLine="567"/>
        <w:jc w:val="both"/>
        <w:rPr>
          <w:color w:val="000000"/>
          <w:sz w:val="24"/>
          <w:szCs w:val="24"/>
        </w:rPr>
      </w:pPr>
      <w:r>
        <w:rPr>
          <w:color w:val="000000"/>
          <w:sz w:val="24"/>
          <w:szCs w:val="24"/>
        </w:rPr>
        <w:t>В рамках Государственного плана на базе Российской академии народного хозяйства и государственной службы при Президенте Российской Федерации за счет средств федерального бюджета реализуется подготовка управленческих кадров в сфере здравоохранения, образования и культуры, которую в 2019 году прошли 44 человека.</w:t>
      </w:r>
    </w:p>
    <w:p w:rsidR="007E27CB" w:rsidRDefault="008F141F">
      <w:pPr>
        <w:widowControl w:val="0"/>
        <w:tabs>
          <w:tab w:val="left" w:pos="0"/>
          <w:tab w:val="left" w:pos="4962"/>
        </w:tabs>
        <w:spacing w:after="0" w:line="240" w:lineRule="auto"/>
        <w:ind w:firstLine="567"/>
        <w:jc w:val="both"/>
        <w:rPr>
          <w:color w:val="000000"/>
          <w:sz w:val="24"/>
          <w:szCs w:val="24"/>
        </w:rPr>
      </w:pPr>
      <w:r>
        <w:rPr>
          <w:color w:val="000000"/>
          <w:sz w:val="24"/>
          <w:szCs w:val="24"/>
        </w:rPr>
        <w:t xml:space="preserve">В 2019 году впервые проведен конкурс по формированию Молодежного резерва Томской области. </w:t>
      </w:r>
      <w:bookmarkStart w:id="4" w:name="_Toc3281854"/>
      <w:r>
        <w:rPr>
          <w:color w:val="000000"/>
          <w:sz w:val="24"/>
          <w:szCs w:val="24"/>
        </w:rPr>
        <w:t>Заявки на участие в конкурсе на включение в молодежный кадровый резерв подали 99 человек (лица в возрасте от 20 до 30 лет, проживающие, обучающиеся и (или) осуществляющие трудовую деятельность на территории Томской области в соответствии с утвержденным Положением). По результатам проведенных конкурсных процедур утвержден состав молодежного кадрового резерва Томской области в количестве 15 человек.</w:t>
      </w:r>
    </w:p>
    <w:p w:rsidR="007E27CB" w:rsidRDefault="007E27CB">
      <w:pPr>
        <w:widowControl w:val="0"/>
        <w:tabs>
          <w:tab w:val="left" w:pos="0"/>
          <w:tab w:val="left" w:pos="4962"/>
        </w:tabs>
        <w:spacing w:after="0" w:line="240" w:lineRule="auto"/>
        <w:ind w:firstLine="567"/>
        <w:jc w:val="center"/>
        <w:rPr>
          <w:b/>
          <w:color w:val="000000"/>
          <w:sz w:val="24"/>
          <w:szCs w:val="24"/>
        </w:rPr>
      </w:pPr>
      <w:bookmarkStart w:id="5" w:name="_Toc3281855"/>
      <w:bookmarkEnd w:id="4"/>
    </w:p>
    <w:p w:rsidR="007E27CB" w:rsidRDefault="008F141F">
      <w:pPr>
        <w:widowControl w:val="0"/>
        <w:tabs>
          <w:tab w:val="left" w:pos="0"/>
          <w:tab w:val="left" w:pos="4962"/>
        </w:tabs>
        <w:spacing w:after="0" w:line="240" w:lineRule="auto"/>
        <w:ind w:firstLine="567"/>
        <w:jc w:val="both"/>
        <w:rPr>
          <w:i/>
          <w:color w:val="000000"/>
          <w:sz w:val="24"/>
          <w:szCs w:val="24"/>
        </w:rPr>
      </w:pPr>
      <w:r>
        <w:rPr>
          <w:i/>
          <w:color w:val="000000"/>
          <w:sz w:val="24"/>
          <w:szCs w:val="24"/>
        </w:rPr>
        <w:t>СОДЕЙСТВИЕ РАЗВИТИЮ МУНИЦИПАЛЬНОЙ СЛУЖБЫ ТОМСКОЙ ОБЛАСТИ</w:t>
      </w:r>
    </w:p>
    <w:p w:rsidR="007E27CB" w:rsidRDefault="008F141F">
      <w:pPr>
        <w:tabs>
          <w:tab w:val="left" w:pos="0"/>
          <w:tab w:val="left" w:pos="851"/>
          <w:tab w:val="left" w:pos="4962"/>
        </w:tabs>
        <w:spacing w:after="0" w:line="240" w:lineRule="auto"/>
        <w:ind w:firstLine="567"/>
        <w:jc w:val="both"/>
        <w:rPr>
          <w:rFonts w:eastAsia="Times New Roman"/>
          <w:sz w:val="24"/>
          <w:szCs w:val="24"/>
        </w:rPr>
      </w:pPr>
      <w:r>
        <w:rPr>
          <w:sz w:val="24"/>
          <w:szCs w:val="24"/>
        </w:rPr>
        <w:t>В целях содействия развитию муниципальной службы организовано обучение 633 человек, замещающих муниципальные должности и должности муниципальной службы Томской области.</w:t>
      </w:r>
      <w:r>
        <w:rPr>
          <w:rFonts w:eastAsia="Times New Roman"/>
          <w:sz w:val="24"/>
          <w:szCs w:val="24"/>
        </w:rPr>
        <w:t xml:space="preserve"> </w:t>
      </w:r>
    </w:p>
    <w:p w:rsidR="007E27CB" w:rsidRDefault="008F141F">
      <w:pPr>
        <w:tabs>
          <w:tab w:val="left" w:pos="0"/>
          <w:tab w:val="left" w:pos="4962"/>
        </w:tabs>
        <w:spacing w:after="0" w:line="240" w:lineRule="auto"/>
        <w:ind w:firstLine="567"/>
        <w:jc w:val="both"/>
        <w:rPr>
          <w:sz w:val="24"/>
          <w:szCs w:val="24"/>
        </w:rPr>
      </w:pPr>
      <w:r>
        <w:rPr>
          <w:sz w:val="24"/>
          <w:szCs w:val="24"/>
        </w:rPr>
        <w:t>В рамках информационно-методического сопровождения деятельности органов местного самоуправления по вопросам развития муниципальной службы в Томской области разработаны следующие материалы:</w:t>
      </w:r>
    </w:p>
    <w:p w:rsidR="007E27CB" w:rsidRDefault="008F141F">
      <w:pPr>
        <w:pStyle w:val="a6"/>
        <w:numPr>
          <w:ilvl w:val="0"/>
          <w:numId w:val="198"/>
        </w:numPr>
        <w:tabs>
          <w:tab w:val="left" w:pos="0"/>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Справочник управляющего делами по реализации кадровых технологий на муниципальной службе в Томской области;</w:t>
      </w:r>
    </w:p>
    <w:p w:rsidR="007E27CB" w:rsidRDefault="008F141F">
      <w:pPr>
        <w:pStyle w:val="a6"/>
        <w:numPr>
          <w:ilvl w:val="0"/>
          <w:numId w:val="198"/>
        </w:numPr>
        <w:tabs>
          <w:tab w:val="left" w:pos="0"/>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на Портале дистанционного образования Администрации Томской области (</w:t>
      </w:r>
      <w:hyperlink r:id="rId35" w:history="1">
        <w:r>
          <w:rPr>
            <w:rStyle w:val="a9"/>
            <w:rFonts w:ascii="Times New Roman" w:hAnsi="Times New Roman"/>
            <w:sz w:val="24"/>
            <w:szCs w:val="24"/>
          </w:rPr>
          <w:t>http://sdoato.tomsk.gov.ru</w:t>
        </w:r>
      </w:hyperlink>
      <w:r>
        <w:rPr>
          <w:rFonts w:ascii="Times New Roman" w:hAnsi="Times New Roman"/>
          <w:sz w:val="24"/>
          <w:szCs w:val="24"/>
        </w:rPr>
        <w:t>) разработан раздел для муниципальных служащих в Томской области на базе модульной объектно-ориентированной динамической учебной среды Moodle, в котором размещены методические рекомендации по организации  кадровой работы на муниципальной службе.</w:t>
      </w:r>
    </w:p>
    <w:p w:rsidR="007E27CB" w:rsidRDefault="008F141F">
      <w:pPr>
        <w:pStyle w:val="a6"/>
        <w:spacing w:after="0" w:line="240" w:lineRule="auto"/>
        <w:ind w:left="0" w:firstLine="567"/>
        <w:jc w:val="both"/>
        <w:rPr>
          <w:rFonts w:ascii="Times New Roman" w:hAnsi="Times New Roman"/>
          <w:sz w:val="24"/>
          <w:szCs w:val="24"/>
        </w:rPr>
      </w:pPr>
      <w:r>
        <w:rPr>
          <w:rFonts w:ascii="Times New Roman" w:hAnsi="Times New Roman"/>
          <w:sz w:val="24"/>
          <w:szCs w:val="24"/>
        </w:rPr>
        <w:t>В целях повышения престижа муниципальной службы в Томской области, выявления и поддержки муниципальных служащих в Томской области, имеющих значительные достижения в области местного самоуправления, впервые проведен конкурс на звание «Лучший муниципальный служащий в Томской области». Для участия в конкурсе зарегистрировался 531 служащий, 58 человек стали финалистами, 18 – победителями конкурса.</w:t>
      </w:r>
      <w:bookmarkEnd w:id="3"/>
      <w:bookmarkEnd w:id="5"/>
    </w:p>
    <w:p w:rsidR="007E27CB" w:rsidRDefault="007E27CB">
      <w:pPr>
        <w:tabs>
          <w:tab w:val="left" w:pos="0"/>
          <w:tab w:val="left" w:pos="4962"/>
        </w:tabs>
        <w:spacing w:after="0" w:line="240" w:lineRule="auto"/>
        <w:ind w:firstLine="567"/>
        <w:jc w:val="both"/>
        <w:rPr>
          <w:sz w:val="24"/>
          <w:szCs w:val="24"/>
        </w:rPr>
      </w:pPr>
    </w:p>
    <w:p w:rsidR="007E27CB" w:rsidRDefault="008F141F">
      <w:pPr>
        <w:tabs>
          <w:tab w:val="left" w:pos="0"/>
          <w:tab w:val="left" w:pos="4962"/>
        </w:tabs>
        <w:spacing w:after="0" w:line="240" w:lineRule="auto"/>
        <w:ind w:firstLine="567"/>
        <w:jc w:val="both"/>
        <w:rPr>
          <w:i/>
          <w:sz w:val="24"/>
          <w:szCs w:val="24"/>
        </w:rPr>
      </w:pPr>
      <w:r>
        <w:rPr>
          <w:rFonts w:eastAsia="Times New Roman"/>
          <w:i/>
          <w:sz w:val="24"/>
          <w:szCs w:val="24"/>
        </w:rPr>
        <w:t>РЕАЛИЗАЦИЯ НАГРАДНОЙ ПОЛИТИКИ</w:t>
      </w:r>
    </w:p>
    <w:p w:rsidR="007E27CB" w:rsidRDefault="008F141F">
      <w:pPr>
        <w:tabs>
          <w:tab w:val="left" w:pos="0"/>
          <w:tab w:val="left" w:pos="900"/>
          <w:tab w:val="left" w:pos="4962"/>
        </w:tabs>
        <w:spacing w:after="0" w:line="240" w:lineRule="auto"/>
        <w:ind w:firstLine="567"/>
        <w:jc w:val="both"/>
        <w:rPr>
          <w:sz w:val="24"/>
          <w:szCs w:val="24"/>
        </w:rPr>
      </w:pPr>
      <w:r>
        <w:rPr>
          <w:sz w:val="24"/>
          <w:szCs w:val="24"/>
        </w:rPr>
        <w:t>За 2019 год в Томской области наградами разных уровней награждены более 2 000 томичей и жителей области:</w:t>
      </w:r>
    </w:p>
    <w:p w:rsidR="007E27CB" w:rsidRDefault="008F141F">
      <w:pPr>
        <w:pStyle w:val="a6"/>
        <w:numPr>
          <w:ilvl w:val="0"/>
          <w:numId w:val="199"/>
        </w:numPr>
        <w:tabs>
          <w:tab w:val="left" w:pos="0"/>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49 государственными наградами – по Указу Президента Российской Федерации;</w:t>
      </w:r>
    </w:p>
    <w:p w:rsidR="007E27CB" w:rsidRDefault="008F141F">
      <w:pPr>
        <w:pStyle w:val="a6"/>
        <w:numPr>
          <w:ilvl w:val="0"/>
          <w:numId w:val="199"/>
        </w:numPr>
        <w:tabs>
          <w:tab w:val="left" w:pos="0"/>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1 почетным званием «Почетный гражданин Томской области»;</w:t>
      </w:r>
    </w:p>
    <w:p w:rsidR="007E27CB" w:rsidRDefault="008F141F">
      <w:pPr>
        <w:pStyle w:val="a6"/>
        <w:numPr>
          <w:ilvl w:val="0"/>
          <w:numId w:val="199"/>
        </w:numPr>
        <w:tabs>
          <w:tab w:val="left" w:pos="0"/>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9 знаками отличия «За заслуги перед Томской областью»;</w:t>
      </w:r>
    </w:p>
    <w:p w:rsidR="007E27CB" w:rsidRDefault="008F141F">
      <w:pPr>
        <w:pStyle w:val="a6"/>
        <w:numPr>
          <w:ilvl w:val="0"/>
          <w:numId w:val="199"/>
        </w:numPr>
        <w:tabs>
          <w:tab w:val="left" w:pos="0"/>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34 знаками отличия «Родительская доблесть»;</w:t>
      </w:r>
    </w:p>
    <w:p w:rsidR="007E27CB" w:rsidRDefault="008F141F">
      <w:pPr>
        <w:pStyle w:val="a6"/>
        <w:numPr>
          <w:ilvl w:val="0"/>
          <w:numId w:val="199"/>
        </w:numPr>
        <w:tabs>
          <w:tab w:val="left" w:pos="0"/>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46 знаками отличия «За заслуги в сфере образования»;</w:t>
      </w:r>
    </w:p>
    <w:p w:rsidR="007E27CB" w:rsidRDefault="008F141F">
      <w:pPr>
        <w:pStyle w:val="a6"/>
        <w:numPr>
          <w:ilvl w:val="0"/>
          <w:numId w:val="199"/>
        </w:numPr>
        <w:tabs>
          <w:tab w:val="left" w:pos="0"/>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2 знаками «Милосердие и благотворительность»;</w:t>
      </w:r>
    </w:p>
    <w:p w:rsidR="007E27CB" w:rsidRDefault="008F141F">
      <w:pPr>
        <w:pStyle w:val="a6"/>
        <w:numPr>
          <w:ilvl w:val="0"/>
          <w:numId w:val="199"/>
        </w:numPr>
        <w:tabs>
          <w:tab w:val="left" w:pos="0"/>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13 Почетными грамотами Томской области;</w:t>
      </w:r>
    </w:p>
    <w:p w:rsidR="007E27CB" w:rsidRDefault="008F141F">
      <w:pPr>
        <w:pStyle w:val="a6"/>
        <w:numPr>
          <w:ilvl w:val="0"/>
          <w:numId w:val="199"/>
        </w:numPr>
        <w:tabs>
          <w:tab w:val="left" w:pos="0"/>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11 орденами «Томская слава»;</w:t>
      </w:r>
    </w:p>
    <w:p w:rsidR="007E27CB" w:rsidRDefault="008F141F">
      <w:pPr>
        <w:pStyle w:val="a6"/>
        <w:numPr>
          <w:ilvl w:val="0"/>
          <w:numId w:val="199"/>
        </w:numPr>
        <w:tabs>
          <w:tab w:val="left" w:pos="0"/>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110 медалями «За достижения»;</w:t>
      </w:r>
    </w:p>
    <w:p w:rsidR="007E27CB" w:rsidRDefault="008F141F">
      <w:pPr>
        <w:pStyle w:val="a6"/>
        <w:numPr>
          <w:ilvl w:val="0"/>
          <w:numId w:val="199"/>
        </w:numPr>
        <w:tabs>
          <w:tab w:val="left" w:pos="0"/>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28 знаками «Будущее Томской области»;</w:t>
      </w:r>
    </w:p>
    <w:p w:rsidR="007E27CB" w:rsidRDefault="008F141F">
      <w:pPr>
        <w:pStyle w:val="a6"/>
        <w:numPr>
          <w:ilvl w:val="0"/>
          <w:numId w:val="199"/>
        </w:numPr>
        <w:tabs>
          <w:tab w:val="left" w:pos="0"/>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581 Почетной грамотой Администрации Томской области;</w:t>
      </w:r>
    </w:p>
    <w:p w:rsidR="007E27CB" w:rsidRDefault="008F141F">
      <w:pPr>
        <w:pStyle w:val="a6"/>
        <w:numPr>
          <w:ilvl w:val="0"/>
          <w:numId w:val="199"/>
        </w:numPr>
        <w:tabs>
          <w:tab w:val="left" w:pos="0"/>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905 Благодарностями Администрации Томской области;</w:t>
      </w:r>
    </w:p>
    <w:p w:rsidR="007E27CB" w:rsidRDefault="008F141F">
      <w:pPr>
        <w:pStyle w:val="a6"/>
        <w:numPr>
          <w:ilvl w:val="0"/>
          <w:numId w:val="199"/>
        </w:numPr>
        <w:tabs>
          <w:tab w:val="left" w:pos="0"/>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513 памятными адресами от имени Губернатора Томской области;</w:t>
      </w:r>
    </w:p>
    <w:p w:rsidR="007E27CB" w:rsidRDefault="008F141F">
      <w:pPr>
        <w:pStyle w:val="a6"/>
        <w:numPr>
          <w:ilvl w:val="0"/>
          <w:numId w:val="199"/>
        </w:numPr>
        <w:tabs>
          <w:tab w:val="left" w:pos="0"/>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62 памятными подарками (наручными часами) от имени Губернатора Томской области.</w:t>
      </w:r>
    </w:p>
    <w:p w:rsidR="007E27CB" w:rsidRDefault="007E27CB">
      <w:pPr>
        <w:tabs>
          <w:tab w:val="left" w:pos="0"/>
        </w:tabs>
        <w:spacing w:after="0" w:line="240" w:lineRule="auto"/>
        <w:rPr>
          <w:sz w:val="24"/>
          <w:szCs w:val="24"/>
        </w:rPr>
      </w:pPr>
    </w:p>
    <w:p w:rsidR="007E27CB" w:rsidRDefault="008F141F">
      <w:pPr>
        <w:shd w:val="clear" w:color="auto" w:fill="F2F2F2" w:themeFill="background1" w:themeFillShade="F2"/>
        <w:tabs>
          <w:tab w:val="left" w:pos="4962"/>
        </w:tabs>
        <w:autoSpaceDE w:val="0"/>
        <w:autoSpaceDN w:val="0"/>
        <w:adjustRightInd w:val="0"/>
        <w:spacing w:after="0" w:line="240" w:lineRule="auto"/>
        <w:jc w:val="both"/>
        <w:rPr>
          <w:b/>
          <w:sz w:val="24"/>
          <w:szCs w:val="24"/>
        </w:rPr>
      </w:pPr>
      <w:r>
        <w:rPr>
          <w:b/>
          <w:sz w:val="24"/>
          <w:szCs w:val="24"/>
        </w:rPr>
        <w:t>Перспективные задачи</w:t>
      </w:r>
    </w:p>
    <w:p w:rsidR="007E27CB" w:rsidRDefault="007E27CB">
      <w:pPr>
        <w:pStyle w:val="a6"/>
        <w:tabs>
          <w:tab w:val="left" w:pos="0"/>
          <w:tab w:val="left" w:pos="4962"/>
        </w:tabs>
        <w:spacing w:after="0" w:line="240" w:lineRule="auto"/>
        <w:ind w:left="0"/>
        <w:jc w:val="both"/>
        <w:rPr>
          <w:rFonts w:ascii="Times New Roman" w:hAnsi="Times New Roman"/>
          <w:sz w:val="24"/>
          <w:szCs w:val="24"/>
        </w:rPr>
      </w:pPr>
    </w:p>
    <w:p w:rsidR="007E27CB" w:rsidRDefault="008F141F">
      <w:pPr>
        <w:pStyle w:val="a6"/>
        <w:numPr>
          <w:ilvl w:val="3"/>
          <w:numId w:val="213"/>
        </w:numPr>
        <w:tabs>
          <w:tab w:val="left" w:pos="0"/>
          <w:tab w:val="left" w:pos="284"/>
        </w:tabs>
        <w:spacing w:after="0" w:line="240" w:lineRule="auto"/>
        <w:ind w:left="0" w:firstLine="0"/>
        <w:jc w:val="both"/>
        <w:rPr>
          <w:rFonts w:ascii="Times New Roman" w:hAnsi="Times New Roman"/>
          <w:sz w:val="24"/>
          <w:szCs w:val="24"/>
        </w:rPr>
      </w:pPr>
      <w:r>
        <w:rPr>
          <w:rFonts w:ascii="Times New Roman" w:hAnsi="Times New Roman"/>
          <w:sz w:val="24"/>
          <w:szCs w:val="24"/>
        </w:rPr>
        <w:t>Проведение конкурса на звание «Лучший государственный гражданский служащий Томской области».</w:t>
      </w:r>
    </w:p>
    <w:p w:rsidR="007E27CB" w:rsidRDefault="008F141F">
      <w:pPr>
        <w:pStyle w:val="a6"/>
        <w:numPr>
          <w:ilvl w:val="3"/>
          <w:numId w:val="213"/>
        </w:numPr>
        <w:tabs>
          <w:tab w:val="left" w:pos="0"/>
          <w:tab w:val="left" w:pos="284"/>
        </w:tabs>
        <w:spacing w:after="0" w:line="240" w:lineRule="auto"/>
        <w:ind w:left="0" w:firstLine="0"/>
        <w:jc w:val="both"/>
        <w:rPr>
          <w:rFonts w:ascii="Times New Roman" w:hAnsi="Times New Roman"/>
          <w:sz w:val="24"/>
          <w:szCs w:val="24"/>
          <w:lang w:eastAsia="ar-SA"/>
        </w:rPr>
      </w:pPr>
      <w:r>
        <w:rPr>
          <w:rFonts w:ascii="Times New Roman" w:hAnsi="Times New Roman"/>
          <w:sz w:val="24"/>
          <w:szCs w:val="24"/>
        </w:rPr>
        <w:t xml:space="preserve">Внедрение методики </w:t>
      </w:r>
      <w:r>
        <w:rPr>
          <w:rFonts w:ascii="Times New Roman" w:hAnsi="Times New Roman"/>
          <w:sz w:val="24"/>
          <w:szCs w:val="24"/>
          <w:lang w:eastAsia="ar-SA"/>
        </w:rPr>
        <w:t>по формированию и использованию кадрового резерва Томской области, а также по оценке эффективности работы с лицами, состоящими в кадровом резерве Томской области.</w:t>
      </w:r>
    </w:p>
    <w:p w:rsidR="007E27CB" w:rsidRDefault="008F141F">
      <w:pPr>
        <w:pStyle w:val="a6"/>
        <w:numPr>
          <w:ilvl w:val="3"/>
          <w:numId w:val="213"/>
        </w:numPr>
        <w:tabs>
          <w:tab w:val="left" w:pos="0"/>
          <w:tab w:val="left" w:pos="284"/>
        </w:tabs>
        <w:spacing w:after="0" w:line="240" w:lineRule="auto"/>
        <w:ind w:left="0" w:firstLine="0"/>
        <w:jc w:val="both"/>
        <w:rPr>
          <w:rFonts w:ascii="Times New Roman" w:hAnsi="Times New Roman"/>
          <w:spacing w:val="-6"/>
          <w:sz w:val="24"/>
          <w:szCs w:val="24"/>
        </w:rPr>
      </w:pPr>
      <w:r>
        <w:rPr>
          <w:rFonts w:ascii="Times New Roman" w:hAnsi="Times New Roman"/>
          <w:spacing w:val="-6"/>
          <w:sz w:val="24"/>
          <w:szCs w:val="24"/>
        </w:rPr>
        <w:t>Внедрение методики оценки эффективности и результативности кадровых служб.</w:t>
      </w:r>
    </w:p>
    <w:p w:rsidR="007E27CB" w:rsidRDefault="008F141F">
      <w:pPr>
        <w:pStyle w:val="a6"/>
        <w:numPr>
          <w:ilvl w:val="3"/>
          <w:numId w:val="213"/>
        </w:numPr>
        <w:tabs>
          <w:tab w:val="left" w:pos="0"/>
          <w:tab w:val="left" w:pos="284"/>
        </w:tabs>
        <w:spacing w:after="0" w:line="240" w:lineRule="auto"/>
        <w:ind w:left="0" w:firstLine="0"/>
        <w:jc w:val="both"/>
        <w:rPr>
          <w:rFonts w:ascii="Times New Roman" w:hAnsi="Times New Roman"/>
          <w:spacing w:val="-6"/>
          <w:sz w:val="24"/>
          <w:szCs w:val="24"/>
        </w:rPr>
      </w:pPr>
      <w:r>
        <w:rPr>
          <w:rFonts w:ascii="Times New Roman" w:hAnsi="Times New Roman"/>
          <w:spacing w:val="-6"/>
          <w:sz w:val="24"/>
          <w:szCs w:val="24"/>
        </w:rPr>
        <w:t>Завершение работы по организации награждения юбилейным знаком «75 лет Томской области».</w:t>
      </w:r>
    </w:p>
    <w:p w:rsidR="007E27CB" w:rsidRDefault="007E27CB">
      <w:pPr>
        <w:pStyle w:val="a6"/>
        <w:tabs>
          <w:tab w:val="left" w:pos="0"/>
          <w:tab w:val="left" w:pos="4962"/>
        </w:tabs>
        <w:spacing w:after="0" w:line="240" w:lineRule="auto"/>
        <w:ind w:left="0" w:firstLine="567"/>
        <w:jc w:val="both"/>
        <w:rPr>
          <w:rFonts w:ascii="Times New Roman" w:hAnsi="Times New Roman"/>
          <w:sz w:val="24"/>
          <w:szCs w:val="24"/>
        </w:rPr>
      </w:pPr>
    </w:p>
    <w:p w:rsidR="007E27CB" w:rsidRDefault="008F141F">
      <w:pPr>
        <w:pStyle w:val="a6"/>
        <w:tabs>
          <w:tab w:val="left" w:pos="0"/>
        </w:tabs>
        <w:spacing w:after="0" w:line="240" w:lineRule="auto"/>
        <w:ind w:left="0" w:firstLine="567"/>
        <w:jc w:val="both"/>
        <w:rPr>
          <w:rFonts w:ascii="Times New Roman" w:hAnsi="Times New Roman"/>
          <w:b/>
          <w:sz w:val="24"/>
          <w:szCs w:val="24"/>
        </w:rPr>
      </w:pPr>
      <w:r>
        <w:rPr>
          <w:rFonts w:ascii="Times New Roman" w:hAnsi="Times New Roman"/>
          <w:b/>
          <w:sz w:val="24"/>
          <w:szCs w:val="24"/>
        </w:rPr>
        <w:t xml:space="preserve">ИНФОРМАЦИОННАЯ ПОЛИТИКА </w:t>
      </w:r>
    </w:p>
    <w:p w:rsidR="007E27CB" w:rsidRDefault="007E27CB">
      <w:pPr>
        <w:pStyle w:val="a6"/>
        <w:tabs>
          <w:tab w:val="left" w:pos="0"/>
        </w:tabs>
        <w:spacing w:after="0" w:line="240" w:lineRule="auto"/>
        <w:ind w:left="0" w:firstLine="567"/>
        <w:jc w:val="both"/>
        <w:rPr>
          <w:rFonts w:ascii="Times New Roman" w:hAnsi="Times New Roman"/>
          <w:b/>
          <w:sz w:val="24"/>
          <w:szCs w:val="24"/>
        </w:rPr>
      </w:pPr>
    </w:p>
    <w:p w:rsidR="007E27CB" w:rsidRDefault="008F141F">
      <w:pPr>
        <w:pStyle w:val="a6"/>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В 2019 году на системной основе обеспечено широкое информирование жителей Томской области о ходе и результатах реализации национальных проектов. Информационное сопровождение организовано в федеральных и региональных СМИ, в том числе на портале ТАСС «Будущее России: национальные проекты», на официальном сайте Администрации Томской области, в официальных аккаунтах Администрации Томской области в социальных сетях </w:t>
      </w:r>
      <w:r>
        <w:rPr>
          <w:rFonts w:ascii="Times New Roman" w:hAnsi="Times New Roman"/>
          <w:sz w:val="24"/>
          <w:szCs w:val="24"/>
          <w:lang w:val="en-US"/>
        </w:rPr>
        <w:t>Facebook</w:t>
      </w:r>
      <w:r>
        <w:rPr>
          <w:rFonts w:ascii="Times New Roman" w:hAnsi="Times New Roman"/>
          <w:sz w:val="24"/>
          <w:szCs w:val="24"/>
        </w:rPr>
        <w:t xml:space="preserve">, ВКонтакте, </w:t>
      </w:r>
      <w:r>
        <w:rPr>
          <w:rFonts w:ascii="Times New Roman" w:hAnsi="Times New Roman"/>
          <w:sz w:val="24"/>
          <w:szCs w:val="24"/>
          <w:lang w:val="en-US"/>
        </w:rPr>
        <w:t>Instagram</w:t>
      </w:r>
      <w:r>
        <w:rPr>
          <w:rFonts w:ascii="Times New Roman" w:hAnsi="Times New Roman"/>
          <w:sz w:val="24"/>
          <w:szCs w:val="24"/>
        </w:rPr>
        <w:t xml:space="preserve"> и «Одноклассники». </w:t>
      </w:r>
    </w:p>
    <w:p w:rsidR="007E27CB" w:rsidRDefault="008F141F">
      <w:pPr>
        <w:spacing w:after="0" w:line="240" w:lineRule="auto"/>
        <w:ind w:firstLine="567"/>
        <w:jc w:val="both"/>
        <w:rPr>
          <w:sz w:val="24"/>
          <w:szCs w:val="24"/>
        </w:rPr>
      </w:pPr>
      <w:r>
        <w:rPr>
          <w:sz w:val="24"/>
          <w:szCs w:val="24"/>
        </w:rPr>
        <w:t xml:space="preserve">Для широкой аудитории разработан и издан сборник инфографики «Национальные проекты в Томской области». Электронные версии издания размещены на официальном портале Администрации Томской области и интернет-ресурсах исполнительных органов государственной власти. По каждому из 12 национальных проектов разработаны и произведены видеоролики, которые размещались в эфире губернского телеканала «Томское время» и в официальных аккаунтах Администрации Томской области. </w:t>
      </w:r>
    </w:p>
    <w:p w:rsidR="007E27CB" w:rsidRDefault="008F141F">
      <w:pPr>
        <w:shd w:val="clear" w:color="auto" w:fill="FFFFFF"/>
        <w:spacing w:after="0" w:line="240" w:lineRule="auto"/>
        <w:ind w:firstLine="567"/>
        <w:jc w:val="both"/>
        <w:rPr>
          <w:sz w:val="24"/>
          <w:szCs w:val="24"/>
        </w:rPr>
      </w:pPr>
      <w:r>
        <w:rPr>
          <w:sz w:val="24"/>
          <w:szCs w:val="24"/>
        </w:rPr>
        <w:t xml:space="preserve">В рамках национального проекта «Экология» проведена информационная кампания «Томская область – мой чистый дом» по реализации реформы обращения с отходами, которая включала размещение наружной рекламы, аудио- и видеороликов, проведение экологического флешмоба, акций и конкурсов, ведение раздела «Реформа ТКО» на портале Tomsk.ru и сообществ в социальных сетях. </w:t>
      </w:r>
    </w:p>
    <w:p w:rsidR="007E27CB" w:rsidRDefault="008F141F">
      <w:pPr>
        <w:spacing w:after="0" w:line="240" w:lineRule="auto"/>
        <w:ind w:firstLine="567"/>
        <w:jc w:val="both"/>
        <w:rPr>
          <w:sz w:val="24"/>
          <w:szCs w:val="24"/>
        </w:rPr>
      </w:pPr>
      <w:r>
        <w:rPr>
          <w:sz w:val="24"/>
          <w:szCs w:val="24"/>
        </w:rPr>
        <w:t xml:space="preserve">По итогам 2019 года Томская область вошла в число регионов-лидеров по информационному сопровождению национального проекта «Безопасные и качественные автомобильные дороги», регион отмечен дипломом Министерства транспорта Российской Федерации. </w:t>
      </w:r>
    </w:p>
    <w:p w:rsidR="007E27CB" w:rsidRDefault="008F141F">
      <w:pPr>
        <w:shd w:val="clear" w:color="auto" w:fill="FFFFFF"/>
        <w:spacing w:after="0" w:line="240" w:lineRule="auto"/>
        <w:ind w:firstLine="567"/>
        <w:jc w:val="both"/>
        <w:rPr>
          <w:sz w:val="24"/>
          <w:szCs w:val="24"/>
        </w:rPr>
      </w:pPr>
      <w:r>
        <w:rPr>
          <w:sz w:val="24"/>
          <w:szCs w:val="24"/>
        </w:rPr>
        <w:t xml:space="preserve">Обеспечено широкое информационное сопровождение реализации региональных проектов, мероприятий Года театра, празднования 75-летия Томской области, перехода региона на цифровое ТВ, значимых мероприятий в сфере культуры и событийного туризма – фестивалей «Праздник топора», «Братина», «Этюды Севера», «Бронзовый витязь», Фестиваля кино стран Европейского союза, а также областного фестиваля «Наука 0+», региональных чемпионатов «Молодые профессионалы» и «Навыки мудрых», Архитектурного форума и Съезда строителей и проектировщиков, форума «НацПолитика. Томск 2019», Кубка России по гиревому спорту, Дней Томской области в Совете Федерации, деятельности Академии активного долголетия и других. </w:t>
      </w:r>
    </w:p>
    <w:p w:rsidR="007E27CB" w:rsidRDefault="008F141F">
      <w:pPr>
        <w:shd w:val="clear" w:color="auto" w:fill="FFFFFF"/>
        <w:spacing w:after="0" w:line="240" w:lineRule="auto"/>
        <w:ind w:firstLine="567"/>
        <w:jc w:val="both"/>
        <w:rPr>
          <w:sz w:val="24"/>
          <w:szCs w:val="24"/>
        </w:rPr>
      </w:pPr>
      <w:r>
        <w:rPr>
          <w:sz w:val="24"/>
          <w:szCs w:val="24"/>
        </w:rPr>
        <w:t xml:space="preserve">Проведена масштабная кампания по медиасопровождению и продвижению в социальных сетях форума молодых ученых </w:t>
      </w:r>
      <w:r>
        <w:rPr>
          <w:sz w:val="24"/>
          <w:szCs w:val="24"/>
          <w:lang w:val="en-US"/>
        </w:rPr>
        <w:t>U</w:t>
      </w:r>
      <w:r>
        <w:rPr>
          <w:sz w:val="24"/>
          <w:szCs w:val="24"/>
        </w:rPr>
        <w:t>-</w:t>
      </w:r>
      <w:r>
        <w:rPr>
          <w:sz w:val="24"/>
          <w:szCs w:val="24"/>
          <w:lang w:val="en-US"/>
        </w:rPr>
        <w:t>NOVUS</w:t>
      </w:r>
      <w:r>
        <w:rPr>
          <w:sz w:val="24"/>
          <w:szCs w:val="24"/>
        </w:rPr>
        <w:t xml:space="preserve">. В том числе организованы интервью с ключевыми организаторами и спикерами форума на сайте ТАСС, контент-сопровождение сайта форума, подготовка и размещение новостей в брендированном спецразделе на сайте ТАСС, на сайте Администрации Томской области, в социальных сетях. </w:t>
      </w:r>
    </w:p>
    <w:p w:rsidR="007E27CB" w:rsidRDefault="008F141F">
      <w:pPr>
        <w:shd w:val="clear" w:color="auto" w:fill="FFFFFF"/>
        <w:spacing w:after="0" w:line="240" w:lineRule="auto"/>
        <w:ind w:firstLine="567"/>
        <w:jc w:val="both"/>
        <w:rPr>
          <w:sz w:val="24"/>
          <w:szCs w:val="24"/>
        </w:rPr>
      </w:pPr>
      <w:r>
        <w:rPr>
          <w:sz w:val="24"/>
          <w:szCs w:val="24"/>
        </w:rPr>
        <w:t xml:space="preserve">Реализованы информационные кампании по безопасности дорожного движения, подготовке к паводку и пожароопасному сезону, вакцинации от гриппа и диспансеризации населения, обучению предпенсионеров, организации детского летнего отдыха, реализации проекта «Губернская ипотека», конкурса «Лидеры России», федерального проекта по популяризации добровольчества «Пазл добра», преимуществах перехода на газомоторное топливо, в том числе с использованием наружной рекламы. </w:t>
      </w:r>
    </w:p>
    <w:p w:rsidR="007E27CB" w:rsidRDefault="008F141F">
      <w:pPr>
        <w:spacing w:after="0" w:line="240" w:lineRule="auto"/>
        <w:ind w:firstLine="567"/>
        <w:jc w:val="both"/>
        <w:rPr>
          <w:sz w:val="24"/>
          <w:szCs w:val="24"/>
        </w:rPr>
      </w:pPr>
      <w:r>
        <w:rPr>
          <w:sz w:val="24"/>
          <w:szCs w:val="24"/>
        </w:rPr>
        <w:t>Обеспечено производство и прокат в региональных СМИ информационных роликов о настройке цифрового ТВ, оповещении населения о чрезвычайных ситуациях, проведении крупных мероприятий – Томского марафона, фестивалей «Сибирская братина» и «Праздник Топора». Также разработаны сценарии и сняты видеоролики «Учись в Томске», о развитии туристического потенциала Томской области, переработке дикоросов на русском, английском и китайском языках.</w:t>
      </w:r>
    </w:p>
    <w:p w:rsidR="007E27CB" w:rsidRDefault="008F141F">
      <w:pPr>
        <w:shd w:val="clear" w:color="auto" w:fill="FFFFFF"/>
        <w:spacing w:after="0" w:line="240" w:lineRule="auto"/>
        <w:ind w:firstLine="567"/>
        <w:jc w:val="both"/>
        <w:rPr>
          <w:sz w:val="24"/>
          <w:szCs w:val="24"/>
        </w:rPr>
      </w:pPr>
      <w:r>
        <w:rPr>
          <w:sz w:val="24"/>
          <w:szCs w:val="24"/>
        </w:rPr>
        <w:t xml:space="preserve">Организованы и проведены пресс-туры на объекты дорожного строительства и ремонта, промышленные предприятия, объекты по переработке биологических, древесных и твердых бытовых отходов, на открытие новых предприятий АПК, «Точек роста», по освещению деятельности рабочей группы по контролю за загрязняющими атмосферу выбросами. </w:t>
      </w:r>
    </w:p>
    <w:p w:rsidR="007E27CB" w:rsidRDefault="008F141F">
      <w:pPr>
        <w:spacing w:after="0" w:line="240" w:lineRule="auto"/>
        <w:ind w:firstLine="567"/>
        <w:jc w:val="both"/>
        <w:rPr>
          <w:sz w:val="24"/>
          <w:szCs w:val="24"/>
        </w:rPr>
      </w:pPr>
      <w:r>
        <w:rPr>
          <w:sz w:val="24"/>
          <w:szCs w:val="24"/>
        </w:rPr>
        <w:t xml:space="preserve">Позитивные новости о жизни Томской области регулярно выходили на лентах ведущих российских информационных агентств – ТАСС, «Интерфакс», РИА Новости, в эфире федеральных телеканалов Россия 1 и Россия 24, телеканала Совета Федерации «Вместе-РФ» (на канале вышел цикл репортажей о работе ведущих предприятий Томской области в сфере переработки леса, дикоросов, производства сельскохозяйственной продукции, пищевой отрасли, томских университетов с комментариями  заместителей губернатора), межгосударственной телерадиокомпании «Мир» (специальный репортаж о промышленных и научных достижениях Томской области, природном богатстве региона, в том числе о создании Васюганского природного заповедника). </w:t>
      </w:r>
    </w:p>
    <w:p w:rsidR="007E27CB" w:rsidRDefault="008F141F">
      <w:pPr>
        <w:spacing w:after="0" w:line="240" w:lineRule="auto"/>
        <w:ind w:firstLine="567"/>
        <w:jc w:val="both"/>
        <w:rPr>
          <w:sz w:val="24"/>
          <w:szCs w:val="24"/>
        </w:rPr>
      </w:pPr>
      <w:r>
        <w:rPr>
          <w:sz w:val="24"/>
          <w:szCs w:val="24"/>
          <w:shd w:val="clear" w:color="auto" w:fill="FFFFFF"/>
        </w:rPr>
        <w:t xml:space="preserve">В 2019 году при участии и поддержке Администрации Томской области изданы </w:t>
      </w:r>
      <w:r>
        <w:rPr>
          <w:sz w:val="24"/>
          <w:szCs w:val="24"/>
        </w:rPr>
        <w:t>каталог иконописи «Царица моя Преблагая», фотоальбом, посвященный новейшей истории плавания в ластах в Томской области и Чемпионату мира по плаванию в ластах, справочно-историческое издание «Территория действия» о первых руководителях Томской области. К проведению Дней Томской области в Совете Федерации подготовлен и издан аналитический вестник «Современное состояние и перспективы социально-экономического развития Томской области».</w:t>
      </w:r>
    </w:p>
    <w:p w:rsidR="007E27CB" w:rsidRDefault="008F141F">
      <w:pPr>
        <w:spacing w:after="0" w:line="240" w:lineRule="auto"/>
        <w:ind w:firstLine="567"/>
        <w:jc w:val="both"/>
        <w:rPr>
          <w:sz w:val="24"/>
          <w:szCs w:val="24"/>
        </w:rPr>
      </w:pPr>
      <w:r>
        <w:rPr>
          <w:sz w:val="24"/>
          <w:szCs w:val="24"/>
          <w:shd w:val="clear" w:color="auto" w:fill="FFFFFF"/>
        </w:rPr>
        <w:t>П</w:t>
      </w:r>
      <w:r>
        <w:rPr>
          <w:sz w:val="24"/>
          <w:szCs w:val="24"/>
        </w:rPr>
        <w:t>одготовлено около 200 публичных выступлений Губернатора. Интервью с главой региона вышли на информационных лентах агентства ТАСС, в программах «Евразия» межгосударственной телерадиокомпании «Мир», «Специальный репортаж» федерального телеканала «Россия 24», «Актуальное интервью» телеканала Совета Федерации «Вместе-РФ», «Линия Губернатора» (ГТРК «Томск») и «Первый о главном» (Губернский телеканал «Томское время»).</w:t>
      </w:r>
    </w:p>
    <w:p w:rsidR="007E27CB" w:rsidRDefault="008F141F">
      <w:pPr>
        <w:spacing w:after="0" w:line="240" w:lineRule="auto"/>
        <w:ind w:firstLine="567"/>
        <w:jc w:val="both"/>
        <w:rPr>
          <w:sz w:val="24"/>
          <w:szCs w:val="24"/>
        </w:rPr>
      </w:pPr>
      <w:r>
        <w:rPr>
          <w:sz w:val="24"/>
          <w:szCs w:val="24"/>
        </w:rPr>
        <w:t xml:space="preserve">Обеспечена эффективная работа телестудии Администрации Томской области, благодаря которой в эфир Губернского телеканала «Томское время» регулярно выходили интервью с заместителями Губернатора, руководителями исполнительных органов государственной власти. </w:t>
      </w:r>
    </w:p>
    <w:p w:rsidR="007E27CB" w:rsidRDefault="008F141F">
      <w:pPr>
        <w:spacing w:after="0" w:line="240" w:lineRule="auto"/>
        <w:ind w:firstLine="567"/>
        <w:jc w:val="both"/>
        <w:rPr>
          <w:sz w:val="24"/>
          <w:szCs w:val="24"/>
        </w:rPr>
      </w:pPr>
      <w:r>
        <w:rPr>
          <w:sz w:val="24"/>
          <w:szCs w:val="24"/>
        </w:rPr>
        <w:t xml:space="preserve">В 2019 году успешно решен вопрос о переходе Губернского телеканала «Томское время» на цифровое вещание в эфире </w:t>
      </w:r>
      <w:r>
        <w:rPr>
          <w:sz w:val="24"/>
          <w:szCs w:val="24"/>
          <w:shd w:val="clear" w:color="auto" w:fill="FFFFFF"/>
        </w:rPr>
        <w:t xml:space="preserve">Общественного телевидения России (ОТР). Тем самым программы регионального государственного телеканала стали доступны жителям всех городов и районов Томской области. Обеспечена информационная, методическая и финансовая поддержка районных СМИ. </w:t>
      </w:r>
    </w:p>
    <w:p w:rsidR="007E27CB" w:rsidRDefault="008F141F">
      <w:pPr>
        <w:spacing w:after="0" w:line="240" w:lineRule="auto"/>
        <w:ind w:firstLine="567"/>
        <w:jc w:val="both"/>
        <w:rPr>
          <w:sz w:val="24"/>
          <w:szCs w:val="24"/>
        </w:rPr>
      </w:pPr>
      <w:r>
        <w:rPr>
          <w:sz w:val="24"/>
          <w:szCs w:val="24"/>
        </w:rPr>
        <w:t xml:space="preserve">Проведена большая работа по развитию и продвижению официальных аккаунтов Томской области в социальных сетях. Благодаря содержательному контенту, который включает в себя актуальные посты, фото и видео, опросы, лонгриды, прямые трансляции, за 2019 год аудитория официальных пабликов Администрации Томской области выросла в 50 раз – с 920 до 50 000 человек. </w:t>
      </w:r>
    </w:p>
    <w:p w:rsidR="007E27CB" w:rsidRDefault="008F141F">
      <w:pPr>
        <w:spacing w:after="0" w:line="240" w:lineRule="auto"/>
        <w:ind w:firstLine="567"/>
        <w:jc w:val="both"/>
        <w:rPr>
          <w:sz w:val="24"/>
          <w:szCs w:val="24"/>
        </w:rPr>
      </w:pPr>
      <w:r>
        <w:rPr>
          <w:sz w:val="24"/>
          <w:szCs w:val="24"/>
        </w:rPr>
        <w:t xml:space="preserve">По оценке компании Mail.ru Group по качеству социальных сетей Администрация Томской области занимает третье место в России. </w:t>
      </w:r>
    </w:p>
    <w:p w:rsidR="007E27CB" w:rsidRDefault="008F141F">
      <w:pPr>
        <w:spacing w:after="0" w:line="240" w:lineRule="auto"/>
        <w:ind w:firstLine="567"/>
        <w:jc w:val="both"/>
        <w:rPr>
          <w:sz w:val="24"/>
          <w:szCs w:val="24"/>
        </w:rPr>
      </w:pPr>
      <w:r>
        <w:rPr>
          <w:sz w:val="24"/>
          <w:szCs w:val="24"/>
        </w:rPr>
        <w:t>Выстроена эффективная система оперативного реагирования на обращения граждан в социальных сетях. К автоматизированной системе реагирования подключено 26 структурных подразделений Администрации Томской области и исполнительных органов государственной власти, администрации всех городских округов и районов. В 2019 году через систему даны ответы более чем на 8 900 сообщений (жалобы, вопросы, запросы на информацию). Среднее время ожидания пользователем ответа составляет 4-6 часов при нормативе 24 часа. Уровень удовлетворенности ответами по данным системы - около 75% (положительная или нейтральная реакция). В 2020 году стоит задача сократить максимальное время ожидания ответа до 8 часов, для сообщений повышенной важности – до 4 часов. Регион стабильно входит в «зеленую зону» по работе с обращениями граждан в социальных сетях.</w:t>
      </w:r>
    </w:p>
    <w:p w:rsidR="007E27CB" w:rsidRDefault="008F141F">
      <w:pPr>
        <w:spacing w:after="0" w:line="240" w:lineRule="auto"/>
        <w:ind w:firstLine="567"/>
        <w:jc w:val="both"/>
        <w:rPr>
          <w:sz w:val="24"/>
          <w:szCs w:val="24"/>
        </w:rPr>
      </w:pPr>
      <w:r>
        <w:rPr>
          <w:sz w:val="24"/>
          <w:szCs w:val="24"/>
        </w:rPr>
        <w:t>В 2019 году проведены социологические исследования по оценке деятельности органов федеральной и региональной исполнительной власти и информированности населения, уровня общественной безопасности и коррупции, изучению социального статуса людей с ограниченными возможностями здоровья в Томской области.</w:t>
      </w:r>
    </w:p>
    <w:p w:rsidR="007E27CB" w:rsidRDefault="007E27CB">
      <w:pPr>
        <w:spacing w:after="0" w:line="240" w:lineRule="auto"/>
        <w:ind w:firstLine="567"/>
        <w:jc w:val="both"/>
        <w:rPr>
          <w:i/>
          <w:iCs/>
          <w:sz w:val="24"/>
          <w:szCs w:val="24"/>
        </w:rPr>
      </w:pPr>
    </w:p>
    <w:p w:rsidR="007E27CB" w:rsidRDefault="008F141F">
      <w:pPr>
        <w:shd w:val="clear" w:color="auto" w:fill="F2F2F2"/>
        <w:autoSpaceDE w:val="0"/>
        <w:autoSpaceDN w:val="0"/>
        <w:spacing w:after="0" w:line="240" w:lineRule="auto"/>
        <w:jc w:val="both"/>
        <w:rPr>
          <w:b/>
          <w:bCs/>
          <w:sz w:val="24"/>
          <w:szCs w:val="24"/>
        </w:rPr>
      </w:pPr>
      <w:r>
        <w:rPr>
          <w:b/>
          <w:bCs/>
          <w:sz w:val="24"/>
          <w:szCs w:val="24"/>
        </w:rPr>
        <w:t>Перспективные задачи</w:t>
      </w:r>
    </w:p>
    <w:p w:rsidR="007E27CB" w:rsidRDefault="007E27CB">
      <w:pPr>
        <w:spacing w:after="0" w:line="240" w:lineRule="auto"/>
        <w:jc w:val="both"/>
        <w:rPr>
          <w:sz w:val="24"/>
          <w:szCs w:val="24"/>
        </w:rPr>
      </w:pPr>
    </w:p>
    <w:p w:rsidR="007E27CB" w:rsidRDefault="008F141F">
      <w:pPr>
        <w:spacing w:after="0" w:line="240" w:lineRule="auto"/>
        <w:jc w:val="both"/>
        <w:rPr>
          <w:sz w:val="24"/>
          <w:szCs w:val="24"/>
        </w:rPr>
      </w:pPr>
      <w:r>
        <w:rPr>
          <w:sz w:val="24"/>
          <w:szCs w:val="24"/>
        </w:rPr>
        <w:t xml:space="preserve">1. Информационное и медиасопровождение Общероссийского голосования. </w:t>
      </w:r>
    </w:p>
    <w:p w:rsidR="007E27CB" w:rsidRDefault="008F141F">
      <w:pPr>
        <w:spacing w:after="0" w:line="240" w:lineRule="auto"/>
        <w:jc w:val="both"/>
        <w:rPr>
          <w:sz w:val="24"/>
          <w:szCs w:val="24"/>
        </w:rPr>
      </w:pPr>
      <w:r>
        <w:rPr>
          <w:sz w:val="24"/>
          <w:szCs w:val="24"/>
        </w:rPr>
        <w:t>2. Информационное сопровождение мероприятий Года памяти и славы, Года рабочих профессий в Томской области.</w:t>
      </w:r>
    </w:p>
    <w:p w:rsidR="007E27CB" w:rsidRDefault="008F141F">
      <w:pPr>
        <w:spacing w:after="0" w:line="240" w:lineRule="auto"/>
        <w:jc w:val="both"/>
        <w:rPr>
          <w:sz w:val="24"/>
          <w:szCs w:val="24"/>
        </w:rPr>
      </w:pPr>
      <w:r>
        <w:rPr>
          <w:sz w:val="24"/>
          <w:szCs w:val="24"/>
        </w:rPr>
        <w:t>3. Развитие и продвижение официальных аккаунтов Администрации Томской области.</w:t>
      </w:r>
    </w:p>
    <w:p w:rsidR="007E27CB" w:rsidRDefault="008F141F">
      <w:pPr>
        <w:spacing w:after="0" w:line="240" w:lineRule="auto"/>
        <w:jc w:val="both"/>
        <w:rPr>
          <w:sz w:val="24"/>
          <w:szCs w:val="24"/>
        </w:rPr>
      </w:pPr>
      <w:r>
        <w:rPr>
          <w:sz w:val="24"/>
          <w:szCs w:val="24"/>
        </w:rPr>
        <w:t>4. Совершенствование системы реагирования на обращения граждан в социальных сетях.</w:t>
      </w:r>
    </w:p>
    <w:p w:rsidR="007E27CB" w:rsidRDefault="008F141F">
      <w:pPr>
        <w:spacing w:after="0" w:line="240" w:lineRule="auto"/>
        <w:jc w:val="both"/>
        <w:rPr>
          <w:sz w:val="24"/>
          <w:szCs w:val="24"/>
        </w:rPr>
      </w:pPr>
      <w:r>
        <w:rPr>
          <w:sz w:val="24"/>
          <w:szCs w:val="24"/>
        </w:rPr>
        <w:t>5. Информационная и методическая поддержка районных СМИ.</w:t>
      </w:r>
    </w:p>
    <w:p w:rsidR="007E27CB" w:rsidRDefault="008F141F">
      <w:pPr>
        <w:spacing w:after="0" w:line="240" w:lineRule="auto"/>
        <w:jc w:val="both"/>
        <w:rPr>
          <w:sz w:val="24"/>
          <w:szCs w:val="24"/>
        </w:rPr>
      </w:pPr>
      <w:r>
        <w:rPr>
          <w:sz w:val="24"/>
          <w:szCs w:val="24"/>
        </w:rPr>
        <w:t>6. Развитие Губернского телеканала «Томское время» и газеты «Томские новости».</w:t>
      </w:r>
    </w:p>
    <w:p w:rsidR="007E27CB" w:rsidRDefault="007E27CB">
      <w:pPr>
        <w:pStyle w:val="a6"/>
        <w:tabs>
          <w:tab w:val="left" w:pos="0"/>
        </w:tabs>
        <w:spacing w:after="0" w:line="240" w:lineRule="auto"/>
        <w:ind w:left="0" w:firstLine="709"/>
        <w:jc w:val="both"/>
        <w:rPr>
          <w:rFonts w:ascii="Times New Roman" w:hAnsi="Times New Roman"/>
          <w:sz w:val="24"/>
          <w:szCs w:val="24"/>
        </w:rPr>
      </w:pPr>
    </w:p>
    <w:p w:rsidR="007E27CB" w:rsidRDefault="008F141F">
      <w:pPr>
        <w:pStyle w:val="Pa7"/>
        <w:tabs>
          <w:tab w:val="left" w:pos="0"/>
        </w:tabs>
        <w:spacing w:line="240" w:lineRule="auto"/>
        <w:ind w:firstLine="567"/>
        <w:rPr>
          <w:rFonts w:ascii="Times New Roman" w:hAnsi="Times New Roman"/>
          <w:b/>
          <w:bCs/>
          <w:color w:val="000000"/>
        </w:rPr>
      </w:pPr>
      <w:r>
        <w:rPr>
          <w:rFonts w:ascii="Times New Roman" w:hAnsi="Times New Roman"/>
          <w:b/>
          <w:bCs/>
          <w:color w:val="000000"/>
        </w:rPr>
        <w:t>ЛИЦЕНЗИРОВАНИЕ</w:t>
      </w:r>
    </w:p>
    <w:p w:rsidR="007E27CB" w:rsidRDefault="007E27CB">
      <w:pPr>
        <w:pStyle w:val="Pa7"/>
        <w:tabs>
          <w:tab w:val="left" w:pos="4962"/>
        </w:tabs>
        <w:spacing w:line="240" w:lineRule="auto"/>
        <w:ind w:firstLine="567"/>
        <w:jc w:val="both"/>
        <w:rPr>
          <w:rFonts w:ascii="Times New Roman" w:hAnsi="Times New Roman"/>
          <w:color w:val="000000"/>
        </w:rPr>
      </w:pPr>
    </w:p>
    <w:p w:rsidR="007E27CB" w:rsidRDefault="008F141F">
      <w:pPr>
        <w:pStyle w:val="Pa7"/>
        <w:tabs>
          <w:tab w:val="left" w:pos="4962"/>
        </w:tabs>
        <w:spacing w:line="240" w:lineRule="auto"/>
        <w:ind w:firstLine="567"/>
        <w:jc w:val="both"/>
        <w:rPr>
          <w:rFonts w:ascii="Times New Roman" w:hAnsi="Times New Roman"/>
          <w:color w:val="000000"/>
        </w:rPr>
      </w:pPr>
      <w:r>
        <w:rPr>
          <w:rFonts w:ascii="Times New Roman" w:hAnsi="Times New Roman"/>
          <w:color w:val="000000"/>
        </w:rPr>
        <w:t>В сфере лицензионно-разрешительной деятельности мероприятия осуществлялись в рамках подпрограммы «Обеспечение реализации государственных полномочий в сфере лицензирования отдельных видов деятельности Томской области»</w:t>
      </w:r>
      <w:r>
        <w:rPr>
          <w:rFonts w:ascii="Times New Roman" w:hAnsi="Times New Roman"/>
        </w:rPr>
        <w:t xml:space="preserve"> </w:t>
      </w:r>
      <w:r>
        <w:rPr>
          <w:rFonts w:ascii="Times New Roman" w:hAnsi="Times New Roman"/>
          <w:color w:val="000000"/>
        </w:rPr>
        <w:t xml:space="preserve">государственной программы «Развитие предпринимательства и повышение эффективности государственного управления социально-экономическим развитием Томской области» и плана мероприятий («дорожной карты») «Внедрение в Томской области целевых моделей упрощения процедур ведения бизнеса и повышения инвестиционной привлекательности субъектов Российской Федерации». </w:t>
      </w:r>
    </w:p>
    <w:p w:rsidR="007E27CB" w:rsidRDefault="008F141F">
      <w:pPr>
        <w:pStyle w:val="Pa7"/>
        <w:tabs>
          <w:tab w:val="left" w:pos="4962"/>
        </w:tabs>
        <w:spacing w:line="240" w:lineRule="auto"/>
        <w:ind w:firstLine="567"/>
        <w:jc w:val="both"/>
        <w:rPr>
          <w:rFonts w:ascii="Times New Roman" w:hAnsi="Times New Roman"/>
          <w:color w:val="000000"/>
        </w:rPr>
      </w:pPr>
      <w:r>
        <w:rPr>
          <w:rFonts w:ascii="Times New Roman" w:hAnsi="Times New Roman"/>
          <w:color w:val="000000"/>
        </w:rPr>
        <w:t>За 2019 год выдано, переоформлено, продлено 2 020 лицензий, разрешений.</w:t>
      </w:r>
    </w:p>
    <w:p w:rsidR="007E27CB" w:rsidRDefault="008F141F">
      <w:pPr>
        <w:tabs>
          <w:tab w:val="left" w:pos="4962"/>
        </w:tabs>
        <w:spacing w:after="0" w:line="240" w:lineRule="auto"/>
        <w:ind w:firstLine="567"/>
        <w:jc w:val="both"/>
        <w:rPr>
          <w:rFonts w:eastAsia="Times New Roman"/>
          <w:color w:val="FF0000"/>
          <w:sz w:val="24"/>
          <w:szCs w:val="24"/>
          <w:lang w:eastAsia="ru-RU"/>
        </w:rPr>
      </w:pPr>
      <w:r>
        <w:rPr>
          <w:rFonts w:eastAsia="Times New Roman"/>
          <w:color w:val="000000" w:themeColor="text1"/>
          <w:sz w:val="24"/>
          <w:szCs w:val="24"/>
          <w:lang w:eastAsia="ru-RU"/>
        </w:rPr>
        <w:t xml:space="preserve">В результате проведенных мероприятий по повышению качества осуществления административных процедур предоставления государственных услуг по лицензированию, выдаче разрешений уровень удовлетворенности заявителей качеством предоставления государственных услуг Комитетом по лицензированию Томской области (далее по разделу – Комитет по лицензированию) в 2019 году составил 100% от общего числа опрошенных. </w:t>
      </w:r>
    </w:p>
    <w:p w:rsidR="007E27CB" w:rsidRDefault="008F141F">
      <w:pPr>
        <w:tabs>
          <w:tab w:val="left" w:pos="4962"/>
        </w:tabs>
        <w:spacing w:after="0" w:line="240" w:lineRule="auto"/>
        <w:ind w:left="-57" w:firstLine="567"/>
        <w:jc w:val="both"/>
        <w:rPr>
          <w:rFonts w:eastAsia="Times New Roman"/>
          <w:color w:val="000000" w:themeColor="text1"/>
          <w:sz w:val="24"/>
          <w:szCs w:val="24"/>
          <w:lang w:eastAsia="ru-RU"/>
        </w:rPr>
      </w:pPr>
      <w:r>
        <w:rPr>
          <w:rFonts w:eastAsia="Times New Roman"/>
          <w:color w:val="000000" w:themeColor="text1"/>
          <w:sz w:val="24"/>
          <w:szCs w:val="24"/>
          <w:lang w:eastAsia="ru-RU"/>
        </w:rPr>
        <w:t>Обеспечена возможность получения информации о государственных услугах посредством использования телефонной связи, электронной почты, портала государственных услуг Российской Федерации, официального сайта органа.</w:t>
      </w:r>
    </w:p>
    <w:p w:rsidR="007E27CB" w:rsidRDefault="008F141F">
      <w:pPr>
        <w:tabs>
          <w:tab w:val="left" w:pos="4962"/>
        </w:tabs>
        <w:spacing w:after="0" w:line="240" w:lineRule="auto"/>
        <w:ind w:left="-57" w:firstLine="567"/>
        <w:jc w:val="both"/>
        <w:rPr>
          <w:rFonts w:eastAsia="Times New Roman"/>
          <w:color w:val="000000" w:themeColor="text1"/>
          <w:sz w:val="24"/>
          <w:szCs w:val="24"/>
          <w:lang w:eastAsia="ru-RU"/>
        </w:rPr>
      </w:pPr>
      <w:r>
        <w:rPr>
          <w:rFonts w:eastAsia="Times New Roman"/>
          <w:bCs/>
          <w:color w:val="000000" w:themeColor="text1"/>
          <w:sz w:val="24"/>
          <w:szCs w:val="24"/>
          <w:lang w:eastAsia="ru-RU"/>
        </w:rPr>
        <w:t xml:space="preserve">Заявитель может получить государственную услугу, обратившись непосредственно в Комитет по лицензированию, подав заявку в электронном виде с использованием </w:t>
      </w:r>
      <w:r>
        <w:rPr>
          <w:rFonts w:eastAsia="Times New Roman"/>
          <w:color w:val="000000" w:themeColor="text1"/>
          <w:sz w:val="24"/>
          <w:szCs w:val="24"/>
          <w:lang w:eastAsia="ru-RU"/>
        </w:rPr>
        <w:t xml:space="preserve">портала государственных услуг Российской Федерации, либо через </w:t>
      </w:r>
      <w:r>
        <w:rPr>
          <w:rFonts w:eastAsia="Times New Roman"/>
          <w:bCs/>
          <w:color w:val="000000" w:themeColor="text1"/>
          <w:sz w:val="24"/>
          <w:szCs w:val="24"/>
          <w:lang w:eastAsia="ru-RU"/>
        </w:rPr>
        <w:t>многофункциональный центр по предоставлению государственных и муниципальных услуг</w:t>
      </w:r>
      <w:r>
        <w:rPr>
          <w:rFonts w:eastAsia="Times New Roman"/>
          <w:color w:val="000000" w:themeColor="text1"/>
          <w:sz w:val="24"/>
          <w:szCs w:val="24"/>
          <w:lang w:eastAsia="ru-RU"/>
        </w:rPr>
        <w:t xml:space="preserve">. </w:t>
      </w:r>
    </w:p>
    <w:p w:rsidR="007E27CB" w:rsidRDefault="008F141F">
      <w:pPr>
        <w:tabs>
          <w:tab w:val="left" w:pos="4962"/>
        </w:tabs>
        <w:spacing w:after="0" w:line="240" w:lineRule="auto"/>
        <w:ind w:firstLine="567"/>
        <w:contextualSpacing/>
        <w:jc w:val="both"/>
        <w:rPr>
          <w:rFonts w:eastAsia="Times New Roman"/>
          <w:color w:val="000000" w:themeColor="text1"/>
          <w:sz w:val="24"/>
          <w:szCs w:val="24"/>
          <w:lang w:eastAsia="ru-RU"/>
        </w:rPr>
      </w:pPr>
      <w:r>
        <w:rPr>
          <w:rFonts w:eastAsia="Times New Roman"/>
          <w:color w:val="000000" w:themeColor="text1"/>
          <w:sz w:val="24"/>
          <w:szCs w:val="24"/>
          <w:lang w:eastAsia="ru-RU"/>
        </w:rPr>
        <w:t xml:space="preserve">С 2013 года </w:t>
      </w:r>
      <w:r>
        <w:rPr>
          <w:rFonts w:eastAsia="+mn-ea"/>
          <w:color w:val="000000" w:themeColor="text1"/>
          <w:kern w:val="24"/>
          <w:sz w:val="24"/>
          <w:szCs w:val="24"/>
          <w:lang w:eastAsia="ru-RU"/>
        </w:rPr>
        <w:t>процессы лицензирования, выдачи разрешений осуществляются с использованием АИС «Лицензирование отдельных видов деятельности». Использование автоматизированной информационной системы направлено на оптимизацию процесса предоставления государственных услуг. Ежегодно осуществляются мероприятия, направленные на модернизацию и дальнейшее развитие</w:t>
      </w:r>
      <w:r>
        <w:rPr>
          <w:color w:val="000000" w:themeColor="text1"/>
          <w:sz w:val="24"/>
          <w:szCs w:val="24"/>
        </w:rPr>
        <w:t xml:space="preserve"> </w:t>
      </w:r>
      <w:r>
        <w:rPr>
          <w:rFonts w:eastAsia="+mn-ea"/>
          <w:color w:val="000000" w:themeColor="text1"/>
          <w:kern w:val="24"/>
          <w:sz w:val="24"/>
          <w:szCs w:val="24"/>
          <w:lang w:eastAsia="ru-RU"/>
        </w:rPr>
        <w:t>автоматизированной информационной системы в соответствии с требованиями законодательства.</w:t>
      </w:r>
    </w:p>
    <w:p w:rsidR="007E27CB" w:rsidRDefault="008F141F">
      <w:pPr>
        <w:tabs>
          <w:tab w:val="left" w:pos="4962"/>
        </w:tabs>
        <w:spacing w:after="0" w:line="240" w:lineRule="auto"/>
        <w:ind w:firstLine="567"/>
        <w:jc w:val="both"/>
        <w:rPr>
          <w:rFonts w:eastAsia="Times New Roman"/>
          <w:color w:val="000000" w:themeColor="text1"/>
          <w:sz w:val="24"/>
          <w:szCs w:val="24"/>
          <w:lang w:eastAsia="ru-RU"/>
        </w:rPr>
      </w:pPr>
      <w:r>
        <w:rPr>
          <w:rFonts w:eastAsia="Times New Roman"/>
          <w:color w:val="000000" w:themeColor="text1"/>
          <w:sz w:val="24"/>
          <w:szCs w:val="24"/>
          <w:lang w:eastAsia="ru-RU"/>
        </w:rPr>
        <w:t>В результате время ожидания в очереди при стандартном обращении заявителя для получения государственных услуг по лицензированию, выдаче разрешений сокращено до 15 минут.</w:t>
      </w:r>
    </w:p>
    <w:p w:rsidR="007E27CB" w:rsidRDefault="008F141F">
      <w:pPr>
        <w:tabs>
          <w:tab w:val="left" w:pos="4962"/>
        </w:tabs>
        <w:spacing w:after="0" w:line="240" w:lineRule="auto"/>
        <w:ind w:firstLine="567"/>
        <w:jc w:val="both"/>
        <w:rPr>
          <w:rFonts w:eastAsia="Times New Roman"/>
          <w:color w:val="000000"/>
          <w:sz w:val="24"/>
          <w:szCs w:val="24"/>
          <w:lang w:eastAsia="ru-RU"/>
        </w:rPr>
      </w:pPr>
      <w:r>
        <w:rPr>
          <w:rFonts w:eastAsia="Times New Roman"/>
          <w:color w:val="000000" w:themeColor="text1"/>
          <w:sz w:val="24"/>
          <w:szCs w:val="24"/>
          <w:lang w:eastAsia="ru-RU"/>
        </w:rPr>
        <w:t>Представители Томской области приняли участие во Всероссийском конкурсе «Лучший водитель такси в России 2019» (г. Сочи), по итогам конкурса представитель Томской области занял четвертое место.</w:t>
      </w:r>
      <w:r>
        <w:rPr>
          <w:rFonts w:eastAsia="Times New Roman"/>
          <w:color w:val="000000"/>
          <w:sz w:val="24"/>
          <w:szCs w:val="24"/>
          <w:lang w:eastAsia="ru-RU"/>
        </w:rPr>
        <w:t xml:space="preserve"> </w:t>
      </w:r>
    </w:p>
    <w:p w:rsidR="007E27CB" w:rsidRDefault="008F141F">
      <w:pPr>
        <w:tabs>
          <w:tab w:val="left" w:pos="4962"/>
        </w:tabs>
        <w:spacing w:after="0" w:line="240" w:lineRule="auto"/>
        <w:ind w:firstLine="567"/>
        <w:jc w:val="both"/>
        <w:rPr>
          <w:rFonts w:eastAsia="Times New Roman"/>
          <w:color w:val="000000"/>
          <w:sz w:val="24"/>
          <w:szCs w:val="24"/>
          <w:lang w:eastAsia="ru-RU"/>
        </w:rPr>
      </w:pPr>
      <w:r>
        <w:rPr>
          <w:rFonts w:eastAsia="Times New Roman"/>
          <w:color w:val="000000"/>
          <w:sz w:val="24"/>
          <w:szCs w:val="24"/>
          <w:lang w:eastAsia="ru-RU"/>
        </w:rPr>
        <w:t>В сфере лицензирования медицинской деятельности в 2019 году внимания заслуживают следующие события, впервые:</w:t>
      </w:r>
    </w:p>
    <w:p w:rsidR="007E27CB" w:rsidRDefault="008F141F">
      <w:pPr>
        <w:pStyle w:val="a6"/>
        <w:numPr>
          <w:ilvl w:val="0"/>
          <w:numId w:val="3"/>
        </w:numPr>
        <w:tabs>
          <w:tab w:val="left" w:pos="851"/>
          <w:tab w:val="left" w:pos="4962"/>
        </w:tabs>
        <w:spacing w:after="0" w:line="240" w:lineRule="auto"/>
        <w:ind w:left="0"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детское лечебное учреждение Томской области (ОГАУЗ «Детская больница № 1») получило лицензию на осуществление медицинской реабилитации;</w:t>
      </w:r>
    </w:p>
    <w:p w:rsidR="007E27CB" w:rsidRDefault="008F141F">
      <w:pPr>
        <w:pStyle w:val="a6"/>
        <w:numPr>
          <w:ilvl w:val="0"/>
          <w:numId w:val="3"/>
        </w:numPr>
        <w:tabs>
          <w:tab w:val="left" w:pos="851"/>
          <w:tab w:val="left" w:pos="4962"/>
        </w:tabs>
        <w:autoSpaceDE w:val="0"/>
        <w:autoSpaceDN w:val="0"/>
        <w:adjustRightInd w:val="0"/>
        <w:spacing w:after="0" w:line="240" w:lineRule="auto"/>
        <w:ind w:left="0" w:firstLine="56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выдана лицензия областному государственному автономному учреждению здравоохранения «Больница № 2» на проведение работ по оказанию специализированной амбулаторной и стационарной медицинской помощи по гериатрии (в больнице открыт кабинет для амбулаторного приема лиц старше 60 лет и стационарное отделение на 10 коек для лечения больных с синдромом старческой астении);</w:t>
      </w:r>
    </w:p>
    <w:p w:rsidR="007E27CB" w:rsidRDefault="008F141F">
      <w:pPr>
        <w:pStyle w:val="a6"/>
        <w:numPr>
          <w:ilvl w:val="0"/>
          <w:numId w:val="3"/>
        </w:numPr>
        <w:tabs>
          <w:tab w:val="left" w:pos="851"/>
          <w:tab w:val="left" w:pos="4962"/>
        </w:tabs>
        <w:spacing w:after="0" w:line="240" w:lineRule="auto"/>
        <w:ind w:left="0" w:firstLine="56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в г. Колпашево пролицензирована медицинская деятельность 3 кабинетов по оказанию специализированной медицинской помощи детям по детской стоматологии (медицинская помощь будет оказываться бесплатно в рамках ОМС, кабинеты оснащены современным оборудованием в соответствии со стандартами Минздрава России и позволяют оказывать стоматологическую помощь детям в полном объеме);</w:t>
      </w:r>
    </w:p>
    <w:p w:rsidR="007E27CB" w:rsidRDefault="008F141F">
      <w:pPr>
        <w:pStyle w:val="a6"/>
        <w:numPr>
          <w:ilvl w:val="0"/>
          <w:numId w:val="3"/>
        </w:numPr>
        <w:tabs>
          <w:tab w:val="left" w:pos="851"/>
          <w:tab w:val="left" w:pos="4962"/>
        </w:tabs>
        <w:spacing w:after="0" w:line="240" w:lineRule="auto"/>
        <w:ind w:left="0" w:firstLine="56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в г. Колпашево пролицензирована медицинская деятельность ООО «Нефролайн - Томск», открывшего на базе Колпашевской районной больницы отделение гемодиализа для лиц с хронической почечной недостаточностью. Ранее пациенты, нуждающиеся в хроническом гемодиализе, были вынуждены получать медицинскую помощь в Томске.</w:t>
      </w:r>
    </w:p>
    <w:p w:rsidR="007E27CB" w:rsidRDefault="007E27CB">
      <w:pPr>
        <w:tabs>
          <w:tab w:val="left" w:pos="4962"/>
        </w:tabs>
        <w:spacing w:after="0" w:line="240" w:lineRule="auto"/>
        <w:ind w:firstLine="567"/>
        <w:jc w:val="both"/>
        <w:rPr>
          <w:rFonts w:eastAsia="Times New Roman"/>
          <w:color w:val="000000" w:themeColor="text1"/>
          <w:sz w:val="24"/>
          <w:szCs w:val="24"/>
          <w:lang w:eastAsia="ru-RU"/>
        </w:rPr>
      </w:pPr>
    </w:p>
    <w:p w:rsidR="007E27CB" w:rsidRDefault="008F141F">
      <w:pPr>
        <w:pStyle w:val="Default"/>
        <w:tabs>
          <w:tab w:val="left" w:pos="4962"/>
        </w:tabs>
        <w:ind w:firstLine="567"/>
        <w:jc w:val="both"/>
        <w:rPr>
          <w:i/>
          <w:color w:val="000000" w:themeColor="text1"/>
        </w:rPr>
      </w:pPr>
      <w:r>
        <w:rPr>
          <w:i/>
          <w:color w:val="000000" w:themeColor="text1"/>
        </w:rPr>
        <w:t xml:space="preserve">ЛИЦЕНЗИОННЫЙ КОНТРОЛЬ, РЕГИОНАЛЬНЫЙ ГОСУДАРСТВЕННЫЙ КОНТРОЛЬ </w:t>
      </w:r>
    </w:p>
    <w:p w:rsidR="007E27CB" w:rsidRDefault="008F141F">
      <w:pPr>
        <w:tabs>
          <w:tab w:val="left" w:pos="4962"/>
        </w:tabs>
        <w:autoSpaceDE w:val="0"/>
        <w:autoSpaceDN w:val="0"/>
        <w:adjustRightInd w:val="0"/>
        <w:spacing w:after="0" w:line="240" w:lineRule="auto"/>
        <w:ind w:firstLine="567"/>
        <w:jc w:val="both"/>
        <w:rPr>
          <w:color w:val="000000" w:themeColor="text1"/>
          <w:sz w:val="24"/>
          <w:szCs w:val="24"/>
        </w:rPr>
      </w:pPr>
      <w:r>
        <w:rPr>
          <w:color w:val="000000" w:themeColor="text1"/>
          <w:sz w:val="24"/>
          <w:szCs w:val="24"/>
        </w:rPr>
        <w:t>Комитет по лицензированию осуществляет следующие виды контроля:</w:t>
      </w:r>
    </w:p>
    <w:p w:rsidR="007E27CB" w:rsidRDefault="008F141F">
      <w:pPr>
        <w:pStyle w:val="a6"/>
        <w:numPr>
          <w:ilvl w:val="0"/>
          <w:numId w:val="4"/>
        </w:numPr>
        <w:tabs>
          <w:tab w:val="left" w:pos="993"/>
          <w:tab w:val="left" w:pos="4962"/>
        </w:tabs>
        <w:autoSpaceDE w:val="0"/>
        <w:autoSpaceDN w:val="0"/>
        <w:adjustRightInd w:val="0"/>
        <w:spacing w:after="0" w:line="240" w:lineRule="auto"/>
        <w:ind w:left="0"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региональный государственный контроль за осуществлением перевозок пассажиров и багажа легковым такси;</w:t>
      </w:r>
    </w:p>
    <w:p w:rsidR="007E27CB" w:rsidRDefault="008F141F">
      <w:pPr>
        <w:pStyle w:val="a6"/>
        <w:numPr>
          <w:ilvl w:val="0"/>
          <w:numId w:val="4"/>
        </w:numPr>
        <w:tabs>
          <w:tab w:val="left" w:pos="993"/>
          <w:tab w:val="left" w:pos="4962"/>
        </w:tabs>
        <w:autoSpaceDE w:val="0"/>
        <w:autoSpaceDN w:val="0"/>
        <w:adjustRightInd w:val="0"/>
        <w:spacing w:after="0" w:line="240" w:lineRule="auto"/>
        <w:ind w:left="0"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лицензионный контроль заготовки, хранения, переработки и реализации лома черных металлов, цветных металлов;</w:t>
      </w:r>
    </w:p>
    <w:p w:rsidR="007E27CB" w:rsidRDefault="008F141F">
      <w:pPr>
        <w:pStyle w:val="a6"/>
        <w:numPr>
          <w:ilvl w:val="0"/>
          <w:numId w:val="4"/>
        </w:numPr>
        <w:tabs>
          <w:tab w:val="left" w:pos="993"/>
          <w:tab w:val="left" w:pos="4962"/>
        </w:tabs>
        <w:autoSpaceDE w:val="0"/>
        <w:autoSpaceDN w:val="0"/>
        <w:adjustRightInd w:val="0"/>
        <w:spacing w:after="0" w:line="240" w:lineRule="auto"/>
        <w:ind w:left="0" w:firstLine="567"/>
        <w:jc w:val="both"/>
        <w:rPr>
          <w:rFonts w:ascii="Times New Roman" w:hAnsi="Times New Roman"/>
          <w:color w:val="000000" w:themeColor="text1"/>
          <w:sz w:val="24"/>
          <w:szCs w:val="24"/>
        </w:rPr>
      </w:pPr>
      <w:r>
        <w:rPr>
          <w:rFonts w:ascii="Times New Roman" w:hAnsi="Times New Roman"/>
          <w:color w:val="000000" w:themeColor="text1"/>
          <w:sz w:val="24"/>
          <w:szCs w:val="24"/>
        </w:rPr>
        <w:t>государственный контроль (надзор) в сфере розничной продажи алкогольной и спиртосодержащей продукции.</w:t>
      </w:r>
    </w:p>
    <w:p w:rsidR="007E27CB" w:rsidRDefault="008F141F">
      <w:pPr>
        <w:tabs>
          <w:tab w:val="left" w:pos="4962"/>
        </w:tabs>
        <w:spacing w:after="0" w:line="240" w:lineRule="auto"/>
        <w:ind w:firstLine="567"/>
        <w:jc w:val="both"/>
        <w:rPr>
          <w:color w:val="000000" w:themeColor="text1"/>
          <w:sz w:val="24"/>
          <w:szCs w:val="24"/>
        </w:rPr>
      </w:pPr>
      <w:r>
        <w:rPr>
          <w:color w:val="000000" w:themeColor="text1"/>
          <w:sz w:val="24"/>
          <w:szCs w:val="24"/>
        </w:rPr>
        <w:t xml:space="preserve">В 2019 году Комитетом по лицензированию составлено 489 протоколов об административных правонарушениях, поступило административных штрафов на сумму  10 118,0 тыс. рублей. </w:t>
      </w:r>
      <w:r>
        <w:rPr>
          <w:rFonts w:eastAsia="Times New Roman"/>
          <w:color w:val="000000" w:themeColor="text1"/>
          <w:sz w:val="24"/>
          <w:szCs w:val="24"/>
          <w:lang w:eastAsia="ru-RU"/>
        </w:rPr>
        <w:t>Увеличение фактического значения показателя по сравнению с запланированным значением показателя поступления доходов в областной бюджет от взысканных штрафов составило 253</w:t>
      </w:r>
      <w:r>
        <w:rPr>
          <w:color w:val="000000" w:themeColor="text1"/>
          <w:sz w:val="24"/>
          <w:szCs w:val="24"/>
        </w:rPr>
        <w:t>,0%.</w:t>
      </w:r>
    </w:p>
    <w:p w:rsidR="007E27CB" w:rsidRDefault="008F141F">
      <w:pPr>
        <w:tabs>
          <w:tab w:val="left" w:pos="4962"/>
        </w:tabs>
        <w:spacing w:after="0" w:line="240" w:lineRule="auto"/>
        <w:ind w:firstLine="567"/>
        <w:jc w:val="both"/>
        <w:rPr>
          <w:rFonts w:eastAsia="Times New Roman"/>
          <w:color w:val="000000" w:themeColor="text1"/>
          <w:sz w:val="24"/>
          <w:szCs w:val="24"/>
          <w:lang w:eastAsia="ru-RU"/>
        </w:rPr>
      </w:pPr>
      <w:r>
        <w:rPr>
          <w:rFonts w:eastAsia="Times New Roman"/>
          <w:color w:val="000000" w:themeColor="text1"/>
          <w:sz w:val="24"/>
          <w:szCs w:val="24"/>
          <w:lang w:eastAsia="ru-RU"/>
        </w:rPr>
        <w:t>С мая 2019 года орган проводит контрольные закупки. Внедрение новой процедуры повысило действенность контрольно-надзорной деятельности органа в части установления фактов нарушения подконтрольными субъектами временного запрета реализации алкогольной продукции.</w:t>
      </w:r>
    </w:p>
    <w:p w:rsidR="007E27CB" w:rsidRDefault="008F141F">
      <w:pPr>
        <w:tabs>
          <w:tab w:val="left" w:pos="4962"/>
        </w:tabs>
        <w:spacing w:after="0" w:line="240" w:lineRule="auto"/>
        <w:ind w:firstLine="567"/>
        <w:jc w:val="both"/>
        <w:rPr>
          <w:rFonts w:eastAsia="Times New Roman"/>
          <w:color w:val="000000" w:themeColor="text1"/>
          <w:sz w:val="24"/>
          <w:szCs w:val="24"/>
          <w:lang w:eastAsia="ru-RU"/>
        </w:rPr>
      </w:pPr>
      <w:r>
        <w:rPr>
          <w:color w:val="000000" w:themeColor="text1"/>
          <w:sz w:val="24"/>
          <w:szCs w:val="24"/>
        </w:rPr>
        <w:t xml:space="preserve">В 2019 году </w:t>
      </w:r>
      <w:r>
        <w:rPr>
          <w:rFonts w:eastAsia="Times New Roman"/>
          <w:color w:val="000000" w:themeColor="text1"/>
          <w:sz w:val="24"/>
          <w:szCs w:val="24"/>
          <w:lang w:eastAsia="ru-RU"/>
        </w:rPr>
        <w:t>Томская область является лидером в СФО по количеству аннулированных лицензий на розничную продажу алкогольной продукции, по количеству проведенных органами исполнительной власти субъектов Российской Федерации внеплановых проверок, контрольных закупок, по количеству статей Кодекса Российской Федерации об административных правонарушениях, по которым органы исполнительной власти субъектов Российской Федерации возбуждали дела об административных правонарушениях. По этим же позициям Томская область занимает 3-е место по Российской Федерации.</w:t>
      </w:r>
    </w:p>
    <w:p w:rsidR="007E27CB" w:rsidRDefault="008F141F">
      <w:pPr>
        <w:tabs>
          <w:tab w:val="left" w:pos="4962"/>
        </w:tabs>
        <w:spacing w:after="0" w:line="240" w:lineRule="auto"/>
        <w:ind w:firstLine="567"/>
        <w:jc w:val="both"/>
        <w:rPr>
          <w:color w:val="000000" w:themeColor="text1"/>
          <w:sz w:val="24"/>
          <w:szCs w:val="24"/>
        </w:rPr>
      </w:pPr>
      <w:r>
        <w:rPr>
          <w:color w:val="000000" w:themeColor="text1"/>
          <w:sz w:val="24"/>
          <w:szCs w:val="24"/>
        </w:rPr>
        <w:t xml:space="preserve">В отчетном периоде Комитетом по лицензированию в рамках проведения мероприятий по контролю без взаимодействия с юридическими лицами, индивидуальными предпринимателями проведено 123 мероприятия в форме наблюдения за соблюдением обязательных требований непосредственно в торговых объектах, объектах общественного питания, направленных на выявление и пресечение нелегального оборота алкогольной продукции. </w:t>
      </w:r>
    </w:p>
    <w:p w:rsidR="007E27CB" w:rsidRDefault="008F141F">
      <w:pPr>
        <w:tabs>
          <w:tab w:val="left" w:pos="4962"/>
        </w:tabs>
        <w:spacing w:after="0" w:line="240" w:lineRule="auto"/>
        <w:ind w:firstLine="567"/>
        <w:jc w:val="both"/>
        <w:rPr>
          <w:rFonts w:eastAsia="Times New Roman"/>
          <w:color w:val="000000"/>
          <w:sz w:val="24"/>
          <w:szCs w:val="24"/>
          <w:lang w:eastAsia="ru-RU"/>
        </w:rPr>
      </w:pPr>
      <w:r>
        <w:rPr>
          <w:color w:val="000000" w:themeColor="text1"/>
          <w:sz w:val="24"/>
          <w:szCs w:val="24"/>
        </w:rPr>
        <w:t>С</w:t>
      </w:r>
      <w:r>
        <w:rPr>
          <w:rFonts w:eastAsia="Times New Roman"/>
          <w:color w:val="000000" w:themeColor="text1"/>
          <w:sz w:val="24"/>
          <w:szCs w:val="24"/>
          <w:lang w:eastAsia="ru-RU"/>
        </w:rPr>
        <w:t xml:space="preserve">овместно с правоохранительными органами проведен комплекс мероприятий по предотвращению нелегального оборота алкогольной продукции на территории Томской области. В ходе </w:t>
      </w:r>
      <w:r>
        <w:rPr>
          <w:rFonts w:eastAsia="Times New Roman"/>
          <w:color w:val="000000"/>
          <w:sz w:val="24"/>
          <w:szCs w:val="24"/>
          <w:lang w:eastAsia="ru-RU"/>
        </w:rPr>
        <w:t>проверок установлены факты оборота алкогольной продукции без лицензии на розничную продажу алкогольной продукции, без акцизных марок, без сопроводительных документов. По состоянию на 31.12.2019 из незаконного оборота изъято 6 124,15 литра алкогольной продукции (в том числе 2 143,15 литра изъято в ходе совместных мероприятий с представителями УФСБ России по Томской области), из них контрафактной алкогольной продукции (немаркированной федеральными специальными марками) более 163 литров, возбуждено 124 административных дела.</w:t>
      </w:r>
    </w:p>
    <w:p w:rsidR="007E27CB" w:rsidRDefault="008F141F">
      <w:pPr>
        <w:tabs>
          <w:tab w:val="left" w:pos="4962"/>
        </w:tabs>
        <w:spacing w:after="0" w:line="240" w:lineRule="auto"/>
        <w:ind w:firstLine="567"/>
        <w:jc w:val="both"/>
        <w:rPr>
          <w:rFonts w:eastAsia="Times New Roman"/>
          <w:color w:val="000000"/>
          <w:sz w:val="24"/>
          <w:szCs w:val="24"/>
          <w:lang w:eastAsia="ru-RU"/>
        </w:rPr>
      </w:pPr>
      <w:r>
        <w:rPr>
          <w:rFonts w:eastAsia="Times New Roman"/>
          <w:color w:val="000000"/>
          <w:sz w:val="24"/>
          <w:szCs w:val="24"/>
          <w:lang w:eastAsia="ru-RU"/>
        </w:rPr>
        <w:t xml:space="preserve">На постоянной основе проводился мониторинг фиксации розничной продажи маркируемой алкогольной продукции в Единой государственной автоматизированной информационной системе (далее по разделу </w:t>
      </w:r>
      <w:r>
        <w:rPr>
          <w:sz w:val="24"/>
          <w:szCs w:val="24"/>
        </w:rPr>
        <w:t>–</w:t>
      </w:r>
      <w:r>
        <w:rPr>
          <w:rFonts w:eastAsia="Times New Roman"/>
          <w:color w:val="000000"/>
          <w:sz w:val="24"/>
          <w:szCs w:val="24"/>
          <w:lang w:eastAsia="ru-RU"/>
        </w:rPr>
        <w:t xml:space="preserve"> ЕГАИС). По состоянию на 31.12.2019 в Томской области факт закупа маркируемой алкогольной продукции фиксировался в ЕГАИС в 100% магазинов, факт розничной продажи маркируемой алкогольной продукции фиксировался в ЕГАИС в 99,5 % магазинов. </w:t>
      </w:r>
    </w:p>
    <w:p w:rsidR="007E27CB" w:rsidRDefault="008F141F">
      <w:pPr>
        <w:tabs>
          <w:tab w:val="left" w:pos="4962"/>
        </w:tabs>
        <w:spacing w:after="0" w:line="240" w:lineRule="auto"/>
        <w:ind w:firstLine="567"/>
        <w:jc w:val="both"/>
        <w:rPr>
          <w:rFonts w:eastAsia="Times New Roman"/>
          <w:color w:val="000000"/>
          <w:sz w:val="24"/>
          <w:szCs w:val="24"/>
          <w:lang w:eastAsia="ru-RU"/>
        </w:rPr>
      </w:pPr>
      <w:r>
        <w:rPr>
          <w:rFonts w:eastAsia="Times New Roman"/>
          <w:color w:val="000000"/>
          <w:sz w:val="24"/>
          <w:szCs w:val="24"/>
          <w:lang w:eastAsia="ru-RU"/>
        </w:rPr>
        <w:t xml:space="preserve">Для борьбы с нарушениями на рынке розничной продажи алкогольной продукции в 2019 году Комитетом по лицензированию создана </w:t>
      </w:r>
      <w:r>
        <w:rPr>
          <w:rFonts w:eastAsia="+mj-ea"/>
          <w:bCs/>
          <w:color w:val="000000"/>
          <w:kern w:val="24"/>
          <w:sz w:val="24"/>
          <w:szCs w:val="24"/>
          <w:lang w:eastAsia="ru-RU"/>
        </w:rPr>
        <w:t>Интерактивная карта правонарушений в сфере розничной продажи алкогольной и спиртосодержащей продукции на территории Томской области (</w:t>
      </w:r>
      <w:r>
        <w:rPr>
          <w:rFonts w:eastAsia="+mj-ea"/>
          <w:bCs/>
          <w:color w:val="000000"/>
          <w:kern w:val="24"/>
          <w:sz w:val="24"/>
          <w:szCs w:val="24"/>
          <w:lang w:val="en-US" w:eastAsia="ru-RU"/>
        </w:rPr>
        <w:t>Web</w:t>
      </w:r>
      <w:r>
        <w:rPr>
          <w:rFonts w:eastAsia="+mj-ea"/>
          <w:bCs/>
          <w:color w:val="000000"/>
          <w:kern w:val="24"/>
          <w:sz w:val="24"/>
          <w:szCs w:val="24"/>
          <w:lang w:eastAsia="ru-RU"/>
        </w:rPr>
        <w:t>-сервис)</w:t>
      </w:r>
      <w:r>
        <w:rPr>
          <w:rFonts w:eastAsia="Times New Roman"/>
          <w:color w:val="000000"/>
          <w:sz w:val="24"/>
          <w:szCs w:val="24"/>
          <w:lang w:eastAsia="ru-RU"/>
        </w:rPr>
        <w:t>. Web-сервис позволяет жителям региона сообщить о правонарушении в сфере розничной продажи алкогольной и спиртосодержащей продукции посредством в</w:t>
      </w:r>
      <w:r>
        <w:rPr>
          <w:rFonts w:eastAsia="+mn-ea"/>
          <w:bCs/>
          <w:color w:val="000000"/>
          <w:kern w:val="24"/>
          <w:sz w:val="24"/>
          <w:szCs w:val="24"/>
          <w:lang w:eastAsia="ru-RU"/>
        </w:rPr>
        <w:t>ыбора на карте объекта торговли, в котором, по его мнению, совершается правонарушение</w:t>
      </w:r>
      <w:r>
        <w:rPr>
          <w:rFonts w:eastAsia="Times New Roman"/>
          <w:color w:val="000000"/>
          <w:sz w:val="24"/>
          <w:szCs w:val="24"/>
          <w:lang w:eastAsia="ru-RU"/>
        </w:rPr>
        <w:t>. По информации, имеющейся у Комитета по лицензированию, указанный сервис разработан только в Томской области.</w:t>
      </w:r>
    </w:p>
    <w:p w:rsidR="007E27CB" w:rsidRDefault="007E27CB">
      <w:pPr>
        <w:tabs>
          <w:tab w:val="left" w:pos="4962"/>
        </w:tabs>
        <w:autoSpaceDE w:val="0"/>
        <w:autoSpaceDN w:val="0"/>
        <w:adjustRightInd w:val="0"/>
        <w:spacing w:after="0" w:line="240" w:lineRule="auto"/>
        <w:ind w:firstLine="709"/>
        <w:jc w:val="both"/>
        <w:rPr>
          <w:color w:val="FF0000"/>
          <w:sz w:val="24"/>
          <w:szCs w:val="24"/>
        </w:rPr>
      </w:pPr>
    </w:p>
    <w:p w:rsidR="007E27CB" w:rsidRDefault="008F141F">
      <w:pPr>
        <w:shd w:val="clear" w:color="auto" w:fill="F2F2F2" w:themeFill="background1" w:themeFillShade="F2"/>
        <w:tabs>
          <w:tab w:val="left" w:pos="4962"/>
        </w:tabs>
        <w:autoSpaceDE w:val="0"/>
        <w:autoSpaceDN w:val="0"/>
        <w:adjustRightInd w:val="0"/>
        <w:spacing w:after="0" w:line="240" w:lineRule="auto"/>
        <w:jc w:val="both"/>
        <w:rPr>
          <w:b/>
          <w:sz w:val="24"/>
          <w:szCs w:val="24"/>
        </w:rPr>
      </w:pPr>
      <w:r>
        <w:rPr>
          <w:b/>
          <w:sz w:val="24"/>
          <w:szCs w:val="24"/>
        </w:rPr>
        <w:t>Перспективные задачи</w:t>
      </w:r>
    </w:p>
    <w:p w:rsidR="007E27CB" w:rsidRDefault="007E27CB">
      <w:pPr>
        <w:pStyle w:val="a6"/>
        <w:tabs>
          <w:tab w:val="left" w:pos="284"/>
          <w:tab w:val="left" w:pos="4962"/>
        </w:tabs>
        <w:autoSpaceDE w:val="0"/>
        <w:autoSpaceDN w:val="0"/>
        <w:adjustRightInd w:val="0"/>
        <w:spacing w:after="0" w:line="240" w:lineRule="auto"/>
        <w:ind w:left="0"/>
        <w:jc w:val="both"/>
        <w:rPr>
          <w:rFonts w:ascii="Times New Roman" w:hAnsi="Times New Roman"/>
          <w:sz w:val="24"/>
          <w:szCs w:val="24"/>
        </w:rPr>
      </w:pPr>
    </w:p>
    <w:p w:rsidR="007E27CB" w:rsidRDefault="008F141F">
      <w:pPr>
        <w:pStyle w:val="a6"/>
        <w:numPr>
          <w:ilvl w:val="0"/>
          <w:numId w:val="5"/>
        </w:numPr>
        <w:tabs>
          <w:tab w:val="left" w:pos="284"/>
          <w:tab w:val="left" w:pos="4962"/>
        </w:tabs>
        <w:autoSpaceDE w:val="0"/>
        <w:autoSpaceDN w:val="0"/>
        <w:adjustRightInd w:val="0"/>
        <w:spacing w:after="0" w:line="240" w:lineRule="auto"/>
        <w:ind w:left="0" w:firstLine="0"/>
        <w:jc w:val="both"/>
        <w:rPr>
          <w:rFonts w:ascii="Times New Roman" w:hAnsi="Times New Roman"/>
          <w:sz w:val="24"/>
          <w:szCs w:val="24"/>
        </w:rPr>
      </w:pPr>
      <w:r>
        <w:rPr>
          <w:rFonts w:ascii="Times New Roman" w:hAnsi="Times New Roman"/>
          <w:sz w:val="24"/>
          <w:szCs w:val="24"/>
        </w:rPr>
        <w:t>Осуществление мероприятий, направленных на дальнейшую реализацию Концепции развития механизмов предоставления государственных и муниципальных услуг в электронном виде.</w:t>
      </w:r>
    </w:p>
    <w:p w:rsidR="007E27CB" w:rsidRDefault="008F141F">
      <w:pPr>
        <w:pStyle w:val="a6"/>
        <w:numPr>
          <w:ilvl w:val="0"/>
          <w:numId w:val="5"/>
        </w:numPr>
        <w:tabs>
          <w:tab w:val="left" w:pos="284"/>
          <w:tab w:val="left" w:pos="4962"/>
        </w:tabs>
        <w:spacing w:after="0" w:line="240" w:lineRule="auto"/>
        <w:ind w:left="0" w:firstLine="0"/>
        <w:jc w:val="both"/>
        <w:rPr>
          <w:rFonts w:ascii="Times New Roman" w:eastAsia="Times New Roman" w:hAnsi="Times New Roman"/>
          <w:sz w:val="24"/>
          <w:szCs w:val="24"/>
          <w:lang w:eastAsia="ru-RU"/>
        </w:rPr>
      </w:pPr>
      <w:r>
        <w:rPr>
          <w:rFonts w:ascii="Times New Roman" w:hAnsi="Times New Roman"/>
          <w:sz w:val="24"/>
          <w:szCs w:val="24"/>
        </w:rPr>
        <w:t>Повышение качества предоставления государственных услуг в сфере лицензирования.</w:t>
      </w:r>
    </w:p>
    <w:p w:rsidR="007E27CB" w:rsidRDefault="008F141F">
      <w:pPr>
        <w:pStyle w:val="a6"/>
        <w:numPr>
          <w:ilvl w:val="0"/>
          <w:numId w:val="5"/>
        </w:numPr>
        <w:tabs>
          <w:tab w:val="left" w:pos="284"/>
          <w:tab w:val="left" w:pos="4962"/>
        </w:tabs>
        <w:autoSpaceDE w:val="0"/>
        <w:autoSpaceDN w:val="0"/>
        <w:adjustRightInd w:val="0"/>
        <w:spacing w:after="0" w:line="240" w:lineRule="auto"/>
        <w:ind w:left="0" w:firstLine="0"/>
        <w:jc w:val="both"/>
        <w:rPr>
          <w:rFonts w:ascii="Times New Roman" w:hAnsi="Times New Roman"/>
          <w:sz w:val="24"/>
          <w:szCs w:val="24"/>
        </w:rPr>
      </w:pPr>
      <w:r>
        <w:rPr>
          <w:rFonts w:ascii="Times New Roman" w:hAnsi="Times New Roman"/>
          <w:sz w:val="24"/>
          <w:szCs w:val="24"/>
        </w:rPr>
        <w:t>Осуществление мероприятий, направленных на повышение уровня эффективности организации контрольной деятельности, снижение административной нагрузки на субъекты предпринимательства.</w:t>
      </w:r>
    </w:p>
    <w:p w:rsidR="007E27CB" w:rsidRDefault="008F141F">
      <w:pPr>
        <w:pStyle w:val="a6"/>
        <w:numPr>
          <w:ilvl w:val="0"/>
          <w:numId w:val="5"/>
        </w:numPr>
        <w:tabs>
          <w:tab w:val="left" w:pos="284"/>
          <w:tab w:val="left" w:pos="4962"/>
        </w:tabs>
        <w:autoSpaceDE w:val="0"/>
        <w:autoSpaceDN w:val="0"/>
        <w:adjustRightInd w:val="0"/>
        <w:spacing w:after="0" w:line="240" w:lineRule="auto"/>
        <w:ind w:left="0" w:firstLine="0"/>
        <w:jc w:val="both"/>
        <w:rPr>
          <w:rFonts w:ascii="Times New Roman" w:eastAsia="Times New Roman" w:hAnsi="Times New Roman"/>
          <w:sz w:val="24"/>
          <w:szCs w:val="24"/>
          <w:lang w:eastAsia="ru-RU"/>
        </w:rPr>
      </w:pPr>
      <w:r>
        <w:rPr>
          <w:rFonts w:ascii="Times New Roman" w:hAnsi="Times New Roman"/>
          <w:sz w:val="24"/>
          <w:szCs w:val="24"/>
        </w:rPr>
        <w:t>Снижение возможного причинения ущерба гражданам от осуществления отдельных видов деятельности, подлежащих лицензированию.</w:t>
      </w:r>
    </w:p>
    <w:p w:rsidR="007E27CB" w:rsidRDefault="008F141F">
      <w:pPr>
        <w:pStyle w:val="a6"/>
        <w:numPr>
          <w:ilvl w:val="0"/>
          <w:numId w:val="5"/>
        </w:numPr>
        <w:tabs>
          <w:tab w:val="left" w:pos="284"/>
          <w:tab w:val="left" w:pos="4962"/>
        </w:tabs>
        <w:spacing w:after="0" w:line="240" w:lineRule="auto"/>
        <w:ind w:left="0" w:firstLine="0"/>
        <w:jc w:val="both"/>
        <w:rPr>
          <w:rFonts w:ascii="Times New Roman" w:eastAsia="Times New Roman" w:hAnsi="Times New Roman"/>
          <w:sz w:val="24"/>
          <w:szCs w:val="24"/>
          <w:lang w:eastAsia="ru-RU"/>
        </w:rPr>
      </w:pPr>
      <w:r>
        <w:rPr>
          <w:rFonts w:ascii="Times New Roman" w:hAnsi="Times New Roman"/>
          <w:sz w:val="24"/>
          <w:szCs w:val="24"/>
        </w:rPr>
        <w:t>Внедрение новых форм и методов работы по осуществлению контрольно-надзорных полномочий в сфере розничной продажи алкогольной и спиртосодержащей продукции.</w:t>
      </w:r>
    </w:p>
    <w:p w:rsidR="007E27CB" w:rsidRDefault="007E27CB">
      <w:pPr>
        <w:tabs>
          <w:tab w:val="left" w:pos="4962"/>
        </w:tabs>
        <w:spacing w:after="0" w:line="240" w:lineRule="auto"/>
        <w:jc w:val="both"/>
        <w:rPr>
          <w:bCs/>
          <w:sz w:val="24"/>
          <w:szCs w:val="24"/>
        </w:rPr>
      </w:pPr>
    </w:p>
    <w:p w:rsidR="007E27CB" w:rsidRDefault="008F141F">
      <w:pPr>
        <w:tabs>
          <w:tab w:val="left" w:pos="0"/>
        </w:tabs>
        <w:spacing w:after="0" w:line="240" w:lineRule="auto"/>
        <w:ind w:firstLine="567"/>
        <w:jc w:val="both"/>
        <w:rPr>
          <w:rFonts w:eastAsia="Times New Roman"/>
          <w:b/>
          <w:sz w:val="24"/>
          <w:szCs w:val="24"/>
        </w:rPr>
      </w:pPr>
      <w:r>
        <w:rPr>
          <w:rFonts w:eastAsia="Times New Roman"/>
          <w:b/>
          <w:sz w:val="24"/>
          <w:szCs w:val="24"/>
        </w:rPr>
        <w:t xml:space="preserve">ВЗАИМОДЕЙСТВИЕ ИСПОЛНИТЕЛЬНЫХ ОРГАНОВ ГОСУДАРСТВЕННОЙ ВЛАСТИ ТОМСКОЙ ОБЛАСТИ С ИНЫМИ ОРГАНАМИ ВЛАСТИ </w:t>
      </w:r>
    </w:p>
    <w:p w:rsidR="007E27CB" w:rsidRDefault="007E27CB">
      <w:pPr>
        <w:tabs>
          <w:tab w:val="left" w:pos="4962"/>
        </w:tabs>
        <w:spacing w:after="0" w:line="240" w:lineRule="auto"/>
        <w:ind w:firstLine="567"/>
        <w:rPr>
          <w:rFonts w:eastAsia="Times New Roman"/>
          <w:b/>
          <w:sz w:val="24"/>
          <w:szCs w:val="24"/>
        </w:rPr>
      </w:pPr>
    </w:p>
    <w:p w:rsidR="007E27CB" w:rsidRDefault="008F141F">
      <w:pPr>
        <w:pStyle w:val="a3"/>
        <w:ind w:firstLine="567"/>
      </w:pPr>
      <w:r>
        <w:tab/>
        <w:t xml:space="preserve">Более 25 лет Администрация Томской области, иные исполнительные органы государственной власти Томской области взаимодействуют с Законодательной Думой Томской области, исходя из интересов населения области, единства целей и задач в решении вопросов социально-экономического развития региона. </w:t>
      </w:r>
    </w:p>
    <w:p w:rsidR="007E27CB" w:rsidRDefault="008F141F">
      <w:pPr>
        <w:pStyle w:val="a3"/>
        <w:ind w:firstLine="567"/>
      </w:pPr>
      <w:r>
        <w:tab/>
        <w:t xml:space="preserve">Губернатор Томской области, обладая правом законодательной инициативы в Законодательной Думе Томской области, в 2019 году внес более 70% от числа принятых законов (принято 173 Закона Томской области). </w:t>
      </w:r>
      <w:r>
        <w:rPr>
          <w:b/>
        </w:rPr>
        <w:t>Губернатором Томской области были внесены и приняты Законодательной Думой Томской области более 20 законов Томской области,</w:t>
      </w:r>
      <w:r>
        <w:t xml:space="preserve"> являющихся базовыми (новыми) в сферах социальной, бюджетной и налоговой политики, транспортного обслуживания, в области обращения с животными, сфере защиты информации: </w:t>
      </w:r>
    </w:p>
    <w:p w:rsidR="007E27CB" w:rsidRDefault="008F141F">
      <w:pPr>
        <w:pStyle w:val="a3"/>
        <w:ind w:firstLine="567"/>
      </w:pPr>
      <w:r>
        <w:tab/>
        <w:t>Закон Томской области от 18.06.2019 № 52-ОЗ «О государственных информационных системах Томской области»;</w:t>
      </w:r>
    </w:p>
    <w:p w:rsidR="007E27CB" w:rsidRDefault="008F141F">
      <w:pPr>
        <w:pStyle w:val="a3"/>
        <w:ind w:firstLine="567"/>
      </w:pPr>
      <w:r>
        <w:tab/>
        <w:t>Закон Томской области от 29.11.2019 № 129-ОЗ «Об установлении на 2020 год коэффициента, отражающего особенности рынка труда Томской области при исчислении налога на доходы физических лиц для некоторых категорий иностранных граждан, осуществляющих трудовую деятельность по найму на территории Томской области на основании патента»;</w:t>
      </w:r>
    </w:p>
    <w:p w:rsidR="007E27CB" w:rsidRDefault="008F141F">
      <w:pPr>
        <w:pStyle w:val="a3"/>
        <w:ind w:firstLine="567"/>
      </w:pPr>
      <w:r>
        <w:tab/>
        <w:t>Закон Томской области от 11.12.2019 № 132-ОЗ «О регулировании отдельных вопросов реализации региональных инвестиционных проектов в Томской области»;</w:t>
      </w:r>
    </w:p>
    <w:p w:rsidR="007E27CB" w:rsidRDefault="008F141F">
      <w:pPr>
        <w:pStyle w:val="a3"/>
        <w:ind w:firstLine="567"/>
      </w:pPr>
      <w:r>
        <w:tab/>
        <w:t>Закон Томской области от 11.12.2019 № 136-ОЗ «Об установлении пониженной налоговой ставки налога на прибыль организаций, подлежащего зачислению в областной бюджет, для налогоплательщиков – участников региональных инвестиционных проектов в Томской области, включенных в реестр участников региональных инвестиционных проектов»;</w:t>
      </w:r>
    </w:p>
    <w:p w:rsidR="007E27CB" w:rsidRDefault="008F141F">
      <w:pPr>
        <w:pStyle w:val="a3"/>
        <w:ind w:firstLine="567"/>
      </w:pPr>
      <w:r>
        <w:tab/>
        <w:t>Закон Томской области от 25.12.2019 № 149-ОЗ «О перераспределении отдельных полномочий по осуществлению дорожной деятельности в части проектирования автомобильных дорог общего пользования местного значения – объектов капитального строительства муниципальной собственности между органами местного самоуправления муниципального образования «Город Томск» и органами государственной власти Томской области»;</w:t>
      </w:r>
    </w:p>
    <w:p w:rsidR="007E27CB" w:rsidRDefault="008F141F">
      <w:pPr>
        <w:pStyle w:val="a3"/>
        <w:ind w:firstLine="567"/>
      </w:pPr>
      <w:r>
        <w:tab/>
        <w:t>Закон Томской области от 25.12.2019 № 164-ОЗ «Об областном бюджете на 2020 год и на плановый период 2021 и 2022 годов»;</w:t>
      </w:r>
    </w:p>
    <w:p w:rsidR="007E27CB" w:rsidRDefault="008F141F">
      <w:pPr>
        <w:pStyle w:val="a3"/>
        <w:ind w:firstLine="567"/>
      </w:pPr>
      <w:r>
        <w:tab/>
        <w:t>Закон Томской области от 25.12.2019 № 156-ОЗ «О бюджете Территориального фонда обязательного медицинского страхования Томской области на 2020 год и на плановый период 2021 и 2022 годов»;</w:t>
      </w:r>
    </w:p>
    <w:p w:rsidR="007E27CB" w:rsidRDefault="008F141F">
      <w:pPr>
        <w:pStyle w:val="a3"/>
        <w:ind w:firstLine="567"/>
      </w:pPr>
      <w:r>
        <w:tab/>
        <w:t>Закон Томской области от 28.12.2019 № 169-ОЗ «О региональной социальной доплате к пенсии на территории Томской области»;</w:t>
      </w:r>
    </w:p>
    <w:p w:rsidR="007E27CB" w:rsidRDefault="008F141F">
      <w:pPr>
        <w:pStyle w:val="a3"/>
        <w:ind w:firstLine="567"/>
      </w:pPr>
      <w:r>
        <w:tab/>
        <w:t>Закон Томской области от 28.12.2019 № 171-ОЗ «О разграничении полномочий органов государственной власти Томской области в области обращения с животными на территории Томской области».</w:t>
      </w:r>
    </w:p>
    <w:p w:rsidR="007E27CB" w:rsidRDefault="008F141F">
      <w:pPr>
        <w:pStyle w:val="a3"/>
        <w:ind w:firstLine="567"/>
      </w:pPr>
      <w:r>
        <w:t xml:space="preserve">Интенсивное обновление федерального законодательства требует от органов власти Томской области не только принятия новых законов, но и совершенствование действующих. В 2019 году были </w:t>
      </w:r>
      <w:r>
        <w:rPr>
          <w:b/>
        </w:rPr>
        <w:t>внесены существенные изменения</w:t>
      </w:r>
      <w:r>
        <w:t xml:space="preserve"> в:</w:t>
      </w:r>
    </w:p>
    <w:p w:rsidR="007E27CB" w:rsidRDefault="008F141F">
      <w:pPr>
        <w:pStyle w:val="a3"/>
        <w:ind w:firstLine="567"/>
      </w:pPr>
      <w:r>
        <w:tab/>
        <w:t xml:space="preserve">Закон Томской области от 09.07.2019 № 69-ОЗ «О внесении изменений в Закон Томской области «О недропользовании на территории Томской области», которым в целях реализации федерального законодательства без проведения торгов предоставлено право  пользования участком недр местного значения для его геологического изучения в целях поисков и оценки месторождений общераспространенных полезных ископаемых, необходимых для выполнения работ по строительству, что позволит обеспечить исполнение поручений Президента Российской Федерации в части снижения стоимости работ по строительству. </w:t>
      </w:r>
    </w:p>
    <w:p w:rsidR="007E27CB" w:rsidRDefault="008F141F">
      <w:pPr>
        <w:pStyle w:val="a3"/>
        <w:ind w:firstLine="567"/>
      </w:pPr>
      <w:r>
        <w:tab/>
        <w:t xml:space="preserve">Закон Томской области от 09.09.2019 № 82-ОЗ «О внесении изменений в статьи 5 и 14 Закона Томской области «Об образовании в Томской области», который принят  в целях предоставления мер социальной поддержки по обеспечению бесплатным питанием за счет средств областного бюджета обучающихся в областных государственных общеобразовательных организациях, не проживающих в них, из числа детей из малоимущих семей. До внесения соответствующих изменений в Закон бесплатное питание указанной категории граждан не предоставлялось. </w:t>
      </w:r>
    </w:p>
    <w:p w:rsidR="007E27CB" w:rsidRDefault="008F141F">
      <w:pPr>
        <w:pStyle w:val="a3"/>
        <w:ind w:firstLine="567"/>
      </w:pPr>
      <w:r>
        <w:tab/>
        <w:t>Закон Томской области от 07.10.2019 № 97-ОЗ «О внесении изменения в статью 2 Закона Томской области «Об установлении случаев, при которых не требуется получение разрешения на строительство на территории Томской области». Принятие Закона позволило операторам мобильной связи устанавливать сотовые вышки без разрешения на строительство.</w:t>
      </w:r>
    </w:p>
    <w:p w:rsidR="007E27CB" w:rsidRDefault="008F141F">
      <w:pPr>
        <w:pStyle w:val="a3"/>
        <w:ind w:firstLine="567"/>
      </w:pPr>
      <w:r>
        <w:tab/>
        <w:t>Закон Томской области от 14.11.2019 № 111-ОЗ «О внесении изменений в Закон Томской области «О межбюджетных отношениях в Томской области» приведен в соответствие с Бюджетным кодексом Российской Федерации.</w:t>
      </w:r>
    </w:p>
    <w:p w:rsidR="007E27CB" w:rsidRDefault="008F141F">
      <w:pPr>
        <w:pStyle w:val="a3"/>
        <w:ind w:firstLine="567"/>
      </w:pPr>
      <w:r>
        <w:tab/>
        <w:t>Закон Томской области от 28.12.2019 № 173-ОЗ «О внесении изменений в Закон Томской области «О наделении органов местного самоуправления отдельными государственными полномочиями по регулированию численности безнадзорных животных», которым 20 муниципальных образований Томской области (муниципальных районов и городских округов) были наделены отдельными государственными полномочиями по организации мероприятий при осуществлении деятельности по обращению с животными без владельцев, по ранее действующей редакции Закона только 6 муниципальных образований были наделены указанными полномочиями.</w:t>
      </w:r>
    </w:p>
    <w:p w:rsidR="007E27CB" w:rsidRDefault="008F141F">
      <w:pPr>
        <w:pStyle w:val="a3"/>
        <w:ind w:firstLine="567"/>
      </w:pPr>
      <w:r>
        <w:t>Кроме того, в 2019 году были внесены также существенные изменения в действующие законы в целях социальной защиты населения, улучшения качества предоставляемых услуг, установлены дополнительные налоговые льготы для организаций, предоставляемые из областного бюджета.</w:t>
      </w:r>
    </w:p>
    <w:p w:rsidR="007E27CB" w:rsidRDefault="008F141F">
      <w:pPr>
        <w:pStyle w:val="a3"/>
        <w:ind w:firstLine="567"/>
      </w:pPr>
      <w:r>
        <w:t>Одной из форм взаимодействия с Законодательной Думой Томской области является участие в рабочих группах, комитетах, комиссиях, собраниях Думы руководителей исполнительных органов государственной власти Томской области или лиц, уполномоченных ими.</w:t>
      </w:r>
    </w:p>
    <w:p w:rsidR="007E27CB" w:rsidRDefault="008F141F">
      <w:pPr>
        <w:pStyle w:val="a3"/>
        <w:ind w:firstLine="567"/>
      </w:pPr>
      <w:r>
        <w:t>Так, благодаря слаженной работе комиссии по подготовке изменений в Устав (Основной Закон) Томской обасти, в 25 статей Закона были внесены изменения, которыми, в том числе, уточнены полномочия органов законодательной и исполнительной власти Томской области.</w:t>
      </w:r>
    </w:p>
    <w:p w:rsidR="007E27CB" w:rsidRDefault="008F141F">
      <w:pPr>
        <w:pStyle w:val="a3"/>
        <w:ind w:firstLine="567"/>
      </w:pPr>
      <w:r>
        <w:t>В рамках «Часа Губернатора» выступили заместители Губернатора Томской области по актуальным для жителей Томской области вопросам:</w:t>
      </w:r>
    </w:p>
    <w:p w:rsidR="007E27CB" w:rsidRDefault="008F141F">
      <w:pPr>
        <w:pStyle w:val="a3"/>
        <w:numPr>
          <w:ilvl w:val="0"/>
          <w:numId w:val="12"/>
        </w:numPr>
        <w:tabs>
          <w:tab w:val="left" w:pos="851"/>
        </w:tabs>
        <w:ind w:left="0" w:firstLine="567"/>
      </w:pPr>
      <w:r>
        <w:t xml:space="preserve">«Об итогах и особенностях приемной кампании 2019 года в организациях высшего и профессионального образования в Томской области»; </w:t>
      </w:r>
    </w:p>
    <w:p w:rsidR="007E27CB" w:rsidRDefault="008F141F">
      <w:pPr>
        <w:pStyle w:val="a3"/>
        <w:numPr>
          <w:ilvl w:val="0"/>
          <w:numId w:val="12"/>
        </w:numPr>
        <w:tabs>
          <w:tab w:val="left" w:pos="851"/>
        </w:tabs>
        <w:ind w:left="0" w:firstLine="567"/>
      </w:pPr>
      <w:r>
        <w:t>«О ходе подготовки к празднованию 75-й годовщины Победы в Великой Отечественной войне».</w:t>
      </w:r>
    </w:p>
    <w:p w:rsidR="007E27CB" w:rsidRDefault="008F141F">
      <w:pPr>
        <w:pStyle w:val="a3"/>
        <w:tabs>
          <w:tab w:val="left" w:pos="851"/>
        </w:tabs>
        <w:ind w:firstLine="567"/>
      </w:pPr>
      <w:r>
        <w:t>Представителями Администрации Томской области на комитетах, комиссиях Законодательной Думы Томской области были представлены:</w:t>
      </w:r>
    </w:p>
    <w:p w:rsidR="007E27CB" w:rsidRDefault="008F141F">
      <w:pPr>
        <w:pStyle w:val="a3"/>
        <w:numPr>
          <w:ilvl w:val="0"/>
          <w:numId w:val="13"/>
        </w:numPr>
        <w:tabs>
          <w:tab w:val="left" w:pos="851"/>
        </w:tabs>
        <w:ind w:left="0" w:firstLine="567"/>
      </w:pPr>
      <w:r>
        <w:t>Доклад Администрации Томской области о реализации государственной политики в сфере образования в Томской области за 2018 год;</w:t>
      </w:r>
    </w:p>
    <w:p w:rsidR="007E27CB" w:rsidRDefault="008F141F">
      <w:pPr>
        <w:pStyle w:val="a3"/>
        <w:numPr>
          <w:ilvl w:val="0"/>
          <w:numId w:val="13"/>
        </w:numPr>
        <w:tabs>
          <w:tab w:val="left" w:pos="851"/>
        </w:tabs>
        <w:ind w:left="0" w:firstLine="567"/>
      </w:pPr>
      <w:r>
        <w:t>Доклад о положении молодежи и реализации основных направлений государственной молодежной политики в Томской области в 2018 году;</w:t>
      </w:r>
    </w:p>
    <w:p w:rsidR="007E27CB" w:rsidRDefault="008F141F">
      <w:pPr>
        <w:pStyle w:val="a3"/>
        <w:numPr>
          <w:ilvl w:val="0"/>
          <w:numId w:val="13"/>
        </w:numPr>
        <w:tabs>
          <w:tab w:val="left" w:pos="851"/>
        </w:tabs>
        <w:ind w:left="0" w:firstLine="567"/>
      </w:pPr>
      <w:r>
        <w:t>Сводный годовой доклад о ходе реализации и об оценке эффективности государственных программ Томской области;</w:t>
      </w:r>
    </w:p>
    <w:p w:rsidR="007E27CB" w:rsidRDefault="008F141F">
      <w:pPr>
        <w:pStyle w:val="a3"/>
        <w:numPr>
          <w:ilvl w:val="0"/>
          <w:numId w:val="13"/>
        </w:numPr>
        <w:tabs>
          <w:tab w:val="left" w:pos="851"/>
        </w:tabs>
        <w:ind w:left="0" w:firstLine="567"/>
      </w:pPr>
      <w:r>
        <w:t>«Об итогах подготовки предприятий энергетического и жилищно-коммунального комплекса Томской области к отопительному сезону 2019 – 2020 годов»;</w:t>
      </w:r>
    </w:p>
    <w:p w:rsidR="007E27CB" w:rsidRDefault="008F141F">
      <w:pPr>
        <w:pStyle w:val="a3"/>
        <w:numPr>
          <w:ilvl w:val="0"/>
          <w:numId w:val="13"/>
        </w:numPr>
        <w:tabs>
          <w:tab w:val="left" w:pos="851"/>
        </w:tabs>
        <w:ind w:left="0" w:firstLine="567"/>
      </w:pPr>
      <w:r>
        <w:t xml:space="preserve">«Об организации психиатрической помощи населению Томской области»; </w:t>
      </w:r>
    </w:p>
    <w:p w:rsidR="007E27CB" w:rsidRDefault="008F141F">
      <w:pPr>
        <w:pStyle w:val="a3"/>
        <w:numPr>
          <w:ilvl w:val="0"/>
          <w:numId w:val="13"/>
        </w:numPr>
        <w:tabs>
          <w:tab w:val="left" w:pos="851"/>
        </w:tabs>
        <w:ind w:left="0" w:firstLine="567"/>
      </w:pPr>
      <w:r>
        <w:t>О реализации действующих Законов Томской области,  принятых и планируемых к принятию государственных программ Томской области, другие вопросы.</w:t>
      </w:r>
    </w:p>
    <w:p w:rsidR="007E27CB" w:rsidRDefault="008F141F">
      <w:pPr>
        <w:pStyle w:val="a3"/>
        <w:ind w:firstLine="567"/>
      </w:pPr>
      <w:r>
        <w:t>Проекты законов, обращений в федеральные органы власти, подготовленные депутатами Законодательной Думы Томской области, прокурором Томской области, другими субъектами права законодательной инициативы в Законодательной Думе Томской области, были внимательно изучены в Администрации Томской области и иных исполнительных органах власти Томской области, даны заключения, по ряду проектов совместно с депутатами, аппаратом Думы велась работа по их доработке.</w:t>
      </w:r>
    </w:p>
    <w:p w:rsidR="007E27CB" w:rsidRDefault="008F141F">
      <w:pPr>
        <w:pStyle w:val="a3"/>
        <w:ind w:firstLine="567"/>
      </w:pPr>
      <w:r>
        <w:t>Более 700 ответов с информационными материалами направлено в Законодательную Думу Томской области по запросам Думы.</w:t>
      </w:r>
    </w:p>
    <w:p w:rsidR="007E27CB" w:rsidRDefault="008F141F">
      <w:pPr>
        <w:pStyle w:val="a3"/>
        <w:ind w:firstLine="567"/>
      </w:pPr>
      <w:r>
        <w:t xml:space="preserve">Более 550 отзывов на проекты федеральных законов, поступивших в Администрацию Томской области, было направлено в Государственную Думу Федерального Собрания Российской Федерации. </w:t>
      </w:r>
    </w:p>
    <w:p w:rsidR="007E27CB" w:rsidRDefault="008F141F">
      <w:pPr>
        <w:pStyle w:val="a3"/>
        <w:ind w:firstLine="567"/>
      </w:pPr>
      <w:r>
        <w:t xml:space="preserve">На постоянной основе ведется работа с членами Совета Федерации Федерального Собрания Российской Федерации, депутатами Государственной Думы Федерального Собрания Российской Федерации, органами государственной власти субъектов Российской Федерации. </w:t>
      </w:r>
    </w:p>
    <w:p w:rsidR="007E27CB" w:rsidRDefault="008F141F">
      <w:pPr>
        <w:pStyle w:val="a3"/>
      </w:pPr>
      <w:r>
        <w:t xml:space="preserve">  </w:t>
      </w:r>
    </w:p>
    <w:p w:rsidR="007E27CB" w:rsidRDefault="008F141F">
      <w:pPr>
        <w:shd w:val="clear" w:color="auto" w:fill="F2F2F2" w:themeFill="background1" w:themeFillShade="F2"/>
        <w:tabs>
          <w:tab w:val="left" w:pos="284"/>
          <w:tab w:val="left" w:pos="4962"/>
        </w:tabs>
        <w:autoSpaceDE w:val="0"/>
        <w:autoSpaceDN w:val="0"/>
        <w:adjustRightInd w:val="0"/>
        <w:spacing w:after="0" w:line="240" w:lineRule="auto"/>
        <w:jc w:val="both"/>
        <w:rPr>
          <w:b/>
          <w:sz w:val="24"/>
          <w:szCs w:val="24"/>
        </w:rPr>
      </w:pPr>
      <w:r>
        <w:rPr>
          <w:b/>
          <w:sz w:val="24"/>
          <w:szCs w:val="24"/>
        </w:rPr>
        <w:t>Перспективные задачи</w:t>
      </w:r>
    </w:p>
    <w:p w:rsidR="007E27CB" w:rsidRDefault="007E27CB">
      <w:pPr>
        <w:tabs>
          <w:tab w:val="left" w:pos="284"/>
          <w:tab w:val="left" w:pos="4962"/>
        </w:tabs>
        <w:spacing w:after="0" w:line="240" w:lineRule="auto"/>
        <w:jc w:val="both"/>
        <w:rPr>
          <w:sz w:val="24"/>
          <w:szCs w:val="24"/>
        </w:rPr>
      </w:pPr>
    </w:p>
    <w:p w:rsidR="007E27CB" w:rsidRDefault="008F141F">
      <w:pPr>
        <w:pStyle w:val="a3"/>
        <w:numPr>
          <w:ilvl w:val="0"/>
          <w:numId w:val="11"/>
        </w:numPr>
        <w:tabs>
          <w:tab w:val="left" w:pos="284"/>
        </w:tabs>
        <w:ind w:left="0" w:firstLine="0"/>
      </w:pPr>
      <w:r>
        <w:t>Повышение качества и своевременности приведения законов Томской области в соответствие с федеральным законодательством.</w:t>
      </w:r>
    </w:p>
    <w:p w:rsidR="007E27CB" w:rsidRDefault="008F141F">
      <w:pPr>
        <w:pStyle w:val="a3"/>
        <w:numPr>
          <w:ilvl w:val="0"/>
          <w:numId w:val="11"/>
        </w:numPr>
        <w:tabs>
          <w:tab w:val="left" w:pos="284"/>
        </w:tabs>
        <w:ind w:left="0" w:firstLine="0"/>
      </w:pPr>
      <w:r>
        <w:t>Введение новых форм взаимодействия исполнительных органов государственной власти Томской области с иными органами власти.</w:t>
      </w:r>
    </w:p>
    <w:p w:rsidR="007E27CB" w:rsidRDefault="007E27CB">
      <w:pPr>
        <w:tabs>
          <w:tab w:val="left" w:pos="4962"/>
        </w:tabs>
        <w:spacing w:after="0" w:line="240" w:lineRule="auto"/>
        <w:ind w:firstLine="567"/>
        <w:jc w:val="both"/>
        <w:rPr>
          <w:color w:val="FF0000"/>
          <w:sz w:val="24"/>
          <w:szCs w:val="24"/>
        </w:rPr>
      </w:pPr>
    </w:p>
    <w:p w:rsidR="007E27CB" w:rsidRDefault="008F141F">
      <w:pPr>
        <w:spacing w:after="0" w:line="240" w:lineRule="auto"/>
        <w:ind w:firstLine="567"/>
        <w:jc w:val="both"/>
        <w:rPr>
          <w:b/>
          <w:sz w:val="24"/>
          <w:szCs w:val="24"/>
        </w:rPr>
      </w:pPr>
      <w:r>
        <w:rPr>
          <w:b/>
          <w:sz w:val="24"/>
          <w:szCs w:val="24"/>
        </w:rPr>
        <w:t xml:space="preserve">ПРОЕКТНАЯ ДЕЯТЕЛЬНОСТЬ </w:t>
      </w:r>
    </w:p>
    <w:p w:rsidR="007E27CB" w:rsidRDefault="007E27CB">
      <w:pPr>
        <w:spacing w:after="0" w:line="240" w:lineRule="auto"/>
        <w:ind w:firstLine="567"/>
        <w:jc w:val="both"/>
        <w:rPr>
          <w:color w:val="FF0000"/>
          <w:sz w:val="24"/>
          <w:szCs w:val="24"/>
        </w:rPr>
      </w:pPr>
    </w:p>
    <w:p w:rsidR="007E27CB" w:rsidRDefault="008F141F">
      <w:pPr>
        <w:spacing w:after="0" w:line="240" w:lineRule="auto"/>
        <w:ind w:firstLine="567"/>
        <w:contextualSpacing/>
        <w:jc w:val="both"/>
        <w:rPr>
          <w:rFonts w:eastAsia="Times New Roman"/>
          <w:sz w:val="24"/>
          <w:szCs w:val="24"/>
        </w:rPr>
      </w:pPr>
      <w:r>
        <w:rPr>
          <w:rFonts w:eastAsia="Times New Roman"/>
          <w:sz w:val="24"/>
          <w:szCs w:val="24"/>
        </w:rPr>
        <w:t>Указом Президента Российской Федерации от 07.05.2018 № 204 «О национальных целях и стратегических задачах развития Российской Федерации на период до 2024 года» (далее по разделу – Указ) определены основные цели развития страны.</w:t>
      </w:r>
    </w:p>
    <w:p w:rsidR="007E27CB" w:rsidRDefault="008F141F">
      <w:pPr>
        <w:tabs>
          <w:tab w:val="left" w:pos="0"/>
        </w:tabs>
        <w:spacing w:after="0" w:line="240" w:lineRule="auto"/>
        <w:ind w:firstLine="567"/>
        <w:jc w:val="both"/>
        <w:rPr>
          <w:bCs/>
          <w:sz w:val="24"/>
          <w:szCs w:val="24"/>
        </w:rPr>
      </w:pPr>
      <w:r>
        <w:rPr>
          <w:sz w:val="24"/>
          <w:szCs w:val="24"/>
        </w:rPr>
        <w:t xml:space="preserve">Для Томской области приоритетом № 1 стала реализация национальных проектов. </w:t>
      </w:r>
      <w:r>
        <w:rPr>
          <w:rFonts w:eastAsia="Times New Roman"/>
          <w:sz w:val="24"/>
          <w:szCs w:val="24"/>
        </w:rPr>
        <w:t xml:space="preserve">В регионе в 2019 году реализовывались 56 региональных проектов, в </w:t>
      </w:r>
      <w:r>
        <w:rPr>
          <w:bCs/>
          <w:sz w:val="24"/>
          <w:szCs w:val="24"/>
        </w:rPr>
        <w:t xml:space="preserve">декабре 2019 года был утвержден 57-й региональный проект «Умные города Томской области», его реализация началась с 2020 года. </w:t>
      </w:r>
    </w:p>
    <w:p w:rsidR="007E27CB" w:rsidRDefault="008F141F">
      <w:pPr>
        <w:tabs>
          <w:tab w:val="left" w:pos="0"/>
        </w:tabs>
        <w:spacing w:after="0" w:line="240" w:lineRule="auto"/>
        <w:ind w:firstLine="567"/>
        <w:jc w:val="both"/>
        <w:rPr>
          <w:bCs/>
          <w:sz w:val="24"/>
          <w:szCs w:val="24"/>
        </w:rPr>
      </w:pPr>
      <w:r>
        <w:rPr>
          <w:bCs/>
          <w:sz w:val="24"/>
          <w:szCs w:val="24"/>
        </w:rPr>
        <w:t>С</w:t>
      </w:r>
      <w:r>
        <w:rPr>
          <w:rFonts w:eastAsia="Times New Roman"/>
          <w:sz w:val="24"/>
          <w:szCs w:val="24"/>
        </w:rPr>
        <w:t xml:space="preserve">формированы проектные команды, основными задачами которых является своевременный мониторинг и контроль за ходом реализации региональных проектов. </w:t>
      </w:r>
    </w:p>
    <w:p w:rsidR="007E27CB" w:rsidRDefault="008F141F">
      <w:pPr>
        <w:spacing w:after="0" w:line="240" w:lineRule="auto"/>
        <w:ind w:firstLine="567"/>
        <w:contextualSpacing/>
        <w:jc w:val="both"/>
        <w:rPr>
          <w:sz w:val="24"/>
          <w:szCs w:val="24"/>
        </w:rPr>
      </w:pPr>
      <w:r>
        <w:rPr>
          <w:sz w:val="24"/>
          <w:szCs w:val="24"/>
        </w:rPr>
        <w:t>В целях совершенствования деятельности по стратегическому развитию Томской области и реализации приоритетных проектов распоряжением Губернатора Томской области от 11.10.2016 № 250-р был создан Совет при Губернаторе Томской области по стратегическому развитию и приоритетным проектам (далее по разделу  – Совет).</w:t>
      </w:r>
    </w:p>
    <w:p w:rsidR="007E27CB" w:rsidRDefault="008F141F">
      <w:pPr>
        <w:autoSpaceDE w:val="0"/>
        <w:autoSpaceDN w:val="0"/>
        <w:adjustRightInd w:val="0"/>
        <w:spacing w:after="0" w:line="240" w:lineRule="auto"/>
        <w:ind w:firstLine="567"/>
        <w:jc w:val="both"/>
        <w:rPr>
          <w:sz w:val="24"/>
          <w:szCs w:val="24"/>
        </w:rPr>
      </w:pPr>
      <w:r>
        <w:rPr>
          <w:sz w:val="24"/>
          <w:szCs w:val="24"/>
        </w:rPr>
        <w:t>К основным функциям Совета относится: утверждение перечня региональных проектов по основным направлениям стратегического развития Томской области, анализ и оценка реализации региональных проектов, принятие решения об утверждении и изменении паспортов региональных проектов, рассмотрение итогового отчета о ходе их реализации и т.д. Заседания Совета проводятся на постоянной основе.</w:t>
      </w:r>
    </w:p>
    <w:p w:rsidR="007E27CB" w:rsidRDefault="008F141F">
      <w:pPr>
        <w:autoSpaceDE w:val="0"/>
        <w:autoSpaceDN w:val="0"/>
        <w:adjustRightInd w:val="0"/>
        <w:spacing w:after="0" w:line="240" w:lineRule="auto"/>
        <w:ind w:firstLine="567"/>
        <w:jc w:val="both"/>
        <w:rPr>
          <w:sz w:val="24"/>
          <w:szCs w:val="24"/>
        </w:rPr>
      </w:pPr>
      <w:r>
        <w:rPr>
          <w:sz w:val="24"/>
          <w:szCs w:val="24"/>
        </w:rPr>
        <w:t>Также в целях обеспечения взаимодействия исполнительных органов государственной власти Томской области с органами местного самоуправления муниципальных образований Томской области, экспертными сообществами и другими организациями при рассмотрении вопросов, связанных с реализацией региональных проектов создана рабочая группа по вопросам реализации Указа Президента Российской Федерации от 07.05.2018 № 204 «О национальных целях и стратегических задачах развития Российской Федерации на период до 2024 года» (распоряжение Губернатора Томской области от 28.03.2019 № 75-р). Заседания рабочей группы проводятся на ежемесячной основе, где рассматриваются возможные риски при реализации региональных проектов и принимаются оперативные решения по их нейтрализации (минимизации).</w:t>
      </w:r>
    </w:p>
    <w:p w:rsidR="007E27CB" w:rsidRDefault="008F141F">
      <w:pPr>
        <w:autoSpaceDE w:val="0"/>
        <w:autoSpaceDN w:val="0"/>
        <w:adjustRightInd w:val="0"/>
        <w:spacing w:after="0" w:line="240" w:lineRule="auto"/>
        <w:ind w:firstLine="709"/>
        <w:jc w:val="both"/>
        <w:rPr>
          <w:sz w:val="24"/>
          <w:szCs w:val="24"/>
        </w:rPr>
      </w:pPr>
      <w:r>
        <w:rPr>
          <w:sz w:val="24"/>
          <w:szCs w:val="24"/>
        </w:rPr>
        <w:t xml:space="preserve"> </w:t>
      </w:r>
    </w:p>
    <w:p w:rsidR="007E27CB" w:rsidRDefault="008F141F">
      <w:pPr>
        <w:shd w:val="clear" w:color="auto" w:fill="F2F2F2" w:themeFill="background1" w:themeFillShade="F2"/>
        <w:tabs>
          <w:tab w:val="left" w:pos="4962"/>
        </w:tabs>
        <w:spacing w:after="0" w:line="240" w:lineRule="auto"/>
        <w:contextualSpacing/>
        <w:jc w:val="both"/>
        <w:rPr>
          <w:b/>
          <w:sz w:val="24"/>
          <w:szCs w:val="24"/>
        </w:rPr>
      </w:pPr>
      <w:r>
        <w:rPr>
          <w:b/>
          <w:sz w:val="24"/>
          <w:szCs w:val="24"/>
        </w:rPr>
        <w:t xml:space="preserve">Перспективные задачи </w:t>
      </w:r>
    </w:p>
    <w:p w:rsidR="007E27CB" w:rsidRDefault="007E27CB">
      <w:pPr>
        <w:pStyle w:val="a3"/>
      </w:pPr>
    </w:p>
    <w:p w:rsidR="007E27CB" w:rsidRDefault="008F141F">
      <w:pPr>
        <w:pStyle w:val="a3"/>
      </w:pPr>
      <w:r>
        <w:t>1. Осуществление мониторинга за ходом реализации региональных проектов, выявление рисков, выработка мероприятий по их нейтрализации и достижение целевых показателей.</w:t>
      </w:r>
    </w:p>
    <w:p w:rsidR="007E27CB" w:rsidRDefault="008F141F">
      <w:pPr>
        <w:pStyle w:val="a3"/>
      </w:pPr>
      <w:r>
        <w:t>2. Обеспечение эффективного взаимодействия исполнительных органов государственной власти Томской области с органами местного самоуправления муниципальных образований Томской области и организациями по вопросам реализации региональных проектов на территории региона.</w:t>
      </w:r>
    </w:p>
    <w:p w:rsidR="007E27CB" w:rsidRDefault="007E27CB">
      <w:pPr>
        <w:tabs>
          <w:tab w:val="left" w:pos="4962"/>
        </w:tabs>
        <w:spacing w:after="0" w:line="240" w:lineRule="auto"/>
        <w:ind w:firstLine="709"/>
        <w:jc w:val="both"/>
        <w:rPr>
          <w:sz w:val="24"/>
          <w:szCs w:val="24"/>
        </w:rPr>
      </w:pPr>
    </w:p>
    <w:p w:rsidR="007E27CB" w:rsidRDefault="008F141F">
      <w:pPr>
        <w:tabs>
          <w:tab w:val="left" w:pos="0"/>
        </w:tabs>
        <w:spacing w:after="0" w:line="240" w:lineRule="auto"/>
        <w:ind w:firstLine="567"/>
        <w:jc w:val="both"/>
        <w:rPr>
          <w:b/>
          <w:sz w:val="24"/>
          <w:szCs w:val="24"/>
        </w:rPr>
      </w:pPr>
      <w:r>
        <w:rPr>
          <w:b/>
          <w:sz w:val="24"/>
          <w:szCs w:val="24"/>
        </w:rPr>
        <w:t xml:space="preserve">ДЕЯТЕЛЬНОСТЬ ЭКСПЕРТНЫХ СОВЕТОВ ПРИ ЗАМЕСТИТЕЛЯХ ГУБЕРНАТОРА ТОМСКОЙ ОБЛАСТИ </w:t>
      </w:r>
    </w:p>
    <w:p w:rsidR="007E27CB" w:rsidRDefault="007E27CB">
      <w:pPr>
        <w:tabs>
          <w:tab w:val="left" w:pos="4962"/>
        </w:tabs>
        <w:spacing w:after="0" w:line="240" w:lineRule="auto"/>
        <w:ind w:firstLine="567"/>
        <w:jc w:val="both"/>
        <w:rPr>
          <w:sz w:val="24"/>
          <w:szCs w:val="24"/>
        </w:rPr>
      </w:pPr>
    </w:p>
    <w:p w:rsidR="007E27CB" w:rsidRDefault="008F141F">
      <w:pPr>
        <w:tabs>
          <w:tab w:val="left" w:pos="0"/>
          <w:tab w:val="left" w:pos="284"/>
        </w:tabs>
        <w:spacing w:after="0" w:line="240" w:lineRule="auto"/>
        <w:ind w:firstLine="567"/>
        <w:jc w:val="both"/>
        <w:rPr>
          <w:rFonts w:eastAsia="Times New Roman"/>
          <w:sz w:val="24"/>
          <w:szCs w:val="24"/>
        </w:rPr>
      </w:pPr>
      <w:r>
        <w:rPr>
          <w:rFonts w:eastAsia="Times New Roman"/>
          <w:sz w:val="24"/>
          <w:szCs w:val="24"/>
        </w:rPr>
        <w:t>В 2019 году в соответствии с разделом 4 Типового положения об экспертном совете при заместителе Губернатора Томской области сформировано 8 экспертных советов, которые утверждены распоряжением Губернатора Томской области от 19.09.2019 № 214-р «Об утверждении составов экспертных советов при заместителях Губернатора Томской области».</w:t>
      </w:r>
    </w:p>
    <w:p w:rsidR="007E27CB" w:rsidRDefault="008F141F">
      <w:pPr>
        <w:pStyle w:val="Pa7"/>
        <w:tabs>
          <w:tab w:val="left" w:pos="0"/>
          <w:tab w:val="left" w:pos="284"/>
        </w:tabs>
        <w:spacing w:line="240" w:lineRule="auto"/>
        <w:ind w:firstLine="567"/>
        <w:jc w:val="both"/>
        <w:rPr>
          <w:rFonts w:ascii="Times New Roman" w:eastAsia="Times New Roman" w:hAnsi="Times New Roman"/>
        </w:rPr>
      </w:pPr>
      <w:r>
        <w:rPr>
          <w:rFonts w:ascii="Times New Roman" w:eastAsia="Times New Roman" w:hAnsi="Times New Roman"/>
        </w:rPr>
        <w:t>В отчетном периоде организовано и проведено 23 заседания экспертных советов при заместителях Губернатора Томской области, в рамках которых рассмотрено 43 актуальных для региона вопросов, в том числе:</w:t>
      </w:r>
    </w:p>
    <w:p w:rsidR="007E27CB" w:rsidRDefault="008F141F">
      <w:pPr>
        <w:pStyle w:val="Pa7"/>
        <w:numPr>
          <w:ilvl w:val="0"/>
          <w:numId w:val="19"/>
        </w:numPr>
        <w:tabs>
          <w:tab w:val="left" w:pos="0"/>
          <w:tab w:val="left" w:pos="284"/>
          <w:tab w:val="left" w:pos="851"/>
        </w:tabs>
        <w:spacing w:line="240" w:lineRule="auto"/>
        <w:ind w:left="0" w:firstLine="567"/>
        <w:jc w:val="both"/>
        <w:rPr>
          <w:rFonts w:ascii="Times New Roman" w:eastAsia="Times New Roman" w:hAnsi="Times New Roman"/>
        </w:rPr>
      </w:pPr>
      <w:r>
        <w:rPr>
          <w:rFonts w:ascii="Times New Roman" w:eastAsia="Times New Roman" w:hAnsi="Times New Roman"/>
        </w:rPr>
        <w:t>прогноз социально-экономического развития Томской области на 2020 год и период до 2022 года;</w:t>
      </w:r>
    </w:p>
    <w:p w:rsidR="007E27CB" w:rsidRDefault="008F141F">
      <w:pPr>
        <w:pStyle w:val="Pa7"/>
        <w:numPr>
          <w:ilvl w:val="0"/>
          <w:numId w:val="19"/>
        </w:numPr>
        <w:tabs>
          <w:tab w:val="left" w:pos="0"/>
          <w:tab w:val="left" w:pos="284"/>
          <w:tab w:val="left" w:pos="851"/>
        </w:tabs>
        <w:spacing w:line="240" w:lineRule="auto"/>
        <w:ind w:left="0" w:firstLine="567"/>
        <w:jc w:val="both"/>
        <w:rPr>
          <w:rFonts w:ascii="Times New Roman" w:eastAsia="Times New Roman" w:hAnsi="Times New Roman"/>
        </w:rPr>
      </w:pPr>
      <w:r>
        <w:rPr>
          <w:rFonts w:ascii="Times New Roman" w:eastAsia="Times New Roman" w:hAnsi="Times New Roman"/>
        </w:rPr>
        <w:t>необходимость трансформации механизма особой экономической зоны технико-внедренческого типа «Томск» в соответствии с тенденциями развития региональной экономики;</w:t>
      </w:r>
    </w:p>
    <w:p w:rsidR="007E27CB" w:rsidRDefault="008F141F">
      <w:pPr>
        <w:pStyle w:val="Pa7"/>
        <w:numPr>
          <w:ilvl w:val="0"/>
          <w:numId w:val="19"/>
        </w:numPr>
        <w:tabs>
          <w:tab w:val="left" w:pos="0"/>
          <w:tab w:val="left" w:pos="284"/>
          <w:tab w:val="left" w:pos="851"/>
        </w:tabs>
        <w:spacing w:line="240" w:lineRule="auto"/>
        <w:ind w:left="0" w:firstLine="567"/>
        <w:jc w:val="both"/>
        <w:rPr>
          <w:rFonts w:ascii="Times New Roman" w:eastAsia="Times New Roman" w:hAnsi="Times New Roman"/>
        </w:rPr>
      </w:pPr>
      <w:r>
        <w:rPr>
          <w:rFonts w:ascii="Times New Roman" w:eastAsia="Times New Roman" w:hAnsi="Times New Roman"/>
        </w:rPr>
        <w:t>реализация национального проекта «Безопасные и качественные автомобильные дороги» в 2018 году в Томской области и планах на 2019 год;</w:t>
      </w:r>
    </w:p>
    <w:p w:rsidR="007E27CB" w:rsidRDefault="008F141F">
      <w:pPr>
        <w:pStyle w:val="Pa7"/>
        <w:numPr>
          <w:ilvl w:val="0"/>
          <w:numId w:val="19"/>
        </w:numPr>
        <w:tabs>
          <w:tab w:val="left" w:pos="0"/>
          <w:tab w:val="left" w:pos="284"/>
          <w:tab w:val="left" w:pos="851"/>
        </w:tabs>
        <w:spacing w:line="240" w:lineRule="auto"/>
        <w:ind w:left="0" w:firstLine="567"/>
        <w:jc w:val="both"/>
        <w:rPr>
          <w:rFonts w:ascii="Times New Roman" w:eastAsia="Times New Roman" w:hAnsi="Times New Roman"/>
        </w:rPr>
      </w:pPr>
      <w:r>
        <w:rPr>
          <w:rFonts w:ascii="Times New Roman" w:eastAsia="Times New Roman" w:hAnsi="Times New Roman"/>
        </w:rPr>
        <w:t>формирование инициативы по созданию НОЦ в городе Томске;</w:t>
      </w:r>
    </w:p>
    <w:p w:rsidR="007E27CB" w:rsidRDefault="008F141F">
      <w:pPr>
        <w:pStyle w:val="a6"/>
        <w:numPr>
          <w:ilvl w:val="0"/>
          <w:numId w:val="19"/>
        </w:numPr>
        <w:tabs>
          <w:tab w:val="left" w:pos="0"/>
          <w:tab w:val="left" w:pos="284"/>
          <w:tab w:val="left" w:pos="851"/>
        </w:tabs>
        <w:spacing w:after="0" w:line="240" w:lineRule="auto"/>
        <w:ind w:left="0" w:firstLine="567"/>
        <w:jc w:val="both"/>
        <w:rPr>
          <w:rFonts w:ascii="Times New Roman" w:hAnsi="Times New Roman"/>
          <w:b/>
          <w:i/>
          <w:color w:val="FF0000"/>
          <w:sz w:val="24"/>
          <w:szCs w:val="24"/>
        </w:rPr>
      </w:pPr>
      <w:r>
        <w:rPr>
          <w:rFonts w:ascii="Times New Roman" w:eastAsia="Times New Roman" w:hAnsi="Times New Roman"/>
          <w:sz w:val="24"/>
          <w:szCs w:val="24"/>
        </w:rPr>
        <w:t>территориальная схема обращения с отходами производства и потребления, в том числе твердыми коммунальными отходами, Томской области.</w:t>
      </w:r>
    </w:p>
    <w:p w:rsidR="007E27CB" w:rsidRDefault="007E27CB">
      <w:pPr>
        <w:pStyle w:val="a6"/>
        <w:tabs>
          <w:tab w:val="left" w:pos="4962"/>
        </w:tabs>
        <w:spacing w:after="0" w:line="240" w:lineRule="auto"/>
        <w:ind w:firstLine="567"/>
        <w:jc w:val="both"/>
        <w:rPr>
          <w:rFonts w:ascii="Times New Roman" w:hAnsi="Times New Roman"/>
          <w:b/>
          <w:i/>
          <w:color w:val="FF0000"/>
          <w:sz w:val="24"/>
          <w:szCs w:val="24"/>
        </w:rPr>
      </w:pPr>
    </w:p>
    <w:p w:rsidR="007E27CB" w:rsidRDefault="008F141F">
      <w:pPr>
        <w:shd w:val="clear" w:color="auto" w:fill="F2F2F2" w:themeFill="background1" w:themeFillShade="F2"/>
        <w:tabs>
          <w:tab w:val="left" w:pos="4962"/>
        </w:tabs>
        <w:spacing w:after="0" w:line="240" w:lineRule="auto"/>
        <w:contextualSpacing/>
        <w:jc w:val="both"/>
        <w:rPr>
          <w:b/>
          <w:sz w:val="24"/>
          <w:szCs w:val="24"/>
        </w:rPr>
      </w:pPr>
      <w:r>
        <w:rPr>
          <w:b/>
          <w:sz w:val="24"/>
          <w:szCs w:val="24"/>
        </w:rPr>
        <w:t xml:space="preserve">Перспективные задачи </w:t>
      </w:r>
    </w:p>
    <w:p w:rsidR="007E27CB" w:rsidRDefault="007E27CB">
      <w:pPr>
        <w:tabs>
          <w:tab w:val="left" w:pos="4962"/>
        </w:tabs>
        <w:spacing w:after="0" w:line="240" w:lineRule="auto"/>
        <w:contextualSpacing/>
        <w:jc w:val="both"/>
        <w:rPr>
          <w:sz w:val="24"/>
          <w:szCs w:val="24"/>
        </w:rPr>
      </w:pPr>
    </w:p>
    <w:p w:rsidR="007E27CB" w:rsidRDefault="008F141F">
      <w:pPr>
        <w:tabs>
          <w:tab w:val="left" w:pos="4962"/>
        </w:tabs>
        <w:spacing w:after="0" w:line="240" w:lineRule="auto"/>
        <w:contextualSpacing/>
        <w:jc w:val="both"/>
        <w:rPr>
          <w:sz w:val="24"/>
          <w:szCs w:val="24"/>
        </w:rPr>
      </w:pPr>
      <w:r>
        <w:rPr>
          <w:sz w:val="24"/>
          <w:szCs w:val="24"/>
        </w:rPr>
        <w:t>1. Системное привлечение экспертов при формировании, обсуждении и реализации стратегически важных для региона вопросов.</w:t>
      </w:r>
    </w:p>
    <w:p w:rsidR="007E27CB" w:rsidRDefault="008F141F">
      <w:pPr>
        <w:tabs>
          <w:tab w:val="left" w:pos="4962"/>
        </w:tabs>
        <w:spacing w:after="0" w:line="240" w:lineRule="auto"/>
        <w:jc w:val="both"/>
        <w:rPr>
          <w:sz w:val="24"/>
          <w:szCs w:val="24"/>
        </w:rPr>
      </w:pPr>
      <w:r>
        <w:rPr>
          <w:sz w:val="24"/>
          <w:szCs w:val="24"/>
        </w:rPr>
        <w:t>2. Включение на регулярной основе в повестку экспертных советов вопросов экспертной оценки проектов, реализуемых на территории Томской области.</w:t>
      </w:r>
    </w:p>
    <w:p w:rsidR="007E27CB" w:rsidRDefault="007E27CB">
      <w:pPr>
        <w:tabs>
          <w:tab w:val="left" w:pos="4962"/>
        </w:tabs>
        <w:spacing w:after="0" w:line="240" w:lineRule="auto"/>
        <w:rPr>
          <w:rFonts w:eastAsia="Times New Roman"/>
          <w:b/>
          <w:color w:val="FF0000"/>
          <w:sz w:val="24"/>
          <w:szCs w:val="24"/>
        </w:rPr>
      </w:pPr>
    </w:p>
    <w:p w:rsidR="007E27CB" w:rsidRDefault="008F141F">
      <w:pPr>
        <w:spacing w:after="0" w:line="240" w:lineRule="auto"/>
        <w:ind w:firstLine="567"/>
        <w:jc w:val="both"/>
        <w:rPr>
          <w:rFonts w:eastAsia="Times New Roman"/>
          <w:b/>
          <w:sz w:val="24"/>
          <w:szCs w:val="24"/>
        </w:rPr>
      </w:pPr>
      <w:r>
        <w:rPr>
          <w:rFonts w:eastAsia="Times New Roman"/>
          <w:b/>
          <w:sz w:val="24"/>
          <w:szCs w:val="24"/>
        </w:rPr>
        <w:t xml:space="preserve">СОДЕЙСТВИЕ РАЗВИТИЮ ИНСТИТУТОВ ГРАЖДАНСКОГО ОБЩЕСТВА И УКРЕПЛЕНИЮ МЕЖНАЦИОНАЛЬНОГО И МЕЖКОНФЕССИОНАЛЬНОГО СОГЛАСИЯ </w:t>
      </w:r>
    </w:p>
    <w:p w:rsidR="007E27CB" w:rsidRDefault="007E27CB">
      <w:pPr>
        <w:tabs>
          <w:tab w:val="left" w:pos="709"/>
          <w:tab w:val="left" w:pos="4962"/>
        </w:tabs>
        <w:spacing w:after="0" w:line="240" w:lineRule="auto"/>
        <w:ind w:firstLine="567"/>
        <w:jc w:val="both"/>
        <w:rPr>
          <w:sz w:val="24"/>
          <w:szCs w:val="24"/>
        </w:rPr>
      </w:pPr>
    </w:p>
    <w:p w:rsidR="007E27CB" w:rsidRDefault="008F141F">
      <w:pPr>
        <w:tabs>
          <w:tab w:val="left" w:pos="4962"/>
        </w:tabs>
        <w:spacing w:after="0" w:line="240" w:lineRule="auto"/>
        <w:ind w:firstLine="567"/>
        <w:jc w:val="both"/>
        <w:rPr>
          <w:rFonts w:eastAsia="Calibri"/>
          <w:sz w:val="24"/>
          <w:szCs w:val="24"/>
        </w:rPr>
      </w:pPr>
      <w:r>
        <w:rPr>
          <w:rFonts w:eastAsia="Calibri"/>
          <w:sz w:val="24"/>
          <w:szCs w:val="24"/>
        </w:rPr>
        <w:t>В целях содействия развитию институтов гражданского общества на территории Томской области осуществлялась деятельность по следующим направлениям:</w:t>
      </w:r>
    </w:p>
    <w:p w:rsidR="007E27CB" w:rsidRDefault="007E27CB">
      <w:pPr>
        <w:tabs>
          <w:tab w:val="left" w:pos="4962"/>
        </w:tabs>
        <w:spacing w:after="0" w:line="240" w:lineRule="auto"/>
        <w:ind w:firstLine="567"/>
        <w:jc w:val="both"/>
        <w:rPr>
          <w:rFonts w:eastAsia="Calibri"/>
          <w:i/>
          <w:sz w:val="24"/>
          <w:szCs w:val="24"/>
        </w:rPr>
      </w:pPr>
    </w:p>
    <w:p w:rsidR="007E27CB" w:rsidRDefault="008F141F">
      <w:pPr>
        <w:tabs>
          <w:tab w:val="left" w:pos="4962"/>
        </w:tabs>
        <w:spacing w:after="0" w:line="240" w:lineRule="auto"/>
        <w:ind w:firstLine="567"/>
        <w:jc w:val="both"/>
        <w:rPr>
          <w:rFonts w:eastAsia="Calibri"/>
          <w:i/>
          <w:sz w:val="24"/>
          <w:szCs w:val="24"/>
        </w:rPr>
      </w:pPr>
      <w:r>
        <w:rPr>
          <w:rFonts w:eastAsia="Calibri"/>
          <w:i/>
          <w:sz w:val="24"/>
          <w:szCs w:val="24"/>
        </w:rPr>
        <w:t xml:space="preserve">ПОДДЕРЖКА И РАЗВИТИЕ НЕКОММЕРЧЕСКИХ ОРГАНИЗАЦИЙ </w:t>
      </w:r>
    </w:p>
    <w:p w:rsidR="007E27CB" w:rsidRDefault="008F141F">
      <w:pPr>
        <w:tabs>
          <w:tab w:val="left" w:pos="4962"/>
        </w:tabs>
        <w:spacing w:after="0" w:line="240" w:lineRule="auto"/>
        <w:ind w:firstLine="567"/>
        <w:jc w:val="both"/>
        <w:rPr>
          <w:rFonts w:eastAsia="Calibri"/>
          <w:sz w:val="24"/>
          <w:szCs w:val="24"/>
        </w:rPr>
      </w:pPr>
      <w:r>
        <w:rPr>
          <w:rFonts w:eastAsia="Calibri"/>
          <w:sz w:val="24"/>
          <w:szCs w:val="24"/>
        </w:rPr>
        <w:t>По состоянию на 31.12.2019 на территории Томской области осуществляют деятельность 1 545 некоммерческих организаций, из них: 192 религиозные организации, 735 общественных объединений, 35 региональных отделений политических партий и 583 иные некоммерческие организации (в том числе 8 казачьих обществ).</w:t>
      </w:r>
    </w:p>
    <w:p w:rsidR="007E27CB" w:rsidRDefault="008F141F">
      <w:pPr>
        <w:tabs>
          <w:tab w:val="left" w:pos="4962"/>
        </w:tabs>
        <w:spacing w:after="0" w:line="240" w:lineRule="auto"/>
        <w:ind w:firstLine="567"/>
        <w:jc w:val="both"/>
        <w:rPr>
          <w:rFonts w:eastAsia="Calibri"/>
          <w:sz w:val="24"/>
          <w:szCs w:val="24"/>
        </w:rPr>
      </w:pPr>
      <w:r>
        <w:rPr>
          <w:rFonts w:eastAsia="Calibri"/>
          <w:sz w:val="24"/>
          <w:szCs w:val="24"/>
        </w:rPr>
        <w:t>В течение 2019 года на территории Томской области Управлением Министерства юстиции Российской Федерации по Томской области зарегистрировано 73 вновь созданные некоммерческие организации.</w:t>
      </w:r>
    </w:p>
    <w:p w:rsidR="007E27CB" w:rsidRDefault="008F141F">
      <w:pPr>
        <w:tabs>
          <w:tab w:val="left" w:pos="4962"/>
        </w:tabs>
        <w:spacing w:after="0" w:line="240" w:lineRule="auto"/>
        <w:ind w:firstLine="567"/>
        <w:jc w:val="both"/>
        <w:rPr>
          <w:rFonts w:eastAsia="Calibri"/>
          <w:sz w:val="24"/>
          <w:szCs w:val="24"/>
        </w:rPr>
      </w:pPr>
      <w:r>
        <w:rPr>
          <w:rFonts w:eastAsia="Calibri"/>
          <w:sz w:val="24"/>
          <w:szCs w:val="24"/>
        </w:rPr>
        <w:t xml:space="preserve">В 2019 году государственную поддержку Администрации Томской области на реализацию социально значимых проектов получили 23 социально ориентированные некоммерческие организации (далее по разделу </w:t>
      </w:r>
      <w:r>
        <w:rPr>
          <w:sz w:val="24"/>
          <w:szCs w:val="24"/>
        </w:rPr>
        <w:t>–</w:t>
      </w:r>
      <w:r>
        <w:rPr>
          <w:rFonts w:eastAsia="Calibri"/>
          <w:sz w:val="24"/>
          <w:szCs w:val="24"/>
        </w:rPr>
        <w:t xml:space="preserve"> СО НКО). Большая часть проектов направлена на социальное обслуживание, социальную поддержку и защиту граждан, а также на деятельность в области образования, просвещения, науки, культуры и искусства, здравоохранения, профилактики и охраны здоровья граждан, пропаганды здорового образа жизни, улучшения морально-психологического состояния граждан, физической культуры и спорта.</w:t>
      </w:r>
    </w:p>
    <w:p w:rsidR="007E27CB" w:rsidRDefault="008F141F">
      <w:pPr>
        <w:tabs>
          <w:tab w:val="left" w:pos="4962"/>
        </w:tabs>
        <w:spacing w:after="0" w:line="240" w:lineRule="auto"/>
        <w:ind w:firstLine="567"/>
        <w:jc w:val="both"/>
        <w:rPr>
          <w:rFonts w:eastAsia="Calibri"/>
          <w:sz w:val="24"/>
          <w:szCs w:val="24"/>
        </w:rPr>
      </w:pPr>
      <w:r>
        <w:rPr>
          <w:rFonts w:eastAsia="Calibri"/>
          <w:sz w:val="24"/>
          <w:szCs w:val="24"/>
        </w:rPr>
        <w:t>Общая сумма государственной поддержки социально ориентированных некоммерческих организаций в 2019 году составила 12 667,4 тыс. рублей.</w:t>
      </w:r>
    </w:p>
    <w:p w:rsidR="007E27CB" w:rsidRDefault="008F141F">
      <w:pPr>
        <w:tabs>
          <w:tab w:val="left" w:pos="4962"/>
        </w:tabs>
        <w:spacing w:after="0" w:line="240" w:lineRule="auto"/>
        <w:ind w:firstLine="567"/>
        <w:jc w:val="both"/>
        <w:rPr>
          <w:rFonts w:eastAsia="Calibri"/>
          <w:sz w:val="24"/>
          <w:szCs w:val="24"/>
        </w:rPr>
      </w:pPr>
      <w:r>
        <w:rPr>
          <w:rFonts w:eastAsia="Calibri"/>
          <w:sz w:val="24"/>
          <w:szCs w:val="24"/>
        </w:rPr>
        <w:t xml:space="preserve">В 2019 году Комитетом внутренней политики Администрации Томской области организовано 2 мероприятия по прохождению образовательной программы повышения квалификации представителей СО НКО по теме «Стратегия выхода НКО на рынок социальных услуг» на базе Томского филиала ФГБОУ ВО «Российская академия народного хозяйства и государственной службы при Президенте Российской Федерации». </w:t>
      </w:r>
    </w:p>
    <w:p w:rsidR="007E27CB" w:rsidRDefault="008F141F">
      <w:pPr>
        <w:tabs>
          <w:tab w:val="left" w:pos="4962"/>
        </w:tabs>
        <w:spacing w:after="0" w:line="240" w:lineRule="auto"/>
        <w:ind w:firstLine="567"/>
        <w:jc w:val="both"/>
        <w:rPr>
          <w:rFonts w:eastAsia="Calibri"/>
          <w:sz w:val="24"/>
          <w:szCs w:val="24"/>
        </w:rPr>
      </w:pPr>
      <w:r>
        <w:rPr>
          <w:rFonts w:eastAsia="Calibri"/>
          <w:sz w:val="24"/>
          <w:szCs w:val="24"/>
        </w:rPr>
        <w:t>Программу прослушали 30 сотрудников – представителей СО НКО Томской области (2 группы по 15 человек). По итогам обучения слушателям были выданы сертификаты о прохождении обучения.</w:t>
      </w:r>
    </w:p>
    <w:p w:rsidR="007E27CB" w:rsidRDefault="008F141F">
      <w:pPr>
        <w:tabs>
          <w:tab w:val="left" w:pos="4962"/>
        </w:tabs>
        <w:spacing w:after="0" w:line="240" w:lineRule="auto"/>
        <w:ind w:firstLine="567"/>
        <w:jc w:val="both"/>
        <w:rPr>
          <w:rFonts w:eastAsia="Calibri"/>
          <w:sz w:val="24"/>
          <w:szCs w:val="24"/>
        </w:rPr>
      </w:pPr>
      <w:r>
        <w:rPr>
          <w:rFonts w:eastAsia="Calibri"/>
          <w:sz w:val="24"/>
          <w:szCs w:val="24"/>
        </w:rPr>
        <w:t>При поддержке Администрации Томской области Фондом развития правовых и социокультурных инициатив в рамках реализации социального проекта «Бесплатная юридическая помощь социально ориентированным некоммерческим организациям Томской области» в 2019 году были проведены следующие мероприятия:</w:t>
      </w:r>
    </w:p>
    <w:p w:rsidR="007E27CB" w:rsidRDefault="008F141F">
      <w:pPr>
        <w:pStyle w:val="a6"/>
        <w:numPr>
          <w:ilvl w:val="0"/>
          <w:numId w:val="14"/>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бесплатная юридическая помощь социально ориентированным некоммерческим организациям Томской области и инициативным группам по созданию СО НКО в виде правового консультирования и составления проектов документов правового характера;</w:t>
      </w:r>
    </w:p>
    <w:p w:rsidR="007E27CB" w:rsidRDefault="008F141F">
      <w:pPr>
        <w:pStyle w:val="a6"/>
        <w:numPr>
          <w:ilvl w:val="0"/>
          <w:numId w:val="14"/>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практико-ориентированные мероприятия для руководителей и бухгалтеров СО НКО Томской области по вопросам бухгалтерского учета и налогообложения;</w:t>
      </w:r>
    </w:p>
    <w:p w:rsidR="007E27CB" w:rsidRDefault="008F141F">
      <w:pPr>
        <w:pStyle w:val="a6"/>
        <w:numPr>
          <w:ilvl w:val="0"/>
          <w:numId w:val="14"/>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практико-ориентированные мероприятия по подготовке документации некоммерческих организаций.</w:t>
      </w:r>
    </w:p>
    <w:p w:rsidR="007E27CB" w:rsidRDefault="007E27CB">
      <w:pPr>
        <w:pStyle w:val="a6"/>
        <w:tabs>
          <w:tab w:val="left" w:pos="993"/>
          <w:tab w:val="left" w:pos="4962"/>
        </w:tabs>
        <w:spacing w:after="0" w:line="240" w:lineRule="auto"/>
        <w:ind w:left="567" w:firstLine="567"/>
        <w:jc w:val="both"/>
        <w:rPr>
          <w:rFonts w:ascii="Times New Roman" w:hAnsi="Times New Roman"/>
          <w:sz w:val="24"/>
          <w:szCs w:val="24"/>
        </w:rPr>
      </w:pPr>
    </w:p>
    <w:p w:rsidR="007E27CB" w:rsidRDefault="008F141F">
      <w:pPr>
        <w:tabs>
          <w:tab w:val="left" w:pos="709"/>
          <w:tab w:val="left" w:pos="4962"/>
        </w:tabs>
        <w:spacing w:after="0" w:line="240" w:lineRule="auto"/>
        <w:ind w:firstLine="567"/>
        <w:jc w:val="both"/>
        <w:rPr>
          <w:rFonts w:eastAsia="Calibri"/>
          <w:i/>
          <w:sz w:val="24"/>
          <w:szCs w:val="24"/>
        </w:rPr>
      </w:pPr>
      <w:r>
        <w:rPr>
          <w:rFonts w:eastAsia="Calibri"/>
          <w:i/>
          <w:sz w:val="24"/>
          <w:szCs w:val="24"/>
        </w:rPr>
        <w:t xml:space="preserve">ОСУЩЕСТВЛЕНИЕ ОРГАНИЗАЦИОННО-ТЕХНИЧЕСКОГО ОБЕСПЕЧЕНИЯ ДЕЯТЕЛЬНОСТИ ОБЩЕСТВЕННОЙ ПАЛАТЫ ТОМСКОЙ ОБЛАСТИ </w:t>
      </w:r>
    </w:p>
    <w:p w:rsidR="007E27CB" w:rsidRDefault="008F141F">
      <w:pPr>
        <w:tabs>
          <w:tab w:val="left" w:pos="4962"/>
        </w:tabs>
        <w:spacing w:after="0" w:line="240" w:lineRule="auto"/>
        <w:ind w:firstLine="567"/>
        <w:jc w:val="both"/>
        <w:rPr>
          <w:b/>
          <w:sz w:val="24"/>
          <w:szCs w:val="24"/>
        </w:rPr>
      </w:pPr>
      <w:r>
        <w:rPr>
          <w:sz w:val="24"/>
          <w:szCs w:val="24"/>
        </w:rPr>
        <w:t>На протяжении 13 лет Общественная палата Томской области обеспечивает взаимодействие жителей региона с органами государственной власти и органами местного самоуправления Томской области в целях учета потребностей и интересов граждан, защиты прав и свобод человека и гражданина и прав общественных объединений при формировании и реализации государственной политики.</w:t>
      </w:r>
    </w:p>
    <w:p w:rsidR="007E27CB" w:rsidRDefault="008F141F">
      <w:pPr>
        <w:tabs>
          <w:tab w:val="left" w:pos="709"/>
          <w:tab w:val="left" w:pos="4962"/>
        </w:tabs>
        <w:spacing w:after="0" w:line="240" w:lineRule="auto"/>
        <w:ind w:firstLine="567"/>
        <w:jc w:val="both"/>
        <w:rPr>
          <w:rFonts w:eastAsia="Calibri"/>
          <w:sz w:val="24"/>
          <w:szCs w:val="24"/>
        </w:rPr>
      </w:pPr>
      <w:r>
        <w:rPr>
          <w:rFonts w:eastAsia="Calibri"/>
          <w:sz w:val="24"/>
          <w:szCs w:val="24"/>
        </w:rPr>
        <w:t>В 2019 году Общественной палатой Томской области проведено 4 пленарных заседания, 8 заседаний Совета и 20 заседаний комиссий Общественной палаты Томской области, осуществлены выездные семинары в Чаинский и Кожевниковский районы на тему «Фандрайзинг и способы привлечения средств на гражданские и социальные проекты».</w:t>
      </w:r>
    </w:p>
    <w:p w:rsidR="007E27CB" w:rsidRDefault="008F141F">
      <w:pPr>
        <w:tabs>
          <w:tab w:val="left" w:pos="709"/>
          <w:tab w:val="left" w:pos="4962"/>
        </w:tabs>
        <w:spacing w:after="0" w:line="240" w:lineRule="auto"/>
        <w:ind w:firstLine="567"/>
        <w:jc w:val="both"/>
        <w:rPr>
          <w:rFonts w:eastAsia="Calibri"/>
          <w:sz w:val="24"/>
          <w:szCs w:val="24"/>
        </w:rPr>
      </w:pPr>
      <w:r>
        <w:rPr>
          <w:rFonts w:eastAsia="Calibri"/>
          <w:sz w:val="24"/>
          <w:szCs w:val="24"/>
        </w:rPr>
        <w:t>По итогам заседаний Общественной палаты подготовлены рекомендации, которые направлены в органы власти для решения существующих проблем.</w:t>
      </w:r>
    </w:p>
    <w:p w:rsidR="007E27CB" w:rsidRDefault="008F141F">
      <w:pPr>
        <w:tabs>
          <w:tab w:val="left" w:pos="709"/>
          <w:tab w:val="left" w:pos="4962"/>
        </w:tabs>
        <w:spacing w:after="0" w:line="240" w:lineRule="auto"/>
        <w:ind w:firstLine="567"/>
        <w:jc w:val="both"/>
        <w:rPr>
          <w:rFonts w:eastAsia="Calibri"/>
          <w:sz w:val="24"/>
          <w:szCs w:val="24"/>
        </w:rPr>
      </w:pPr>
      <w:r>
        <w:rPr>
          <w:rFonts w:eastAsia="Calibri"/>
          <w:sz w:val="24"/>
          <w:szCs w:val="24"/>
        </w:rPr>
        <w:t>В 2019 году члены Общественной палаты Томской области приняли участие в 26 онлайн-совещаниях с региональными общественными палатами. Среди многочисленных вопросов, вносимых в повестку дня, стоит выделить следующие:</w:t>
      </w:r>
    </w:p>
    <w:p w:rsidR="007E27CB" w:rsidRDefault="008F141F">
      <w:pPr>
        <w:pStyle w:val="a6"/>
        <w:numPr>
          <w:ilvl w:val="0"/>
          <w:numId w:val="15"/>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Социальное партнерство в развитии территорий и объединение усилий в интересах детей;</w:t>
      </w:r>
    </w:p>
    <w:p w:rsidR="007E27CB" w:rsidRDefault="008F141F">
      <w:pPr>
        <w:pStyle w:val="a6"/>
        <w:numPr>
          <w:ilvl w:val="0"/>
          <w:numId w:val="15"/>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Национальный проект «Культура»: возможности и механизмы общественного контроля;</w:t>
      </w:r>
    </w:p>
    <w:p w:rsidR="007E27CB" w:rsidRDefault="008F141F">
      <w:pPr>
        <w:pStyle w:val="a6"/>
        <w:numPr>
          <w:ilvl w:val="0"/>
          <w:numId w:val="15"/>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Развитие физкультуры и спорта на сельских территориях;</w:t>
      </w:r>
    </w:p>
    <w:p w:rsidR="007E27CB" w:rsidRDefault="008F141F">
      <w:pPr>
        <w:pStyle w:val="a6"/>
        <w:numPr>
          <w:ilvl w:val="0"/>
          <w:numId w:val="15"/>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Образование и гражданская идентичность: актуальные вопросы и проблемы в контексте национального проекта «Образование»;</w:t>
      </w:r>
    </w:p>
    <w:p w:rsidR="007E27CB" w:rsidRDefault="008F141F">
      <w:pPr>
        <w:pStyle w:val="a6"/>
        <w:numPr>
          <w:ilvl w:val="0"/>
          <w:numId w:val="15"/>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О деятельности рабочих групп экспертов по медиации межрелигиозных и межнациональных отношений при общественных палатах субъектов Российской Федерации.</w:t>
      </w:r>
    </w:p>
    <w:p w:rsidR="007E27CB" w:rsidRDefault="008F141F">
      <w:pPr>
        <w:tabs>
          <w:tab w:val="left" w:pos="709"/>
          <w:tab w:val="left" w:pos="4962"/>
        </w:tabs>
        <w:spacing w:after="0" w:line="240" w:lineRule="auto"/>
        <w:ind w:firstLine="567"/>
        <w:jc w:val="both"/>
        <w:rPr>
          <w:rFonts w:eastAsia="Calibri"/>
          <w:sz w:val="24"/>
          <w:szCs w:val="24"/>
        </w:rPr>
      </w:pPr>
      <w:r>
        <w:rPr>
          <w:rFonts w:eastAsia="Calibri"/>
          <w:sz w:val="24"/>
          <w:szCs w:val="24"/>
        </w:rPr>
        <w:t>В 2019 году в региональных и районных средствах массовой информации Томской области опубликовано более 28 информационных сообщений, касающихся деятельности Общественной палаты Томской области, в течение 2019 года сформированы 6 общественных советов при органах исполнительной власти.</w:t>
      </w:r>
    </w:p>
    <w:p w:rsidR="007E27CB" w:rsidRDefault="008F141F">
      <w:pPr>
        <w:tabs>
          <w:tab w:val="left" w:pos="709"/>
          <w:tab w:val="left" w:pos="4962"/>
        </w:tabs>
        <w:spacing w:after="0" w:line="240" w:lineRule="auto"/>
        <w:ind w:firstLine="567"/>
        <w:jc w:val="both"/>
        <w:rPr>
          <w:rFonts w:eastAsia="Calibri"/>
          <w:sz w:val="24"/>
          <w:szCs w:val="24"/>
        </w:rPr>
      </w:pPr>
      <w:r>
        <w:rPr>
          <w:rFonts w:eastAsia="Calibri"/>
          <w:sz w:val="24"/>
          <w:szCs w:val="24"/>
        </w:rPr>
        <w:t xml:space="preserve">Также члены Общественной палаты Томской области включены в общественные советы: </w:t>
      </w:r>
    </w:p>
    <w:p w:rsidR="007E27CB" w:rsidRDefault="008F141F">
      <w:pPr>
        <w:pStyle w:val="a6"/>
        <w:numPr>
          <w:ilvl w:val="0"/>
          <w:numId w:val="16"/>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Управления Роспотребнадзора по Томской области;</w:t>
      </w:r>
    </w:p>
    <w:p w:rsidR="007E27CB" w:rsidRDefault="008F141F">
      <w:pPr>
        <w:pStyle w:val="a6"/>
        <w:numPr>
          <w:ilvl w:val="0"/>
          <w:numId w:val="16"/>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Главного управления  МЧС России по Томской области.</w:t>
      </w:r>
    </w:p>
    <w:p w:rsidR="007E27CB" w:rsidRDefault="008F141F">
      <w:pPr>
        <w:tabs>
          <w:tab w:val="left" w:pos="4962"/>
        </w:tabs>
        <w:spacing w:after="0" w:line="240" w:lineRule="auto"/>
        <w:ind w:firstLine="567"/>
        <w:jc w:val="both"/>
        <w:rPr>
          <w:sz w:val="24"/>
          <w:szCs w:val="24"/>
        </w:rPr>
      </w:pPr>
      <w:r>
        <w:rPr>
          <w:rFonts w:eastAsia="Calibri"/>
          <w:sz w:val="24"/>
          <w:szCs w:val="24"/>
        </w:rPr>
        <w:t xml:space="preserve">В 2019 году члены Общественной палаты приняли участие в выездных мероприятиях, организованных Общественной палатой Российской Федерации: </w:t>
      </w:r>
      <w:r>
        <w:rPr>
          <w:sz w:val="24"/>
          <w:szCs w:val="24"/>
        </w:rPr>
        <w:t>в пленарных заседаниях Общественной Палаты России, в круглых столах на тему «Проблемы граждан, принимавших участие в ликвидации последствий Чернобыльской и других радиационных аварий и катастроф, а также граждан, проживающих на территориях, подвергшихся радиоактивному загрязнению», «Проблемы и перспективы среднего специального образования жилищной сферы»; в общественных слушаниях в Общественной палате Российской Федерации на тему «Современные методики защиты граждан от наркотиков».</w:t>
      </w:r>
    </w:p>
    <w:p w:rsidR="007E27CB" w:rsidRDefault="008F141F">
      <w:pPr>
        <w:tabs>
          <w:tab w:val="left" w:pos="4962"/>
        </w:tabs>
        <w:spacing w:after="0" w:line="240" w:lineRule="auto"/>
        <w:ind w:firstLine="567"/>
        <w:jc w:val="both"/>
        <w:rPr>
          <w:rFonts w:eastAsia="Calibri"/>
          <w:sz w:val="24"/>
          <w:szCs w:val="24"/>
        </w:rPr>
      </w:pPr>
      <w:r>
        <w:rPr>
          <w:rFonts w:eastAsia="Calibri"/>
          <w:sz w:val="24"/>
          <w:szCs w:val="24"/>
        </w:rPr>
        <w:t>Среди важнейших мероприятий в преддверии юбилея Победы, проведенных по инициативе Общественной Палаты Российской Федерации, в Томске на базе Общественной палаты Томской области состоялось Торжественное открытие Всероссийской акции «Вахта памяти – 2019», а также проведение круглого стола на тему «Взаимодействие общественных организаций и органов исполнительной власти в вопросах увековечения памяти погибших при защите Отечества».</w:t>
      </w:r>
    </w:p>
    <w:p w:rsidR="007E27CB" w:rsidRDefault="008F141F">
      <w:pPr>
        <w:tabs>
          <w:tab w:val="left" w:pos="709"/>
          <w:tab w:val="left" w:pos="4962"/>
        </w:tabs>
        <w:spacing w:after="0" w:line="240" w:lineRule="auto"/>
        <w:ind w:firstLine="567"/>
        <w:jc w:val="both"/>
        <w:rPr>
          <w:rFonts w:eastAsia="Calibri"/>
          <w:sz w:val="24"/>
          <w:szCs w:val="24"/>
        </w:rPr>
      </w:pPr>
      <w:r>
        <w:rPr>
          <w:rFonts w:eastAsia="Calibri"/>
          <w:sz w:val="24"/>
          <w:szCs w:val="24"/>
        </w:rPr>
        <w:t>Членами Общественной палаты Томской области оказано содействие по проведению общественных экспертиз более 22 законопроектов.</w:t>
      </w:r>
    </w:p>
    <w:p w:rsidR="007E27CB" w:rsidRDefault="007E27CB">
      <w:pPr>
        <w:tabs>
          <w:tab w:val="left" w:pos="709"/>
          <w:tab w:val="left" w:pos="4962"/>
        </w:tabs>
        <w:spacing w:after="0" w:line="240" w:lineRule="auto"/>
        <w:ind w:firstLine="567"/>
        <w:jc w:val="both"/>
        <w:rPr>
          <w:rFonts w:eastAsia="Calibri"/>
          <w:sz w:val="24"/>
          <w:szCs w:val="24"/>
        </w:rPr>
      </w:pPr>
    </w:p>
    <w:p w:rsidR="007E27CB" w:rsidRDefault="007E27CB">
      <w:pPr>
        <w:tabs>
          <w:tab w:val="left" w:pos="4962"/>
        </w:tabs>
        <w:spacing w:after="0" w:line="240" w:lineRule="auto"/>
        <w:ind w:firstLine="567"/>
        <w:jc w:val="both"/>
        <w:rPr>
          <w:rFonts w:eastAsia="Calibri"/>
          <w:i/>
          <w:sz w:val="24"/>
          <w:szCs w:val="24"/>
        </w:rPr>
      </w:pPr>
    </w:p>
    <w:p w:rsidR="007E27CB" w:rsidRDefault="007E27CB">
      <w:pPr>
        <w:tabs>
          <w:tab w:val="left" w:pos="4962"/>
        </w:tabs>
        <w:spacing w:after="0" w:line="240" w:lineRule="auto"/>
        <w:ind w:firstLine="567"/>
        <w:jc w:val="both"/>
        <w:rPr>
          <w:rFonts w:eastAsia="Calibri"/>
          <w:i/>
          <w:sz w:val="24"/>
          <w:szCs w:val="24"/>
        </w:rPr>
      </w:pPr>
    </w:p>
    <w:p w:rsidR="007E27CB" w:rsidRDefault="008F141F">
      <w:pPr>
        <w:tabs>
          <w:tab w:val="left" w:pos="4962"/>
        </w:tabs>
        <w:spacing w:after="0" w:line="240" w:lineRule="auto"/>
        <w:ind w:firstLine="567"/>
        <w:jc w:val="both"/>
        <w:rPr>
          <w:rFonts w:eastAsia="Calibri"/>
          <w:i/>
          <w:sz w:val="24"/>
          <w:szCs w:val="24"/>
        </w:rPr>
      </w:pPr>
      <w:r>
        <w:rPr>
          <w:rFonts w:eastAsia="Calibri"/>
          <w:i/>
          <w:sz w:val="24"/>
          <w:szCs w:val="24"/>
        </w:rPr>
        <w:t xml:space="preserve">УКРЕПЛЕНИЕ МЕЖНАЦИОНАЛЬНОГО И МЕЖКОНФЕССИОНАЛЬНОГО СОГЛАСИЯ НА ТЕРРИТОРИИ ТОМСКОЙ ОБЛАСТИ </w:t>
      </w:r>
    </w:p>
    <w:p w:rsidR="007E27CB" w:rsidRDefault="008F141F">
      <w:pPr>
        <w:tabs>
          <w:tab w:val="left" w:pos="4962"/>
        </w:tabs>
        <w:spacing w:after="0" w:line="240" w:lineRule="auto"/>
        <w:ind w:firstLine="567"/>
        <w:jc w:val="both"/>
        <w:rPr>
          <w:rFonts w:eastAsia="Calibri"/>
          <w:sz w:val="24"/>
          <w:szCs w:val="24"/>
        </w:rPr>
      </w:pPr>
      <w:r>
        <w:rPr>
          <w:rFonts w:eastAsia="Calibri"/>
          <w:sz w:val="24"/>
          <w:szCs w:val="24"/>
        </w:rPr>
        <w:t xml:space="preserve">В рамках реализации подпрограммы «Укрепление единства российской нации и этнокультурного развития народов России на территории Томской области» государственной программы «Повышение эффективности регионального и муниципального управления» в 2019 году было выделено финансирование в размере       11 101,5 тыс. рублей, из которых 3 896,5 тыс. рублей </w:t>
      </w:r>
      <w:r>
        <w:rPr>
          <w:sz w:val="24"/>
          <w:szCs w:val="24"/>
        </w:rPr>
        <w:t>–</w:t>
      </w:r>
      <w:r>
        <w:rPr>
          <w:rFonts w:eastAsia="Calibri"/>
          <w:sz w:val="24"/>
          <w:szCs w:val="24"/>
        </w:rPr>
        <w:t xml:space="preserve"> средства федерального бюджета. </w:t>
      </w:r>
    </w:p>
    <w:p w:rsidR="007E27CB" w:rsidRDefault="008F141F">
      <w:pPr>
        <w:tabs>
          <w:tab w:val="left" w:pos="4962"/>
        </w:tabs>
        <w:spacing w:after="0" w:line="240" w:lineRule="auto"/>
        <w:ind w:firstLine="567"/>
        <w:jc w:val="both"/>
        <w:rPr>
          <w:rFonts w:eastAsia="Calibri"/>
          <w:sz w:val="24"/>
          <w:szCs w:val="24"/>
        </w:rPr>
      </w:pPr>
      <w:r>
        <w:rPr>
          <w:rFonts w:eastAsia="Calibri"/>
          <w:sz w:val="24"/>
          <w:szCs w:val="24"/>
        </w:rPr>
        <w:t xml:space="preserve">В течение 2019 года было организовано и проведено свыше 50 этнокультурных, просветительских мероприятий, направленных на гармонизацию межнациональных отношений, укрепление единства российской нации (празднование государственных праздников и памятных дат в истории России, этнокультурных мероприятий, проведение обучающих семинаров и т.д.), а также адаптацию и интеграцию иностранных граждан в томское сообщество. </w:t>
      </w:r>
    </w:p>
    <w:p w:rsidR="007E27CB" w:rsidRDefault="008F141F">
      <w:pPr>
        <w:tabs>
          <w:tab w:val="left" w:pos="4962"/>
        </w:tabs>
        <w:spacing w:after="0" w:line="240" w:lineRule="auto"/>
        <w:ind w:firstLine="567"/>
        <w:jc w:val="both"/>
        <w:rPr>
          <w:rFonts w:eastAsia="Calibri"/>
          <w:sz w:val="24"/>
          <w:szCs w:val="24"/>
        </w:rPr>
      </w:pPr>
      <w:r>
        <w:rPr>
          <w:rFonts w:eastAsia="Calibri"/>
          <w:sz w:val="24"/>
          <w:szCs w:val="24"/>
        </w:rPr>
        <w:t>В октябре в Томске состоялся региональный форум «НацПолитика. Томск 2019», в ходе которого были рассмотрены важнейшие направления государственной национальной политики.</w:t>
      </w:r>
    </w:p>
    <w:p w:rsidR="007E27CB" w:rsidRDefault="008F141F">
      <w:pPr>
        <w:tabs>
          <w:tab w:val="left" w:pos="4962"/>
        </w:tabs>
        <w:spacing w:after="0" w:line="240" w:lineRule="auto"/>
        <w:ind w:firstLine="567"/>
        <w:jc w:val="both"/>
        <w:rPr>
          <w:rFonts w:eastAsia="Calibri"/>
          <w:sz w:val="24"/>
          <w:szCs w:val="24"/>
        </w:rPr>
      </w:pPr>
      <w:r>
        <w:rPr>
          <w:rFonts w:eastAsia="Calibri"/>
          <w:sz w:val="24"/>
          <w:szCs w:val="24"/>
        </w:rPr>
        <w:t>В ноябре 2019 года Томская область приняла участие во Всероссийской просветительской акции «Большой этнографический диктант», более 2 000 томичей поддержали данную акцию.</w:t>
      </w:r>
    </w:p>
    <w:p w:rsidR="007E27CB" w:rsidRDefault="008F141F">
      <w:pPr>
        <w:tabs>
          <w:tab w:val="left" w:pos="4962"/>
        </w:tabs>
        <w:spacing w:after="0" w:line="240" w:lineRule="auto"/>
        <w:ind w:firstLine="567"/>
        <w:jc w:val="both"/>
        <w:rPr>
          <w:rFonts w:eastAsia="Calibri"/>
          <w:sz w:val="24"/>
          <w:szCs w:val="24"/>
        </w:rPr>
      </w:pPr>
      <w:r>
        <w:rPr>
          <w:rFonts w:eastAsia="Calibri"/>
          <w:sz w:val="24"/>
          <w:szCs w:val="24"/>
        </w:rPr>
        <w:t>Также оказано содействие более 40 представителям национально-культурных объединений области по участию в международных, всероссийских и межрегиональных мероприятиях в сфере реализации национальной политики.</w:t>
      </w:r>
    </w:p>
    <w:p w:rsidR="007E27CB" w:rsidRDefault="008F141F">
      <w:pPr>
        <w:tabs>
          <w:tab w:val="left" w:pos="4962"/>
        </w:tabs>
        <w:spacing w:after="0" w:line="240" w:lineRule="auto"/>
        <w:ind w:firstLine="567"/>
        <w:jc w:val="both"/>
        <w:rPr>
          <w:rFonts w:eastAsia="Calibri"/>
          <w:sz w:val="24"/>
          <w:szCs w:val="24"/>
        </w:rPr>
      </w:pPr>
      <w:r>
        <w:rPr>
          <w:rFonts w:eastAsia="Calibri"/>
          <w:sz w:val="24"/>
          <w:szCs w:val="24"/>
        </w:rPr>
        <w:t>На систематической основе осуществлялось информационное сопровождение реализации государственной национальной политики посредством региональных и муниципальных средств массовой информации (размещены сюжеты, интервью, пресс-релизы, оказано содействие в издании печатных изданий).</w:t>
      </w:r>
    </w:p>
    <w:p w:rsidR="007E27CB" w:rsidRDefault="008F141F">
      <w:pPr>
        <w:tabs>
          <w:tab w:val="left" w:pos="4962"/>
        </w:tabs>
        <w:spacing w:after="0" w:line="240" w:lineRule="auto"/>
        <w:ind w:firstLine="567"/>
        <w:jc w:val="both"/>
        <w:rPr>
          <w:rFonts w:eastAsia="Calibri"/>
          <w:sz w:val="24"/>
          <w:szCs w:val="24"/>
        </w:rPr>
      </w:pPr>
      <w:r>
        <w:rPr>
          <w:rFonts w:eastAsia="Calibri"/>
          <w:sz w:val="24"/>
          <w:szCs w:val="24"/>
        </w:rPr>
        <w:t>Проведено социологическое исследование в сфере межнациональных отношений, по результатам которого установлено, что 81% опрошенных считают, что межнациональные отношения в Томской области можно охарактеризовать как нормальные, бесконфликтные и доброжелательные.</w:t>
      </w:r>
    </w:p>
    <w:p w:rsidR="007E27CB" w:rsidRDefault="008F141F">
      <w:pPr>
        <w:tabs>
          <w:tab w:val="left" w:pos="4962"/>
        </w:tabs>
        <w:spacing w:after="0" w:line="240" w:lineRule="auto"/>
        <w:ind w:firstLine="567"/>
        <w:jc w:val="both"/>
        <w:rPr>
          <w:rFonts w:eastAsia="Calibri"/>
          <w:sz w:val="24"/>
          <w:szCs w:val="24"/>
        </w:rPr>
      </w:pPr>
      <w:r>
        <w:rPr>
          <w:rFonts w:eastAsia="Calibri"/>
          <w:sz w:val="24"/>
          <w:szCs w:val="24"/>
        </w:rPr>
        <w:t>Проведено заседание Координационного совета по межнациональным отношениям в Томской области, участие в котором приняли представители органов власти, национально-культурных организаций и коренных малочисленных народов Севера Томской области.</w:t>
      </w:r>
    </w:p>
    <w:p w:rsidR="007E27CB" w:rsidRDefault="008F141F">
      <w:pPr>
        <w:tabs>
          <w:tab w:val="left" w:pos="4962"/>
        </w:tabs>
        <w:spacing w:after="0" w:line="240" w:lineRule="auto"/>
        <w:ind w:firstLine="567"/>
        <w:jc w:val="both"/>
        <w:rPr>
          <w:rFonts w:eastAsia="Calibri"/>
          <w:sz w:val="24"/>
          <w:szCs w:val="24"/>
        </w:rPr>
      </w:pPr>
      <w:r>
        <w:rPr>
          <w:rFonts w:eastAsia="Calibri"/>
          <w:sz w:val="24"/>
          <w:szCs w:val="24"/>
        </w:rPr>
        <w:t>В 2019 году свой юбилей отметила Ассамблея народов Томской области, создана молодежная Ассамблея народов Томской области.</w:t>
      </w:r>
    </w:p>
    <w:p w:rsidR="007E27CB" w:rsidRDefault="007E27CB">
      <w:pPr>
        <w:tabs>
          <w:tab w:val="left" w:pos="0"/>
          <w:tab w:val="left" w:pos="851"/>
          <w:tab w:val="left" w:pos="4962"/>
        </w:tabs>
        <w:spacing w:after="0" w:line="240" w:lineRule="auto"/>
        <w:ind w:firstLine="567"/>
        <w:jc w:val="both"/>
        <w:rPr>
          <w:b/>
          <w:sz w:val="24"/>
          <w:szCs w:val="24"/>
        </w:rPr>
      </w:pPr>
    </w:p>
    <w:p w:rsidR="007E27CB" w:rsidRDefault="008F141F">
      <w:pPr>
        <w:shd w:val="clear" w:color="auto" w:fill="F2F2F2" w:themeFill="background1" w:themeFillShade="F2"/>
        <w:tabs>
          <w:tab w:val="left" w:pos="4962"/>
        </w:tabs>
        <w:autoSpaceDE w:val="0"/>
        <w:autoSpaceDN w:val="0"/>
        <w:adjustRightInd w:val="0"/>
        <w:spacing w:after="0" w:line="240" w:lineRule="auto"/>
        <w:jc w:val="both"/>
        <w:rPr>
          <w:b/>
          <w:sz w:val="24"/>
          <w:szCs w:val="24"/>
        </w:rPr>
      </w:pPr>
      <w:r>
        <w:rPr>
          <w:b/>
          <w:sz w:val="24"/>
          <w:szCs w:val="24"/>
        </w:rPr>
        <w:t>Перспективные задачи</w:t>
      </w:r>
    </w:p>
    <w:p w:rsidR="007E27CB" w:rsidRDefault="007E27CB">
      <w:pPr>
        <w:tabs>
          <w:tab w:val="left" w:pos="4962"/>
        </w:tabs>
        <w:spacing w:after="0" w:line="240" w:lineRule="auto"/>
        <w:jc w:val="both"/>
        <w:rPr>
          <w:rFonts w:eastAsia="Calibri"/>
          <w:sz w:val="24"/>
          <w:szCs w:val="24"/>
        </w:rPr>
      </w:pPr>
    </w:p>
    <w:p w:rsidR="007E27CB" w:rsidRDefault="008F141F">
      <w:pPr>
        <w:tabs>
          <w:tab w:val="left" w:pos="4962"/>
        </w:tabs>
        <w:spacing w:after="0" w:line="240" w:lineRule="auto"/>
        <w:jc w:val="both"/>
        <w:rPr>
          <w:rFonts w:eastAsia="Calibri"/>
          <w:b/>
          <w:sz w:val="24"/>
          <w:szCs w:val="24"/>
        </w:rPr>
      </w:pPr>
      <w:r>
        <w:rPr>
          <w:rFonts w:eastAsia="Calibri"/>
          <w:sz w:val="24"/>
          <w:szCs w:val="24"/>
        </w:rPr>
        <w:t>1. Оказание финансовой поддержки социально ориентированным некоммерческим организациям на реализацию их проектов, направленных на решение отдельных социальных проблем жителей Томской области.</w:t>
      </w:r>
    </w:p>
    <w:p w:rsidR="007E27CB" w:rsidRDefault="008F141F">
      <w:pPr>
        <w:tabs>
          <w:tab w:val="left" w:pos="4962"/>
        </w:tabs>
        <w:spacing w:after="0" w:line="240" w:lineRule="auto"/>
        <w:jc w:val="both"/>
        <w:rPr>
          <w:rFonts w:eastAsia="Calibri"/>
          <w:sz w:val="24"/>
          <w:szCs w:val="24"/>
        </w:rPr>
      </w:pPr>
      <w:r>
        <w:rPr>
          <w:rFonts w:eastAsia="Calibri"/>
          <w:sz w:val="24"/>
          <w:szCs w:val="24"/>
        </w:rPr>
        <w:t>2. Формирование в 2020 году 7 созыва Общественной палаты Томской области.</w:t>
      </w:r>
    </w:p>
    <w:p w:rsidR="007E27CB" w:rsidRDefault="008F141F">
      <w:pPr>
        <w:tabs>
          <w:tab w:val="left" w:pos="4962"/>
        </w:tabs>
        <w:spacing w:after="0" w:line="240" w:lineRule="auto"/>
        <w:jc w:val="both"/>
        <w:rPr>
          <w:sz w:val="24"/>
          <w:szCs w:val="24"/>
        </w:rPr>
      </w:pPr>
      <w:r>
        <w:rPr>
          <w:sz w:val="24"/>
          <w:szCs w:val="24"/>
        </w:rPr>
        <w:t>3. Сохранение положительной динамики развития этноконфессиональных отношений на территории Томской области.</w:t>
      </w:r>
    </w:p>
    <w:p w:rsidR="007E27CB" w:rsidRDefault="008F141F">
      <w:pPr>
        <w:tabs>
          <w:tab w:val="left" w:pos="709"/>
          <w:tab w:val="left" w:pos="4962"/>
        </w:tabs>
        <w:spacing w:after="0" w:line="240" w:lineRule="auto"/>
        <w:jc w:val="both"/>
        <w:rPr>
          <w:sz w:val="24"/>
          <w:szCs w:val="24"/>
        </w:rPr>
      </w:pPr>
      <w:r>
        <w:rPr>
          <w:sz w:val="24"/>
          <w:szCs w:val="24"/>
        </w:rPr>
        <w:t>4.</w:t>
      </w:r>
      <w:r>
        <w:rPr>
          <w:sz w:val="24"/>
          <w:szCs w:val="24"/>
          <w:lang w:val="en-US"/>
        </w:rPr>
        <w:t> </w:t>
      </w:r>
      <w:r>
        <w:rPr>
          <w:sz w:val="24"/>
          <w:szCs w:val="24"/>
        </w:rPr>
        <w:t>Проведение мероприятий, направленных на укрепление единства российской нации и этнокультурное развитие народов России на территории Томской области.</w:t>
      </w:r>
    </w:p>
    <w:p w:rsidR="007E27CB" w:rsidRDefault="008F141F">
      <w:pPr>
        <w:tabs>
          <w:tab w:val="left" w:pos="709"/>
          <w:tab w:val="left" w:pos="4962"/>
        </w:tabs>
        <w:spacing w:after="0" w:line="240" w:lineRule="auto"/>
        <w:jc w:val="both"/>
        <w:rPr>
          <w:sz w:val="24"/>
          <w:szCs w:val="24"/>
        </w:rPr>
      </w:pPr>
      <w:r>
        <w:rPr>
          <w:sz w:val="24"/>
          <w:szCs w:val="24"/>
        </w:rPr>
        <w:t>5. Поддержка экономического и социального развития коренных малочисленных народов Севера, Сибири и Дальнего Востока Российской Федерации, проживающих на территории Томской области.</w:t>
      </w:r>
    </w:p>
    <w:p w:rsidR="007E27CB" w:rsidRDefault="007E27CB">
      <w:pPr>
        <w:tabs>
          <w:tab w:val="left" w:pos="4962"/>
        </w:tabs>
        <w:spacing w:after="0" w:line="240" w:lineRule="auto"/>
        <w:rPr>
          <w:rFonts w:eastAsia="Times New Roman"/>
          <w:b/>
          <w:color w:val="FF0000"/>
          <w:sz w:val="24"/>
          <w:szCs w:val="24"/>
        </w:rPr>
      </w:pPr>
    </w:p>
    <w:p w:rsidR="007E27CB" w:rsidRDefault="007E27CB">
      <w:pPr>
        <w:tabs>
          <w:tab w:val="left" w:pos="0"/>
        </w:tabs>
        <w:spacing w:after="0" w:line="240" w:lineRule="auto"/>
        <w:ind w:firstLine="567"/>
        <w:rPr>
          <w:rFonts w:eastAsia="Times New Roman"/>
          <w:b/>
          <w:sz w:val="24"/>
          <w:szCs w:val="24"/>
        </w:rPr>
      </w:pPr>
    </w:p>
    <w:p w:rsidR="007E27CB" w:rsidRDefault="008F141F">
      <w:pPr>
        <w:tabs>
          <w:tab w:val="left" w:pos="0"/>
        </w:tabs>
        <w:spacing w:after="0" w:line="240" w:lineRule="auto"/>
        <w:ind w:firstLine="567"/>
        <w:rPr>
          <w:rFonts w:eastAsia="Times New Roman"/>
          <w:b/>
          <w:sz w:val="24"/>
          <w:szCs w:val="24"/>
        </w:rPr>
      </w:pPr>
      <w:r>
        <w:rPr>
          <w:rFonts w:eastAsia="Times New Roman"/>
          <w:b/>
          <w:sz w:val="24"/>
          <w:szCs w:val="24"/>
        </w:rPr>
        <w:t xml:space="preserve">РАЗВИТИЕ ПРАВОВОЙ ГРАМОТНОСТИ НАСЕЛЕНИЯ </w:t>
      </w:r>
    </w:p>
    <w:p w:rsidR="007E27CB" w:rsidRDefault="007E27CB">
      <w:pPr>
        <w:tabs>
          <w:tab w:val="left" w:pos="4962"/>
        </w:tabs>
        <w:spacing w:after="0" w:line="240" w:lineRule="auto"/>
        <w:ind w:firstLine="567"/>
        <w:jc w:val="both"/>
        <w:rPr>
          <w:sz w:val="24"/>
          <w:szCs w:val="24"/>
        </w:rPr>
      </w:pPr>
    </w:p>
    <w:p w:rsidR="007E27CB" w:rsidRDefault="008F141F">
      <w:pPr>
        <w:pStyle w:val="a3"/>
        <w:ind w:firstLine="567"/>
      </w:pPr>
      <w:r>
        <w:t>За отчетный период согласно Плану мероприятий по развитию правовой грамотности населения ежемесячно проводился прием граждан по правовым вопросам в рамках «горячей линии».</w:t>
      </w:r>
    </w:p>
    <w:p w:rsidR="007E27CB" w:rsidRDefault="008F141F">
      <w:pPr>
        <w:pStyle w:val="a3"/>
        <w:ind w:firstLine="567"/>
      </w:pPr>
      <w:r>
        <w:t xml:space="preserve">В 2019 году совместно с Департаментом общего образования Томской области, Департаментом потребительского рынка Администрации Томской области, Департаментом социальной защиты населения Томской области, Территориальным Фондом ОМС Томской области  Пенсионным фондом и товариществами садоводничества были проведены лекции для населения Томской области на темы: </w:t>
      </w:r>
    </w:p>
    <w:p w:rsidR="007E27CB" w:rsidRDefault="008F141F">
      <w:pPr>
        <w:pStyle w:val="a3"/>
        <w:numPr>
          <w:ilvl w:val="0"/>
          <w:numId w:val="17"/>
        </w:numPr>
        <w:tabs>
          <w:tab w:val="left" w:pos="851"/>
        </w:tabs>
        <w:ind w:left="0" w:firstLine="567"/>
      </w:pPr>
      <w:r>
        <w:t>Организация проведения ЕГЭ – присутствовало 46 человек, 44 муниципальных образования дистанционно (присутствовало 227 человек);</w:t>
      </w:r>
    </w:p>
    <w:p w:rsidR="007E27CB" w:rsidRDefault="008F141F">
      <w:pPr>
        <w:pStyle w:val="a3"/>
        <w:numPr>
          <w:ilvl w:val="0"/>
          <w:numId w:val="17"/>
        </w:numPr>
        <w:tabs>
          <w:tab w:val="left" w:pos="851"/>
        </w:tabs>
        <w:ind w:left="0" w:firstLine="567"/>
      </w:pPr>
      <w:r>
        <w:t>Защита прав потребителей – присутствовало 25 человек, 47 муниципальных образований дистанционно (присутствовало 195 человек);</w:t>
      </w:r>
    </w:p>
    <w:p w:rsidR="007E27CB" w:rsidRDefault="008F141F">
      <w:pPr>
        <w:pStyle w:val="a3"/>
        <w:numPr>
          <w:ilvl w:val="0"/>
          <w:numId w:val="17"/>
        </w:numPr>
        <w:tabs>
          <w:tab w:val="left" w:pos="851"/>
        </w:tabs>
        <w:ind w:left="0" w:firstLine="567"/>
      </w:pPr>
      <w:r>
        <w:t>Защита пенсионных прав граждан – присутствовало 18 человек, 54 муниципальных образования дистанционно (присутствовало 270 человек);</w:t>
      </w:r>
    </w:p>
    <w:p w:rsidR="007E27CB" w:rsidRDefault="008F141F">
      <w:pPr>
        <w:pStyle w:val="a3"/>
        <w:numPr>
          <w:ilvl w:val="0"/>
          <w:numId w:val="17"/>
        </w:numPr>
        <w:tabs>
          <w:tab w:val="left" w:pos="851"/>
        </w:tabs>
        <w:ind w:left="0" w:firstLine="567"/>
      </w:pPr>
      <w:r>
        <w:t>Изменения в законе о садоводстве – присутствовало 28 человек, 64 муниципальных образования дистанционно (присутствовало 212 человек);</w:t>
      </w:r>
    </w:p>
    <w:p w:rsidR="007E27CB" w:rsidRDefault="008F141F">
      <w:pPr>
        <w:pStyle w:val="a3"/>
        <w:numPr>
          <w:ilvl w:val="0"/>
          <w:numId w:val="17"/>
        </w:numPr>
        <w:tabs>
          <w:tab w:val="left" w:pos="851"/>
        </w:tabs>
        <w:ind w:left="0" w:firstLine="567"/>
      </w:pPr>
      <w:r>
        <w:t>Оказание социальной помощи населению Томской области – присутствовало 34 человека, 71 муниципальное образование дистанционно (присутствовало 204 человека);</w:t>
      </w:r>
    </w:p>
    <w:p w:rsidR="007E27CB" w:rsidRDefault="008F141F">
      <w:pPr>
        <w:pStyle w:val="a3"/>
        <w:numPr>
          <w:ilvl w:val="0"/>
          <w:numId w:val="17"/>
        </w:numPr>
        <w:tabs>
          <w:tab w:val="left" w:pos="851"/>
        </w:tabs>
        <w:ind w:left="0" w:firstLine="567"/>
      </w:pPr>
      <w:r>
        <w:t>Оказание бесплатной медицинской помощи, оплата которой осуществляется фондом обязательного медицинского страхования – присутствовало 29 человек, 64 муниципальных образования дистанционно (присутствовал 151 человек);</w:t>
      </w:r>
    </w:p>
    <w:p w:rsidR="007E27CB" w:rsidRDefault="008F141F">
      <w:pPr>
        <w:pStyle w:val="a3"/>
        <w:numPr>
          <w:ilvl w:val="0"/>
          <w:numId w:val="17"/>
        </w:numPr>
        <w:tabs>
          <w:tab w:val="left" w:pos="851"/>
        </w:tabs>
        <w:ind w:left="0" w:firstLine="567"/>
      </w:pPr>
      <w:r>
        <w:t>Защита пенсионных прав граждан – присутствовало 14 человек, 51 муниципальное образование дистанционно (присутствовало 177 человек).</w:t>
      </w:r>
    </w:p>
    <w:p w:rsidR="007E27CB" w:rsidRDefault="007E27CB">
      <w:pPr>
        <w:tabs>
          <w:tab w:val="left" w:pos="4962"/>
        </w:tabs>
        <w:spacing w:after="0" w:line="240" w:lineRule="auto"/>
        <w:rPr>
          <w:rFonts w:eastAsia="Times New Roman"/>
          <w:b/>
          <w:sz w:val="24"/>
          <w:szCs w:val="24"/>
        </w:rPr>
      </w:pPr>
    </w:p>
    <w:p w:rsidR="007E27CB" w:rsidRDefault="008F141F">
      <w:pPr>
        <w:shd w:val="clear" w:color="auto" w:fill="F2F2F2" w:themeFill="background1" w:themeFillShade="F2"/>
        <w:tabs>
          <w:tab w:val="left" w:pos="4962"/>
        </w:tabs>
        <w:spacing w:after="0" w:line="240" w:lineRule="auto"/>
        <w:rPr>
          <w:b/>
          <w:sz w:val="24"/>
          <w:szCs w:val="24"/>
        </w:rPr>
      </w:pPr>
      <w:r>
        <w:rPr>
          <w:b/>
          <w:sz w:val="24"/>
          <w:szCs w:val="24"/>
        </w:rPr>
        <w:t>Перспективные задачи</w:t>
      </w:r>
    </w:p>
    <w:p w:rsidR="007E27CB" w:rsidRDefault="007E27CB">
      <w:pPr>
        <w:pStyle w:val="a3"/>
      </w:pPr>
    </w:p>
    <w:p w:rsidR="007E27CB" w:rsidRDefault="008F141F">
      <w:pPr>
        <w:pStyle w:val="a3"/>
        <w:numPr>
          <w:ilvl w:val="3"/>
          <w:numId w:val="67"/>
        </w:numPr>
        <w:tabs>
          <w:tab w:val="left" w:pos="284"/>
        </w:tabs>
        <w:ind w:left="0" w:firstLine="0"/>
      </w:pPr>
      <w:r>
        <w:t>Проведение лекционных мероприятий по следующим актуальным вопросам:</w:t>
      </w:r>
    </w:p>
    <w:p w:rsidR="007E27CB" w:rsidRDefault="008F141F">
      <w:pPr>
        <w:pStyle w:val="a3"/>
        <w:numPr>
          <w:ilvl w:val="0"/>
          <w:numId w:val="18"/>
        </w:numPr>
        <w:tabs>
          <w:tab w:val="left" w:pos="284"/>
        </w:tabs>
        <w:ind w:left="0" w:firstLine="0"/>
      </w:pPr>
      <w:r>
        <w:t>безопасное поведение в глобальной компьютерной сети Интернет;</w:t>
      </w:r>
    </w:p>
    <w:p w:rsidR="007E27CB" w:rsidRDefault="008F141F">
      <w:pPr>
        <w:pStyle w:val="a3"/>
        <w:numPr>
          <w:ilvl w:val="0"/>
          <w:numId w:val="18"/>
        </w:numPr>
        <w:tabs>
          <w:tab w:val="left" w:pos="284"/>
        </w:tabs>
        <w:ind w:left="0" w:firstLine="0"/>
      </w:pPr>
      <w:r>
        <w:t xml:space="preserve">защита прав потребителей; </w:t>
      </w:r>
    </w:p>
    <w:p w:rsidR="007E27CB" w:rsidRDefault="008F141F">
      <w:pPr>
        <w:pStyle w:val="a3"/>
        <w:numPr>
          <w:ilvl w:val="0"/>
          <w:numId w:val="18"/>
        </w:numPr>
        <w:tabs>
          <w:tab w:val="left" w:pos="284"/>
        </w:tabs>
        <w:ind w:left="0" w:firstLine="0"/>
      </w:pPr>
      <w:r>
        <w:t>правовое регулирование владения земельным участком;</w:t>
      </w:r>
    </w:p>
    <w:p w:rsidR="007E27CB" w:rsidRDefault="008F141F">
      <w:pPr>
        <w:pStyle w:val="a3"/>
        <w:numPr>
          <w:ilvl w:val="0"/>
          <w:numId w:val="18"/>
        </w:numPr>
        <w:tabs>
          <w:tab w:val="left" w:pos="284"/>
        </w:tabs>
        <w:ind w:left="0" w:firstLine="0"/>
      </w:pPr>
      <w:r>
        <w:t>правила и порядок обращения в контролирующие ведомства;</w:t>
      </w:r>
    </w:p>
    <w:p w:rsidR="007E27CB" w:rsidRDefault="008F141F">
      <w:pPr>
        <w:pStyle w:val="a3"/>
        <w:numPr>
          <w:ilvl w:val="0"/>
          <w:numId w:val="18"/>
        </w:numPr>
        <w:tabs>
          <w:tab w:val="left" w:pos="284"/>
        </w:tabs>
        <w:ind w:left="0" w:firstLine="0"/>
      </w:pPr>
      <w:r>
        <w:t xml:space="preserve">ответственность родителей за воспитание детей. Правовые аспекты; </w:t>
      </w:r>
    </w:p>
    <w:p w:rsidR="007E27CB" w:rsidRDefault="008F141F">
      <w:pPr>
        <w:pStyle w:val="a3"/>
        <w:numPr>
          <w:ilvl w:val="0"/>
          <w:numId w:val="18"/>
        </w:numPr>
        <w:tabs>
          <w:tab w:val="left" w:pos="284"/>
        </w:tabs>
        <w:ind w:left="0" w:firstLine="0"/>
      </w:pPr>
      <w:r>
        <w:t>оказание социальной помощи населению Томской области;</w:t>
      </w:r>
    </w:p>
    <w:p w:rsidR="007E27CB" w:rsidRDefault="008F141F">
      <w:pPr>
        <w:pStyle w:val="a3"/>
        <w:numPr>
          <w:ilvl w:val="0"/>
          <w:numId w:val="18"/>
        </w:numPr>
        <w:tabs>
          <w:tab w:val="left" w:pos="284"/>
        </w:tabs>
        <w:ind w:left="0" w:firstLine="0"/>
      </w:pPr>
      <w:r>
        <w:t>наследственное право;</w:t>
      </w:r>
    </w:p>
    <w:p w:rsidR="007E27CB" w:rsidRDefault="008F141F">
      <w:pPr>
        <w:pStyle w:val="a3"/>
        <w:numPr>
          <w:ilvl w:val="0"/>
          <w:numId w:val="18"/>
        </w:numPr>
        <w:tabs>
          <w:tab w:val="left" w:pos="284"/>
        </w:tabs>
        <w:ind w:left="0" w:firstLine="0"/>
      </w:pPr>
      <w:r>
        <w:t>обеспечение пенсионных прав граждан;</w:t>
      </w:r>
    </w:p>
    <w:p w:rsidR="007E27CB" w:rsidRDefault="008F141F">
      <w:pPr>
        <w:pStyle w:val="a3"/>
        <w:numPr>
          <w:ilvl w:val="0"/>
          <w:numId w:val="18"/>
        </w:numPr>
        <w:tabs>
          <w:tab w:val="left" w:pos="284"/>
        </w:tabs>
        <w:ind w:left="0" w:firstLine="0"/>
      </w:pPr>
      <w:r>
        <w:t>оказание бесплатной медицинской помощи (фонд обязательного медицинского страхования), бесплатное лекарственное обеспечение.</w:t>
      </w:r>
    </w:p>
    <w:p w:rsidR="007E27CB" w:rsidRDefault="008F141F">
      <w:pPr>
        <w:pStyle w:val="a3"/>
      </w:pPr>
      <w:r>
        <w:t>2. Проведение иных мероприятий, направленных на правовое просвещение населения Томской области.</w:t>
      </w:r>
    </w:p>
    <w:p w:rsidR="007E27CB" w:rsidRDefault="007E27CB">
      <w:pPr>
        <w:tabs>
          <w:tab w:val="left" w:pos="4962"/>
        </w:tabs>
        <w:spacing w:after="0" w:line="240" w:lineRule="auto"/>
        <w:rPr>
          <w:rFonts w:eastAsia="Times New Roman"/>
          <w:b/>
          <w:sz w:val="24"/>
          <w:szCs w:val="24"/>
        </w:rPr>
      </w:pPr>
    </w:p>
    <w:p w:rsidR="007E27CB" w:rsidRDefault="008F141F">
      <w:pPr>
        <w:tabs>
          <w:tab w:val="left" w:pos="4962"/>
        </w:tabs>
        <w:spacing w:after="0" w:line="240" w:lineRule="auto"/>
        <w:ind w:firstLine="567"/>
        <w:rPr>
          <w:rFonts w:eastAsia="Times New Roman"/>
          <w:b/>
          <w:sz w:val="24"/>
          <w:szCs w:val="24"/>
        </w:rPr>
      </w:pPr>
      <w:r>
        <w:rPr>
          <w:rFonts w:eastAsia="Times New Roman"/>
          <w:b/>
          <w:sz w:val="24"/>
          <w:szCs w:val="24"/>
        </w:rPr>
        <w:t>МУНИЦИПАЛЬНОЕ РАЗВИТИЕ</w:t>
      </w:r>
    </w:p>
    <w:p w:rsidR="007E27CB" w:rsidRDefault="007E27CB">
      <w:pPr>
        <w:tabs>
          <w:tab w:val="left" w:pos="4962"/>
        </w:tabs>
        <w:spacing w:after="0" w:line="240" w:lineRule="auto"/>
        <w:rPr>
          <w:sz w:val="24"/>
          <w:szCs w:val="24"/>
        </w:rPr>
      </w:pPr>
    </w:p>
    <w:p w:rsidR="007E27CB" w:rsidRDefault="008F141F">
      <w:pPr>
        <w:tabs>
          <w:tab w:val="left" w:pos="4962"/>
        </w:tabs>
        <w:spacing w:after="0" w:line="240" w:lineRule="auto"/>
        <w:ind w:firstLine="567"/>
        <w:jc w:val="both"/>
        <w:rPr>
          <w:sz w:val="24"/>
          <w:szCs w:val="24"/>
        </w:rPr>
      </w:pPr>
      <w:r>
        <w:rPr>
          <w:sz w:val="24"/>
          <w:szCs w:val="24"/>
        </w:rPr>
        <w:t>В рамках государственной программы «Повышение эффективности регионального и муниципального управления» реализуются мероприятия по следующим направлениям:</w:t>
      </w:r>
    </w:p>
    <w:p w:rsidR="007E27CB" w:rsidRDefault="008F141F">
      <w:pPr>
        <w:pStyle w:val="a6"/>
        <w:numPr>
          <w:ilvl w:val="0"/>
          <w:numId w:val="205"/>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внедрение в органах местного самоуправления муниципальных образований Томской области современных информационных технологий и программного обеспечения;</w:t>
      </w:r>
    </w:p>
    <w:p w:rsidR="007E27CB" w:rsidRDefault="008F141F">
      <w:pPr>
        <w:pStyle w:val="a6"/>
        <w:numPr>
          <w:ilvl w:val="0"/>
          <w:numId w:val="205"/>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реализация Указа Президента Российской Федерации от 10.06.2012 № 805 «О Дне местного самоуправления»: проведение мероприятий, посвященных Дню местного самоуправления, в целях повышения роли и значения института местного самоуправления, развития демократии и гражданского общества;</w:t>
      </w:r>
    </w:p>
    <w:p w:rsidR="007E27CB" w:rsidRDefault="008F141F">
      <w:pPr>
        <w:pStyle w:val="a6"/>
        <w:numPr>
          <w:ilvl w:val="0"/>
          <w:numId w:val="205"/>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обеспечение финансирования осуществления государственных полномочий по созданию и обеспечению деятельности административных комиссий в Томской области.</w:t>
      </w:r>
    </w:p>
    <w:p w:rsidR="007E27CB" w:rsidRDefault="008F141F">
      <w:pPr>
        <w:tabs>
          <w:tab w:val="left" w:pos="4962"/>
        </w:tabs>
        <w:spacing w:after="0" w:line="240" w:lineRule="auto"/>
        <w:ind w:firstLine="567"/>
        <w:jc w:val="both"/>
        <w:rPr>
          <w:sz w:val="24"/>
          <w:szCs w:val="24"/>
        </w:rPr>
      </w:pPr>
      <w:r>
        <w:rPr>
          <w:sz w:val="24"/>
          <w:szCs w:val="24"/>
        </w:rPr>
        <w:t xml:space="preserve">Ежегодно во всех муниципальных образованиях Томской области проводится мониторинг эффективности деятельности органов местного самоуправления путем проведения социологических исследований. </w:t>
      </w:r>
    </w:p>
    <w:p w:rsidR="007E27CB" w:rsidRDefault="008F141F">
      <w:pPr>
        <w:tabs>
          <w:tab w:val="left" w:pos="4962"/>
        </w:tabs>
        <w:spacing w:after="0" w:line="240" w:lineRule="auto"/>
        <w:ind w:firstLine="567"/>
        <w:jc w:val="both"/>
        <w:rPr>
          <w:sz w:val="24"/>
          <w:szCs w:val="24"/>
        </w:rPr>
      </w:pPr>
      <w:r>
        <w:rPr>
          <w:sz w:val="24"/>
          <w:szCs w:val="24"/>
        </w:rPr>
        <w:t>По итогам проведенных в 2019 году исследований уровень удовлетворенности населения деятельностью органов местного самоуправления составил 43,28% от количества опрошенных респондентов, что на 1,16 процентных пункта выше уровня 2018 года.</w:t>
      </w:r>
    </w:p>
    <w:p w:rsidR="007E27CB" w:rsidRDefault="008F141F">
      <w:pPr>
        <w:tabs>
          <w:tab w:val="left" w:pos="4962"/>
        </w:tabs>
        <w:spacing w:after="0" w:line="240" w:lineRule="auto"/>
        <w:ind w:firstLine="567"/>
        <w:jc w:val="both"/>
        <w:rPr>
          <w:sz w:val="24"/>
          <w:szCs w:val="24"/>
        </w:rPr>
      </w:pPr>
      <w:r>
        <w:rPr>
          <w:sz w:val="24"/>
          <w:szCs w:val="24"/>
        </w:rPr>
        <w:t xml:space="preserve">Одним из основных критериев оценки населением эффективности деятельности органов местного самоуправления является мнение граждан, их удовлетворенность различными аспектами деятельности должностных лиц муниципальных образований Томской области. Оценка населением деятельности органов местного самоуправления формируется из оценки качества предоставляемых муниципальных услуг в различных сферах (образования, создания условий для занятия физической культурой и спортом, оказания жилищно-коммунальных услуг и пр.), а также из оценки деятельности руководителя исполнительной власти. </w:t>
      </w:r>
    </w:p>
    <w:p w:rsidR="007E27CB" w:rsidRDefault="007E27CB">
      <w:pPr>
        <w:tabs>
          <w:tab w:val="left" w:pos="4962"/>
        </w:tabs>
        <w:spacing w:after="0" w:line="240" w:lineRule="auto"/>
        <w:jc w:val="both"/>
        <w:rPr>
          <w:sz w:val="24"/>
          <w:szCs w:val="24"/>
        </w:rPr>
      </w:pPr>
    </w:p>
    <w:tbl>
      <w:tblPr>
        <w:tblW w:w="9781" w:type="dxa"/>
        <w:tblInd w:w="62" w:type="dxa"/>
        <w:tblLayout w:type="fixed"/>
        <w:tblCellMar>
          <w:top w:w="102" w:type="dxa"/>
          <w:left w:w="62" w:type="dxa"/>
          <w:bottom w:w="102" w:type="dxa"/>
          <w:right w:w="62" w:type="dxa"/>
        </w:tblCellMar>
        <w:tblLook w:val="0000" w:firstRow="0" w:lastRow="0" w:firstColumn="0" w:lastColumn="0" w:noHBand="0" w:noVBand="0"/>
      </w:tblPr>
      <w:tblGrid>
        <w:gridCol w:w="4678"/>
        <w:gridCol w:w="992"/>
        <w:gridCol w:w="993"/>
        <w:gridCol w:w="992"/>
        <w:gridCol w:w="992"/>
        <w:gridCol w:w="1134"/>
      </w:tblGrid>
      <w:tr w:rsidR="007E27CB">
        <w:tc>
          <w:tcPr>
            <w:tcW w:w="4678" w:type="dxa"/>
            <w:tcBorders>
              <w:top w:val="single" w:sz="4" w:space="0" w:color="auto"/>
              <w:left w:val="single" w:sz="4" w:space="0" w:color="auto"/>
              <w:bottom w:val="single" w:sz="4" w:space="0" w:color="auto"/>
              <w:right w:val="single" w:sz="4" w:space="0" w:color="auto"/>
            </w:tcBorders>
            <w:vAlign w:val="center"/>
          </w:tcPr>
          <w:p w:rsidR="007E27CB" w:rsidRDefault="008F141F">
            <w:pPr>
              <w:tabs>
                <w:tab w:val="left" w:pos="4962"/>
              </w:tabs>
              <w:autoSpaceDE w:val="0"/>
              <w:autoSpaceDN w:val="0"/>
              <w:adjustRightInd w:val="0"/>
              <w:spacing w:after="0" w:line="240" w:lineRule="auto"/>
              <w:jc w:val="center"/>
              <w:rPr>
                <w:sz w:val="24"/>
                <w:szCs w:val="24"/>
              </w:rPr>
            </w:pPr>
            <w:r>
              <w:rPr>
                <w:sz w:val="24"/>
                <w:szCs w:val="24"/>
              </w:rPr>
              <w:t>Показатель</w:t>
            </w:r>
          </w:p>
        </w:tc>
        <w:tc>
          <w:tcPr>
            <w:tcW w:w="992" w:type="dxa"/>
            <w:tcBorders>
              <w:top w:val="single" w:sz="4" w:space="0" w:color="auto"/>
              <w:left w:val="single" w:sz="4" w:space="0" w:color="auto"/>
              <w:bottom w:val="single" w:sz="4" w:space="0" w:color="auto"/>
              <w:right w:val="single" w:sz="4" w:space="0" w:color="auto"/>
            </w:tcBorders>
            <w:vAlign w:val="center"/>
          </w:tcPr>
          <w:p w:rsidR="007E27CB" w:rsidRDefault="008F141F">
            <w:pPr>
              <w:tabs>
                <w:tab w:val="left" w:pos="4962"/>
              </w:tabs>
              <w:autoSpaceDE w:val="0"/>
              <w:autoSpaceDN w:val="0"/>
              <w:adjustRightInd w:val="0"/>
              <w:spacing w:after="0" w:line="240" w:lineRule="auto"/>
              <w:jc w:val="center"/>
              <w:rPr>
                <w:sz w:val="24"/>
                <w:szCs w:val="24"/>
              </w:rPr>
            </w:pPr>
            <w:r>
              <w:rPr>
                <w:sz w:val="24"/>
                <w:szCs w:val="24"/>
              </w:rPr>
              <w:t>2015 г.</w:t>
            </w:r>
          </w:p>
        </w:tc>
        <w:tc>
          <w:tcPr>
            <w:tcW w:w="993" w:type="dxa"/>
            <w:tcBorders>
              <w:top w:val="single" w:sz="4" w:space="0" w:color="auto"/>
              <w:left w:val="single" w:sz="4" w:space="0" w:color="auto"/>
              <w:bottom w:val="single" w:sz="4" w:space="0" w:color="auto"/>
              <w:right w:val="single" w:sz="4" w:space="0" w:color="auto"/>
            </w:tcBorders>
            <w:vAlign w:val="center"/>
          </w:tcPr>
          <w:p w:rsidR="007E27CB" w:rsidRDefault="008F141F">
            <w:pPr>
              <w:tabs>
                <w:tab w:val="left" w:pos="4962"/>
              </w:tabs>
              <w:autoSpaceDE w:val="0"/>
              <w:autoSpaceDN w:val="0"/>
              <w:adjustRightInd w:val="0"/>
              <w:spacing w:after="0" w:line="240" w:lineRule="auto"/>
              <w:jc w:val="center"/>
              <w:rPr>
                <w:sz w:val="24"/>
                <w:szCs w:val="24"/>
              </w:rPr>
            </w:pPr>
            <w:r>
              <w:rPr>
                <w:sz w:val="24"/>
                <w:szCs w:val="24"/>
              </w:rPr>
              <w:t>2016 г.</w:t>
            </w:r>
          </w:p>
        </w:tc>
        <w:tc>
          <w:tcPr>
            <w:tcW w:w="992" w:type="dxa"/>
            <w:tcBorders>
              <w:top w:val="single" w:sz="4" w:space="0" w:color="auto"/>
              <w:left w:val="single" w:sz="4" w:space="0" w:color="auto"/>
              <w:bottom w:val="single" w:sz="4" w:space="0" w:color="auto"/>
              <w:right w:val="single" w:sz="4" w:space="0" w:color="auto"/>
            </w:tcBorders>
          </w:tcPr>
          <w:p w:rsidR="007E27CB" w:rsidRDefault="008F141F">
            <w:pPr>
              <w:tabs>
                <w:tab w:val="left" w:pos="4962"/>
              </w:tabs>
              <w:autoSpaceDE w:val="0"/>
              <w:autoSpaceDN w:val="0"/>
              <w:adjustRightInd w:val="0"/>
              <w:spacing w:after="0" w:line="240" w:lineRule="auto"/>
              <w:jc w:val="center"/>
              <w:rPr>
                <w:sz w:val="24"/>
                <w:szCs w:val="24"/>
              </w:rPr>
            </w:pPr>
            <w:r>
              <w:rPr>
                <w:sz w:val="24"/>
                <w:szCs w:val="24"/>
              </w:rPr>
              <w:t>2017 г.</w:t>
            </w:r>
          </w:p>
        </w:tc>
        <w:tc>
          <w:tcPr>
            <w:tcW w:w="992" w:type="dxa"/>
            <w:tcBorders>
              <w:top w:val="single" w:sz="4" w:space="0" w:color="auto"/>
              <w:left w:val="single" w:sz="4" w:space="0" w:color="auto"/>
              <w:bottom w:val="single" w:sz="4" w:space="0" w:color="auto"/>
              <w:right w:val="single" w:sz="4" w:space="0" w:color="auto"/>
            </w:tcBorders>
          </w:tcPr>
          <w:p w:rsidR="007E27CB" w:rsidRDefault="008F141F">
            <w:pPr>
              <w:tabs>
                <w:tab w:val="left" w:pos="4962"/>
              </w:tabs>
              <w:autoSpaceDE w:val="0"/>
              <w:autoSpaceDN w:val="0"/>
              <w:adjustRightInd w:val="0"/>
              <w:spacing w:after="0" w:line="240" w:lineRule="auto"/>
              <w:jc w:val="center"/>
              <w:rPr>
                <w:sz w:val="24"/>
                <w:szCs w:val="24"/>
              </w:rPr>
            </w:pPr>
            <w:r>
              <w:rPr>
                <w:sz w:val="24"/>
                <w:szCs w:val="24"/>
              </w:rPr>
              <w:t>2018 г.</w:t>
            </w:r>
          </w:p>
        </w:tc>
        <w:tc>
          <w:tcPr>
            <w:tcW w:w="1134" w:type="dxa"/>
            <w:tcBorders>
              <w:top w:val="single" w:sz="4" w:space="0" w:color="auto"/>
              <w:left w:val="single" w:sz="4" w:space="0" w:color="auto"/>
              <w:bottom w:val="single" w:sz="4" w:space="0" w:color="auto"/>
              <w:right w:val="single" w:sz="4" w:space="0" w:color="auto"/>
            </w:tcBorders>
          </w:tcPr>
          <w:p w:rsidR="007E27CB" w:rsidRDefault="008F141F">
            <w:pPr>
              <w:tabs>
                <w:tab w:val="left" w:pos="4962"/>
              </w:tabs>
              <w:autoSpaceDE w:val="0"/>
              <w:autoSpaceDN w:val="0"/>
              <w:adjustRightInd w:val="0"/>
              <w:spacing w:after="0" w:line="240" w:lineRule="auto"/>
              <w:jc w:val="center"/>
              <w:rPr>
                <w:sz w:val="24"/>
                <w:szCs w:val="24"/>
              </w:rPr>
            </w:pPr>
            <w:r>
              <w:rPr>
                <w:sz w:val="24"/>
                <w:szCs w:val="24"/>
              </w:rPr>
              <w:t>2019 г.</w:t>
            </w:r>
          </w:p>
        </w:tc>
      </w:tr>
      <w:tr w:rsidR="007E27CB">
        <w:tc>
          <w:tcPr>
            <w:tcW w:w="4678" w:type="dxa"/>
            <w:tcBorders>
              <w:top w:val="single" w:sz="4" w:space="0" w:color="auto"/>
              <w:left w:val="single" w:sz="4" w:space="0" w:color="auto"/>
              <w:bottom w:val="single" w:sz="4" w:space="0" w:color="auto"/>
              <w:right w:val="single" w:sz="4" w:space="0" w:color="auto"/>
            </w:tcBorders>
          </w:tcPr>
          <w:p w:rsidR="007E27CB" w:rsidRDefault="008F141F">
            <w:pPr>
              <w:tabs>
                <w:tab w:val="left" w:pos="4962"/>
              </w:tabs>
              <w:autoSpaceDE w:val="0"/>
              <w:autoSpaceDN w:val="0"/>
              <w:adjustRightInd w:val="0"/>
              <w:spacing w:after="0" w:line="240" w:lineRule="auto"/>
              <w:rPr>
                <w:sz w:val="24"/>
                <w:szCs w:val="24"/>
              </w:rPr>
            </w:pPr>
            <w:r>
              <w:rPr>
                <w:sz w:val="24"/>
                <w:szCs w:val="24"/>
              </w:rPr>
              <w:t>Доля населения Томской области, удовлетворенного деятельностью органов местного самоуправления муниципальных образований Томской области, %</w:t>
            </w:r>
          </w:p>
        </w:tc>
        <w:tc>
          <w:tcPr>
            <w:tcW w:w="992" w:type="dxa"/>
            <w:tcBorders>
              <w:top w:val="single" w:sz="4" w:space="0" w:color="auto"/>
              <w:left w:val="single" w:sz="4" w:space="0" w:color="auto"/>
              <w:bottom w:val="single" w:sz="4" w:space="0" w:color="auto"/>
              <w:right w:val="single" w:sz="4" w:space="0" w:color="auto"/>
            </w:tcBorders>
            <w:vAlign w:val="center"/>
          </w:tcPr>
          <w:p w:rsidR="007E27CB" w:rsidRDefault="008F141F">
            <w:pPr>
              <w:tabs>
                <w:tab w:val="left" w:pos="4962"/>
              </w:tabs>
              <w:autoSpaceDE w:val="0"/>
              <w:autoSpaceDN w:val="0"/>
              <w:adjustRightInd w:val="0"/>
              <w:spacing w:after="0" w:line="240" w:lineRule="auto"/>
              <w:jc w:val="center"/>
              <w:rPr>
                <w:sz w:val="24"/>
                <w:szCs w:val="24"/>
              </w:rPr>
            </w:pPr>
            <w:r>
              <w:rPr>
                <w:sz w:val="24"/>
                <w:szCs w:val="24"/>
              </w:rPr>
              <w:t>33,5</w:t>
            </w:r>
          </w:p>
        </w:tc>
        <w:tc>
          <w:tcPr>
            <w:tcW w:w="993" w:type="dxa"/>
            <w:tcBorders>
              <w:top w:val="single" w:sz="4" w:space="0" w:color="auto"/>
              <w:left w:val="single" w:sz="4" w:space="0" w:color="auto"/>
              <w:bottom w:val="single" w:sz="4" w:space="0" w:color="auto"/>
              <w:right w:val="single" w:sz="4" w:space="0" w:color="auto"/>
            </w:tcBorders>
            <w:vAlign w:val="center"/>
          </w:tcPr>
          <w:p w:rsidR="007E27CB" w:rsidRDefault="008F141F">
            <w:pPr>
              <w:tabs>
                <w:tab w:val="left" w:pos="4962"/>
              </w:tabs>
              <w:autoSpaceDE w:val="0"/>
              <w:autoSpaceDN w:val="0"/>
              <w:adjustRightInd w:val="0"/>
              <w:spacing w:after="0" w:line="240" w:lineRule="auto"/>
              <w:jc w:val="center"/>
              <w:rPr>
                <w:sz w:val="24"/>
                <w:szCs w:val="24"/>
              </w:rPr>
            </w:pPr>
            <w:r>
              <w:rPr>
                <w:sz w:val="24"/>
                <w:szCs w:val="24"/>
              </w:rPr>
              <w:t>39,4</w:t>
            </w:r>
          </w:p>
        </w:tc>
        <w:tc>
          <w:tcPr>
            <w:tcW w:w="992" w:type="dxa"/>
            <w:tcBorders>
              <w:top w:val="single" w:sz="4" w:space="0" w:color="auto"/>
              <w:left w:val="single" w:sz="4" w:space="0" w:color="auto"/>
              <w:bottom w:val="single" w:sz="4" w:space="0" w:color="auto"/>
              <w:right w:val="single" w:sz="4" w:space="0" w:color="auto"/>
            </w:tcBorders>
            <w:vAlign w:val="center"/>
          </w:tcPr>
          <w:p w:rsidR="007E27CB" w:rsidRDefault="008F141F">
            <w:pPr>
              <w:tabs>
                <w:tab w:val="left" w:pos="4962"/>
              </w:tabs>
              <w:autoSpaceDE w:val="0"/>
              <w:autoSpaceDN w:val="0"/>
              <w:adjustRightInd w:val="0"/>
              <w:spacing w:after="0" w:line="240" w:lineRule="auto"/>
              <w:jc w:val="center"/>
              <w:rPr>
                <w:sz w:val="24"/>
                <w:szCs w:val="24"/>
              </w:rPr>
            </w:pPr>
            <w:r>
              <w:rPr>
                <w:sz w:val="24"/>
                <w:szCs w:val="24"/>
              </w:rPr>
              <w:t>43,91</w:t>
            </w:r>
          </w:p>
        </w:tc>
        <w:tc>
          <w:tcPr>
            <w:tcW w:w="992" w:type="dxa"/>
            <w:tcBorders>
              <w:top w:val="single" w:sz="4" w:space="0" w:color="auto"/>
              <w:left w:val="single" w:sz="4" w:space="0" w:color="auto"/>
              <w:bottom w:val="single" w:sz="4" w:space="0" w:color="auto"/>
              <w:right w:val="single" w:sz="4" w:space="0" w:color="auto"/>
            </w:tcBorders>
            <w:vAlign w:val="center"/>
          </w:tcPr>
          <w:p w:rsidR="007E27CB" w:rsidRDefault="008F141F">
            <w:pPr>
              <w:tabs>
                <w:tab w:val="left" w:pos="4962"/>
              </w:tabs>
              <w:autoSpaceDE w:val="0"/>
              <w:autoSpaceDN w:val="0"/>
              <w:adjustRightInd w:val="0"/>
              <w:spacing w:after="0" w:line="240" w:lineRule="auto"/>
              <w:jc w:val="center"/>
              <w:rPr>
                <w:sz w:val="24"/>
                <w:szCs w:val="24"/>
              </w:rPr>
            </w:pPr>
            <w:r>
              <w:rPr>
                <w:sz w:val="24"/>
                <w:szCs w:val="24"/>
              </w:rPr>
              <w:t>42,12</w:t>
            </w:r>
          </w:p>
        </w:tc>
        <w:tc>
          <w:tcPr>
            <w:tcW w:w="1134" w:type="dxa"/>
            <w:tcBorders>
              <w:top w:val="single" w:sz="4" w:space="0" w:color="auto"/>
              <w:left w:val="single" w:sz="4" w:space="0" w:color="auto"/>
              <w:bottom w:val="single" w:sz="4" w:space="0" w:color="auto"/>
              <w:right w:val="single" w:sz="4" w:space="0" w:color="auto"/>
            </w:tcBorders>
            <w:vAlign w:val="center"/>
          </w:tcPr>
          <w:p w:rsidR="007E27CB" w:rsidRDefault="008F141F">
            <w:pPr>
              <w:tabs>
                <w:tab w:val="left" w:pos="4962"/>
              </w:tabs>
              <w:autoSpaceDE w:val="0"/>
              <w:autoSpaceDN w:val="0"/>
              <w:adjustRightInd w:val="0"/>
              <w:spacing w:after="0" w:line="240" w:lineRule="auto"/>
              <w:jc w:val="center"/>
              <w:rPr>
                <w:sz w:val="24"/>
                <w:szCs w:val="24"/>
              </w:rPr>
            </w:pPr>
            <w:r>
              <w:rPr>
                <w:sz w:val="24"/>
                <w:szCs w:val="24"/>
              </w:rPr>
              <w:t>43,28</w:t>
            </w:r>
          </w:p>
        </w:tc>
      </w:tr>
    </w:tbl>
    <w:p w:rsidR="007E27CB" w:rsidRDefault="007E27CB">
      <w:pPr>
        <w:shd w:val="clear" w:color="auto" w:fill="F2F2F2" w:themeFill="background1" w:themeFillShade="F2"/>
        <w:tabs>
          <w:tab w:val="left" w:pos="4962"/>
        </w:tabs>
        <w:spacing w:after="0" w:line="240" w:lineRule="auto"/>
        <w:rPr>
          <w:sz w:val="24"/>
          <w:szCs w:val="24"/>
        </w:rPr>
      </w:pPr>
    </w:p>
    <w:p w:rsidR="007E27CB" w:rsidRDefault="008F141F">
      <w:pPr>
        <w:shd w:val="clear" w:color="auto" w:fill="F2F2F2" w:themeFill="background1" w:themeFillShade="F2"/>
        <w:tabs>
          <w:tab w:val="left" w:pos="4962"/>
        </w:tabs>
        <w:spacing w:after="0" w:line="240" w:lineRule="auto"/>
        <w:rPr>
          <w:b/>
          <w:sz w:val="24"/>
          <w:szCs w:val="24"/>
        </w:rPr>
      </w:pPr>
      <w:r>
        <w:rPr>
          <w:b/>
          <w:sz w:val="24"/>
          <w:szCs w:val="24"/>
        </w:rPr>
        <w:t>Перспективные задачи</w:t>
      </w:r>
    </w:p>
    <w:p w:rsidR="007E27CB" w:rsidRDefault="007E27CB">
      <w:pPr>
        <w:pStyle w:val="a6"/>
        <w:tabs>
          <w:tab w:val="left" w:pos="284"/>
          <w:tab w:val="left" w:pos="4962"/>
        </w:tabs>
        <w:spacing w:after="0" w:line="240" w:lineRule="auto"/>
        <w:ind w:left="0"/>
        <w:jc w:val="both"/>
        <w:rPr>
          <w:rFonts w:ascii="Times New Roman" w:hAnsi="Times New Roman"/>
          <w:sz w:val="24"/>
          <w:szCs w:val="24"/>
        </w:rPr>
      </w:pPr>
    </w:p>
    <w:p w:rsidR="007E27CB" w:rsidRDefault="008F141F">
      <w:pPr>
        <w:pStyle w:val="a6"/>
        <w:numPr>
          <w:ilvl w:val="0"/>
          <w:numId w:val="2"/>
        </w:numPr>
        <w:tabs>
          <w:tab w:val="left" w:pos="284"/>
          <w:tab w:val="left" w:pos="4962"/>
        </w:tabs>
        <w:spacing w:after="0" w:line="240" w:lineRule="auto"/>
        <w:ind w:left="0" w:firstLine="0"/>
        <w:jc w:val="both"/>
        <w:rPr>
          <w:rFonts w:ascii="Times New Roman" w:hAnsi="Times New Roman"/>
          <w:sz w:val="24"/>
          <w:szCs w:val="24"/>
        </w:rPr>
      </w:pPr>
      <w:r>
        <w:rPr>
          <w:rFonts w:ascii="Times New Roman" w:hAnsi="Times New Roman"/>
          <w:sz w:val="24"/>
          <w:szCs w:val="24"/>
        </w:rPr>
        <w:t>Организация работы с руководителями органов местного самоуправления муниципальных образований Томской области по вопросу проведения активной информационной кампании о проводимых опросах населения (в том числе с применением IT-технологий) на официальных сайтах, в печатных средствах массовой информации городских округов и муниципальных районов в целях получения достоверных и объективных результатов мониторинга эффективности деятельности органов местного самоуправления муниципальных образований Томской области посредством привлечения большего числа жителей муниципальных образований – участников социологических опросов.</w:t>
      </w:r>
    </w:p>
    <w:p w:rsidR="007E27CB" w:rsidRDefault="008F141F">
      <w:pPr>
        <w:pStyle w:val="a6"/>
        <w:numPr>
          <w:ilvl w:val="0"/>
          <w:numId w:val="2"/>
        </w:numPr>
        <w:tabs>
          <w:tab w:val="left" w:pos="284"/>
          <w:tab w:val="left" w:pos="4962"/>
        </w:tabs>
        <w:spacing w:after="0" w:line="240" w:lineRule="auto"/>
        <w:ind w:left="0" w:firstLine="0"/>
        <w:jc w:val="both"/>
        <w:rPr>
          <w:rFonts w:ascii="Times New Roman" w:hAnsi="Times New Roman"/>
          <w:sz w:val="24"/>
          <w:szCs w:val="24"/>
        </w:rPr>
      </w:pPr>
      <w:r>
        <w:rPr>
          <w:rFonts w:ascii="Times New Roman" w:hAnsi="Times New Roman"/>
          <w:sz w:val="24"/>
          <w:szCs w:val="24"/>
        </w:rPr>
        <w:t>Оказание информационной и инструментальной поддержки деятельности органов местного самоуправления муниципальных образований Томской области в вопросах мониторинга эффективности и результативности деятельности.</w:t>
      </w:r>
    </w:p>
    <w:p w:rsidR="007E27CB" w:rsidRDefault="008F141F">
      <w:pPr>
        <w:pStyle w:val="a6"/>
        <w:numPr>
          <w:ilvl w:val="0"/>
          <w:numId w:val="2"/>
        </w:numPr>
        <w:tabs>
          <w:tab w:val="left" w:pos="284"/>
          <w:tab w:val="left" w:pos="4962"/>
        </w:tabs>
        <w:spacing w:after="0" w:line="240" w:lineRule="auto"/>
        <w:ind w:left="0" w:firstLine="0"/>
        <w:jc w:val="both"/>
        <w:rPr>
          <w:rFonts w:ascii="Times New Roman" w:hAnsi="Times New Roman"/>
          <w:sz w:val="24"/>
          <w:szCs w:val="24"/>
        </w:rPr>
      </w:pPr>
      <w:r>
        <w:rPr>
          <w:rFonts w:ascii="Times New Roman" w:eastAsiaTheme="minorHAnsi" w:hAnsi="Times New Roman"/>
          <w:sz w:val="24"/>
          <w:szCs w:val="24"/>
        </w:rPr>
        <w:t>Проведение ежегодных мероприятий, посвященных Дню местного самоуправления с привлечением представителей всех муниципальных образований Томской области, в том числе лиц, находящихся на заслуженном отдыхе.</w:t>
      </w:r>
    </w:p>
    <w:p w:rsidR="007E27CB" w:rsidRDefault="008F141F">
      <w:pPr>
        <w:tabs>
          <w:tab w:val="left" w:pos="4962"/>
        </w:tabs>
        <w:spacing w:after="0" w:line="240" w:lineRule="auto"/>
        <w:rPr>
          <w:b/>
          <w:color w:val="FF0000"/>
          <w:sz w:val="24"/>
          <w:szCs w:val="24"/>
        </w:rPr>
      </w:pPr>
      <w:r>
        <w:rPr>
          <w:b/>
          <w:color w:val="FF0000"/>
          <w:sz w:val="24"/>
          <w:szCs w:val="24"/>
        </w:rPr>
        <w:br w:type="page"/>
      </w:r>
    </w:p>
    <w:p w:rsidR="007E27CB" w:rsidRDefault="008F141F">
      <w:pPr>
        <w:tabs>
          <w:tab w:val="left" w:pos="993"/>
          <w:tab w:val="left" w:pos="4962"/>
        </w:tabs>
        <w:spacing w:after="0" w:line="240" w:lineRule="auto"/>
        <w:ind w:hanging="426"/>
        <w:jc w:val="both"/>
        <w:rPr>
          <w:rFonts w:eastAsia="Calibri"/>
          <w:b/>
          <w:sz w:val="24"/>
          <w:szCs w:val="24"/>
        </w:rPr>
      </w:pPr>
      <w:r>
        <w:rPr>
          <w:rFonts w:eastAsia="Calibri"/>
          <w:b/>
          <w:sz w:val="24"/>
          <w:szCs w:val="24"/>
        </w:rPr>
        <w:t>ПРИЛОЖЕНИЯ</w:t>
      </w:r>
    </w:p>
    <w:p w:rsidR="007E27CB" w:rsidRDefault="007E27CB">
      <w:pPr>
        <w:tabs>
          <w:tab w:val="left" w:pos="993"/>
          <w:tab w:val="left" w:pos="4962"/>
        </w:tabs>
        <w:spacing w:after="0" w:line="240" w:lineRule="auto"/>
        <w:ind w:firstLine="709"/>
        <w:jc w:val="both"/>
        <w:rPr>
          <w:rFonts w:eastAsia="Calibri"/>
          <w:b/>
          <w:sz w:val="24"/>
          <w:szCs w:val="24"/>
        </w:rPr>
      </w:pPr>
    </w:p>
    <w:p w:rsidR="007E27CB" w:rsidRDefault="008F141F">
      <w:pPr>
        <w:tabs>
          <w:tab w:val="left" w:pos="993"/>
          <w:tab w:val="left" w:pos="4962"/>
        </w:tabs>
        <w:spacing w:after="0" w:line="240" w:lineRule="auto"/>
        <w:jc w:val="center"/>
        <w:rPr>
          <w:rFonts w:eastAsia="Calibri"/>
          <w:b/>
          <w:sz w:val="24"/>
          <w:szCs w:val="24"/>
        </w:rPr>
      </w:pPr>
      <w:r>
        <w:rPr>
          <w:rFonts w:eastAsia="Calibri"/>
          <w:b/>
          <w:sz w:val="24"/>
          <w:szCs w:val="24"/>
        </w:rPr>
        <w:t>Приложение № 1. Показатели социально-экономического развития</w:t>
      </w:r>
    </w:p>
    <w:p w:rsidR="007E27CB" w:rsidRDefault="008F141F">
      <w:pPr>
        <w:tabs>
          <w:tab w:val="left" w:pos="993"/>
          <w:tab w:val="left" w:pos="4962"/>
        </w:tabs>
        <w:spacing w:after="0" w:line="240" w:lineRule="auto"/>
        <w:jc w:val="center"/>
        <w:rPr>
          <w:rFonts w:eastAsia="Calibri"/>
          <w:b/>
          <w:sz w:val="24"/>
          <w:szCs w:val="24"/>
        </w:rPr>
      </w:pPr>
      <w:r>
        <w:rPr>
          <w:rFonts w:eastAsia="Calibri"/>
          <w:b/>
          <w:sz w:val="24"/>
          <w:szCs w:val="24"/>
        </w:rPr>
        <w:t>Томской области в 2017 – 2019 годах (в сравнении с показателями регионов</w:t>
      </w:r>
    </w:p>
    <w:p w:rsidR="007E27CB" w:rsidRDefault="008F141F">
      <w:pPr>
        <w:tabs>
          <w:tab w:val="left" w:pos="993"/>
          <w:tab w:val="left" w:pos="4962"/>
        </w:tabs>
        <w:spacing w:after="0" w:line="240" w:lineRule="auto"/>
        <w:jc w:val="center"/>
        <w:rPr>
          <w:rFonts w:eastAsia="Calibri"/>
          <w:b/>
          <w:sz w:val="24"/>
          <w:szCs w:val="24"/>
        </w:rPr>
      </w:pPr>
      <w:r>
        <w:rPr>
          <w:rFonts w:eastAsia="Calibri"/>
          <w:b/>
          <w:sz w:val="24"/>
          <w:szCs w:val="24"/>
        </w:rPr>
        <w:t>Сибирского федерального округа и России)</w:t>
      </w:r>
    </w:p>
    <w:tbl>
      <w:tblPr>
        <w:tblW w:w="10490"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3"/>
        <w:gridCol w:w="1559"/>
        <w:gridCol w:w="1134"/>
        <w:gridCol w:w="35"/>
        <w:gridCol w:w="1170"/>
        <w:gridCol w:w="1169"/>
        <w:gridCol w:w="1170"/>
      </w:tblGrid>
      <w:tr w:rsidR="007E27CB">
        <w:trPr>
          <w:trHeight w:val="20"/>
          <w:tblHeader/>
        </w:trPr>
        <w:tc>
          <w:tcPr>
            <w:tcW w:w="4253" w:type="dxa"/>
            <w:shd w:val="clear" w:color="auto" w:fill="F2F2F2" w:themeFill="background1" w:themeFillShade="F2"/>
            <w:vAlign w:val="center"/>
          </w:tcPr>
          <w:p w:rsidR="007E27CB" w:rsidRDefault="008F141F">
            <w:pPr>
              <w:spacing w:after="0" w:line="240" w:lineRule="auto"/>
              <w:jc w:val="center"/>
              <w:rPr>
                <w:sz w:val="24"/>
                <w:szCs w:val="24"/>
              </w:rPr>
            </w:pPr>
            <w:r>
              <w:rPr>
                <w:sz w:val="24"/>
                <w:szCs w:val="24"/>
              </w:rPr>
              <w:t>Наименование</w:t>
            </w:r>
          </w:p>
        </w:tc>
        <w:tc>
          <w:tcPr>
            <w:tcW w:w="1559" w:type="dxa"/>
            <w:shd w:val="clear" w:color="auto" w:fill="F2F2F2" w:themeFill="background1" w:themeFillShade="F2"/>
            <w:vAlign w:val="center"/>
          </w:tcPr>
          <w:p w:rsidR="007E27CB" w:rsidRDefault="008F141F">
            <w:pPr>
              <w:spacing w:after="0" w:line="240" w:lineRule="auto"/>
              <w:jc w:val="center"/>
              <w:rPr>
                <w:sz w:val="24"/>
                <w:szCs w:val="24"/>
              </w:rPr>
            </w:pPr>
            <w:r>
              <w:rPr>
                <w:sz w:val="24"/>
                <w:szCs w:val="24"/>
              </w:rPr>
              <w:t>Единица измерения</w:t>
            </w:r>
          </w:p>
        </w:tc>
        <w:tc>
          <w:tcPr>
            <w:tcW w:w="1169" w:type="dxa"/>
            <w:gridSpan w:val="2"/>
            <w:shd w:val="clear" w:color="auto" w:fill="F2F2F2" w:themeFill="background1" w:themeFillShade="F2"/>
            <w:vAlign w:val="center"/>
          </w:tcPr>
          <w:p w:rsidR="007E27CB" w:rsidRDefault="008F141F">
            <w:pPr>
              <w:spacing w:after="0" w:line="240" w:lineRule="auto"/>
              <w:jc w:val="center"/>
              <w:rPr>
                <w:sz w:val="24"/>
                <w:szCs w:val="24"/>
              </w:rPr>
            </w:pPr>
            <w:r>
              <w:rPr>
                <w:sz w:val="24"/>
                <w:szCs w:val="24"/>
              </w:rPr>
              <w:t>2017 год</w:t>
            </w:r>
          </w:p>
        </w:tc>
        <w:tc>
          <w:tcPr>
            <w:tcW w:w="1170" w:type="dxa"/>
            <w:shd w:val="clear" w:color="auto" w:fill="F2F2F2" w:themeFill="background1" w:themeFillShade="F2"/>
            <w:vAlign w:val="center"/>
          </w:tcPr>
          <w:p w:rsidR="007E27CB" w:rsidRDefault="008F141F">
            <w:pPr>
              <w:spacing w:after="0" w:line="240" w:lineRule="auto"/>
              <w:jc w:val="center"/>
              <w:rPr>
                <w:sz w:val="24"/>
                <w:szCs w:val="24"/>
              </w:rPr>
            </w:pPr>
            <w:r>
              <w:rPr>
                <w:sz w:val="24"/>
                <w:szCs w:val="24"/>
              </w:rPr>
              <w:t xml:space="preserve">2018 </w:t>
            </w:r>
          </w:p>
          <w:p w:rsidR="007E27CB" w:rsidRDefault="008F141F">
            <w:pPr>
              <w:spacing w:after="0" w:line="240" w:lineRule="auto"/>
              <w:jc w:val="center"/>
              <w:rPr>
                <w:sz w:val="24"/>
                <w:szCs w:val="24"/>
              </w:rPr>
            </w:pPr>
            <w:r>
              <w:rPr>
                <w:sz w:val="24"/>
                <w:szCs w:val="24"/>
              </w:rPr>
              <w:t>год</w:t>
            </w:r>
          </w:p>
        </w:tc>
        <w:tc>
          <w:tcPr>
            <w:tcW w:w="1169" w:type="dxa"/>
            <w:shd w:val="clear" w:color="auto" w:fill="F2F2F2" w:themeFill="background1" w:themeFillShade="F2"/>
            <w:vAlign w:val="center"/>
          </w:tcPr>
          <w:p w:rsidR="007E27CB" w:rsidRDefault="008F141F">
            <w:pPr>
              <w:spacing w:after="0" w:line="240" w:lineRule="auto"/>
              <w:jc w:val="center"/>
              <w:rPr>
                <w:sz w:val="24"/>
                <w:szCs w:val="24"/>
              </w:rPr>
            </w:pPr>
            <w:r>
              <w:rPr>
                <w:sz w:val="24"/>
                <w:szCs w:val="24"/>
              </w:rPr>
              <w:t>2019 год</w:t>
            </w:r>
          </w:p>
        </w:tc>
        <w:tc>
          <w:tcPr>
            <w:tcW w:w="1170" w:type="dxa"/>
            <w:shd w:val="clear" w:color="auto" w:fill="F2F2F2" w:themeFill="background1" w:themeFillShade="F2"/>
            <w:vAlign w:val="center"/>
          </w:tcPr>
          <w:p w:rsidR="007E27CB" w:rsidRDefault="008F141F">
            <w:pPr>
              <w:spacing w:after="0" w:line="240" w:lineRule="auto"/>
              <w:jc w:val="center"/>
              <w:rPr>
                <w:sz w:val="24"/>
                <w:szCs w:val="24"/>
              </w:rPr>
            </w:pPr>
            <w:r>
              <w:rPr>
                <w:sz w:val="24"/>
                <w:szCs w:val="24"/>
              </w:rPr>
              <w:t xml:space="preserve">2019 год </w:t>
            </w:r>
          </w:p>
          <w:p w:rsidR="007E27CB" w:rsidRDefault="008F141F">
            <w:pPr>
              <w:spacing w:after="0" w:line="240" w:lineRule="auto"/>
              <w:jc w:val="center"/>
              <w:rPr>
                <w:sz w:val="24"/>
                <w:szCs w:val="24"/>
              </w:rPr>
            </w:pPr>
            <w:r>
              <w:rPr>
                <w:sz w:val="24"/>
                <w:szCs w:val="24"/>
              </w:rPr>
              <w:t xml:space="preserve">в % к </w:t>
            </w:r>
          </w:p>
          <w:p w:rsidR="007E27CB" w:rsidRDefault="008F141F">
            <w:pPr>
              <w:spacing w:after="0" w:line="240" w:lineRule="auto"/>
              <w:jc w:val="center"/>
              <w:rPr>
                <w:sz w:val="24"/>
                <w:szCs w:val="24"/>
              </w:rPr>
            </w:pPr>
            <w:r>
              <w:rPr>
                <w:sz w:val="24"/>
                <w:szCs w:val="24"/>
              </w:rPr>
              <w:t>2013 году</w:t>
            </w:r>
          </w:p>
        </w:tc>
      </w:tr>
      <w:tr w:rsidR="007E27CB">
        <w:trPr>
          <w:trHeight w:val="20"/>
        </w:trPr>
        <w:tc>
          <w:tcPr>
            <w:tcW w:w="4253" w:type="dxa"/>
            <w:vMerge w:val="restart"/>
            <w:shd w:val="clear" w:color="auto" w:fill="auto"/>
            <w:vAlign w:val="center"/>
          </w:tcPr>
          <w:p w:rsidR="007E27CB" w:rsidRDefault="008F141F">
            <w:pPr>
              <w:spacing w:after="0" w:line="240" w:lineRule="auto"/>
              <w:jc w:val="center"/>
              <w:rPr>
                <w:b/>
                <w:sz w:val="24"/>
                <w:szCs w:val="24"/>
              </w:rPr>
            </w:pPr>
            <w:r>
              <w:rPr>
                <w:b/>
                <w:sz w:val="24"/>
                <w:szCs w:val="24"/>
              </w:rPr>
              <w:t>ВРП – Томская область</w:t>
            </w:r>
          </w:p>
        </w:tc>
        <w:tc>
          <w:tcPr>
            <w:tcW w:w="1559" w:type="dxa"/>
            <w:shd w:val="clear" w:color="auto" w:fill="auto"/>
            <w:vAlign w:val="center"/>
          </w:tcPr>
          <w:p w:rsidR="007E27CB" w:rsidRDefault="008F141F">
            <w:pPr>
              <w:spacing w:after="0" w:line="240" w:lineRule="auto"/>
              <w:jc w:val="center"/>
              <w:rPr>
                <w:sz w:val="24"/>
                <w:szCs w:val="24"/>
              </w:rPr>
            </w:pPr>
            <w:r>
              <w:rPr>
                <w:sz w:val="24"/>
                <w:szCs w:val="24"/>
              </w:rPr>
              <w:t>млрд. рублей</w:t>
            </w:r>
          </w:p>
        </w:tc>
        <w:tc>
          <w:tcPr>
            <w:tcW w:w="1169" w:type="dxa"/>
            <w:gridSpan w:val="2"/>
            <w:vAlign w:val="center"/>
          </w:tcPr>
          <w:p w:rsidR="007E27CB" w:rsidRDefault="008F141F">
            <w:pPr>
              <w:spacing w:after="0" w:line="240" w:lineRule="auto"/>
              <w:jc w:val="center"/>
              <w:rPr>
                <w:sz w:val="24"/>
                <w:szCs w:val="24"/>
                <w:vertAlign w:val="superscript"/>
              </w:rPr>
            </w:pPr>
            <w:r>
              <w:rPr>
                <w:sz w:val="24"/>
                <w:szCs w:val="24"/>
              </w:rPr>
              <w:t>511,0</w:t>
            </w:r>
          </w:p>
        </w:tc>
        <w:tc>
          <w:tcPr>
            <w:tcW w:w="1170" w:type="dxa"/>
            <w:vAlign w:val="center"/>
          </w:tcPr>
          <w:p w:rsidR="007E27CB" w:rsidRDefault="008F141F">
            <w:pPr>
              <w:spacing w:after="0" w:line="240" w:lineRule="auto"/>
              <w:jc w:val="center"/>
              <w:rPr>
                <w:sz w:val="24"/>
                <w:szCs w:val="24"/>
                <w:vertAlign w:val="superscript"/>
              </w:rPr>
            </w:pPr>
            <w:r>
              <w:rPr>
                <w:sz w:val="24"/>
                <w:szCs w:val="24"/>
              </w:rPr>
              <w:t>579,3</w:t>
            </w:r>
          </w:p>
        </w:tc>
        <w:tc>
          <w:tcPr>
            <w:tcW w:w="1169" w:type="dxa"/>
            <w:vAlign w:val="center"/>
          </w:tcPr>
          <w:p w:rsidR="007E27CB" w:rsidRDefault="008F141F">
            <w:pPr>
              <w:spacing w:after="0" w:line="240" w:lineRule="auto"/>
              <w:jc w:val="center"/>
              <w:rPr>
                <w:sz w:val="24"/>
                <w:szCs w:val="24"/>
                <w:vertAlign w:val="superscript"/>
              </w:rPr>
            </w:pPr>
            <w:r>
              <w:rPr>
                <w:sz w:val="24"/>
                <w:szCs w:val="24"/>
              </w:rPr>
              <w:t>607,0</w:t>
            </w:r>
            <w:r>
              <w:rPr>
                <w:sz w:val="24"/>
                <w:szCs w:val="24"/>
                <w:vertAlign w:val="superscript"/>
              </w:rPr>
              <w:t>1</w:t>
            </w:r>
          </w:p>
        </w:tc>
        <w:tc>
          <w:tcPr>
            <w:tcW w:w="1170" w:type="dxa"/>
            <w:vAlign w:val="center"/>
          </w:tcPr>
          <w:p w:rsidR="007E27CB" w:rsidRDefault="008F141F">
            <w:pPr>
              <w:spacing w:after="0" w:line="240" w:lineRule="auto"/>
              <w:jc w:val="center"/>
              <w:rPr>
                <w:sz w:val="24"/>
                <w:szCs w:val="24"/>
                <w:vertAlign w:val="superscript"/>
              </w:rPr>
            </w:pPr>
            <w:r>
              <w:rPr>
                <w:sz w:val="24"/>
                <w:szCs w:val="24"/>
              </w:rPr>
              <w:t>150,8</w:t>
            </w:r>
            <w:r>
              <w:rPr>
                <w:sz w:val="24"/>
                <w:szCs w:val="24"/>
                <w:vertAlign w:val="superscript"/>
              </w:rPr>
              <w:t>1</w:t>
            </w:r>
          </w:p>
        </w:tc>
      </w:tr>
      <w:tr w:rsidR="007E27CB">
        <w:trPr>
          <w:trHeight w:val="20"/>
        </w:trPr>
        <w:tc>
          <w:tcPr>
            <w:tcW w:w="4253" w:type="dxa"/>
            <w:vMerge/>
            <w:shd w:val="clear" w:color="auto" w:fill="auto"/>
            <w:vAlign w:val="center"/>
          </w:tcPr>
          <w:p w:rsidR="007E27CB" w:rsidRDefault="007E27CB">
            <w:pPr>
              <w:spacing w:after="0" w:line="240" w:lineRule="auto"/>
              <w:jc w:val="center"/>
              <w:rPr>
                <w:sz w:val="24"/>
                <w:szCs w:val="24"/>
              </w:rPr>
            </w:pPr>
          </w:p>
        </w:tc>
        <w:tc>
          <w:tcPr>
            <w:tcW w:w="1559" w:type="dxa"/>
            <w:vMerge w:val="restart"/>
            <w:shd w:val="clear" w:color="auto" w:fill="auto"/>
            <w:vAlign w:val="center"/>
          </w:tcPr>
          <w:p w:rsidR="007E27CB" w:rsidRDefault="008F141F">
            <w:pPr>
              <w:spacing w:after="0" w:line="240" w:lineRule="auto"/>
              <w:jc w:val="center"/>
              <w:rPr>
                <w:sz w:val="24"/>
                <w:szCs w:val="24"/>
              </w:rPr>
            </w:pPr>
            <w:r>
              <w:rPr>
                <w:sz w:val="24"/>
                <w:szCs w:val="24"/>
              </w:rPr>
              <w:t>в % к пред. году</w:t>
            </w:r>
          </w:p>
        </w:tc>
        <w:tc>
          <w:tcPr>
            <w:tcW w:w="1169" w:type="dxa"/>
            <w:gridSpan w:val="2"/>
            <w:vAlign w:val="center"/>
          </w:tcPr>
          <w:p w:rsidR="007E27CB" w:rsidRDefault="008F141F">
            <w:pPr>
              <w:spacing w:after="0" w:line="240" w:lineRule="auto"/>
              <w:jc w:val="center"/>
              <w:rPr>
                <w:sz w:val="24"/>
                <w:szCs w:val="24"/>
                <w:vertAlign w:val="superscript"/>
              </w:rPr>
            </w:pPr>
            <w:r>
              <w:rPr>
                <w:sz w:val="24"/>
                <w:szCs w:val="24"/>
              </w:rPr>
              <w:t>99,0</w:t>
            </w:r>
          </w:p>
        </w:tc>
        <w:tc>
          <w:tcPr>
            <w:tcW w:w="1170" w:type="dxa"/>
            <w:vAlign w:val="center"/>
          </w:tcPr>
          <w:p w:rsidR="007E27CB" w:rsidRDefault="008F141F">
            <w:pPr>
              <w:spacing w:after="0" w:line="240" w:lineRule="auto"/>
              <w:jc w:val="center"/>
              <w:rPr>
                <w:sz w:val="24"/>
                <w:szCs w:val="24"/>
                <w:vertAlign w:val="superscript"/>
              </w:rPr>
            </w:pPr>
            <w:r>
              <w:rPr>
                <w:sz w:val="24"/>
                <w:szCs w:val="24"/>
              </w:rPr>
              <w:t>100,7</w:t>
            </w:r>
          </w:p>
        </w:tc>
        <w:tc>
          <w:tcPr>
            <w:tcW w:w="1169" w:type="dxa"/>
            <w:vAlign w:val="center"/>
          </w:tcPr>
          <w:p w:rsidR="007E27CB" w:rsidRDefault="008F141F">
            <w:pPr>
              <w:spacing w:after="0" w:line="240" w:lineRule="auto"/>
              <w:jc w:val="center"/>
              <w:rPr>
                <w:sz w:val="24"/>
                <w:szCs w:val="24"/>
                <w:vertAlign w:val="superscript"/>
              </w:rPr>
            </w:pPr>
            <w:r>
              <w:rPr>
                <w:sz w:val="24"/>
                <w:szCs w:val="24"/>
              </w:rPr>
              <w:t>101,4</w:t>
            </w:r>
            <w:r>
              <w:rPr>
                <w:sz w:val="24"/>
                <w:szCs w:val="24"/>
                <w:vertAlign w:val="superscript"/>
              </w:rPr>
              <w:t>1</w:t>
            </w:r>
          </w:p>
        </w:tc>
        <w:tc>
          <w:tcPr>
            <w:tcW w:w="1170" w:type="dxa"/>
            <w:vAlign w:val="center"/>
          </w:tcPr>
          <w:p w:rsidR="007E27CB" w:rsidRDefault="008F141F">
            <w:pPr>
              <w:spacing w:after="0" w:line="240" w:lineRule="auto"/>
              <w:jc w:val="center"/>
              <w:rPr>
                <w:color w:val="C00000"/>
                <w:sz w:val="24"/>
                <w:szCs w:val="24"/>
                <w:vertAlign w:val="superscript"/>
              </w:rPr>
            </w:pPr>
            <w:r>
              <w:rPr>
                <w:sz w:val="24"/>
                <w:szCs w:val="24"/>
              </w:rPr>
              <w:t>102,6</w:t>
            </w:r>
            <w:r>
              <w:rPr>
                <w:sz w:val="24"/>
                <w:szCs w:val="24"/>
                <w:vertAlign w:val="superscript"/>
              </w:rPr>
              <w:t>1</w:t>
            </w:r>
          </w:p>
        </w:tc>
      </w:tr>
      <w:tr w:rsidR="007E27CB">
        <w:trPr>
          <w:trHeight w:val="20"/>
        </w:trPr>
        <w:tc>
          <w:tcPr>
            <w:tcW w:w="4253" w:type="dxa"/>
            <w:tcBorders>
              <w:bottom w:val="single" w:sz="4" w:space="0" w:color="auto"/>
            </w:tcBorders>
            <w:shd w:val="clear" w:color="auto" w:fill="auto"/>
            <w:vAlign w:val="center"/>
          </w:tcPr>
          <w:p w:rsidR="007E27CB" w:rsidRDefault="008F141F">
            <w:pPr>
              <w:spacing w:after="0" w:line="240" w:lineRule="auto"/>
              <w:jc w:val="center"/>
              <w:rPr>
                <w:sz w:val="24"/>
                <w:szCs w:val="24"/>
              </w:rPr>
            </w:pPr>
            <w:r>
              <w:rPr>
                <w:b/>
                <w:sz w:val="24"/>
                <w:szCs w:val="24"/>
              </w:rPr>
              <w:t>ВВП – Россия</w:t>
            </w:r>
          </w:p>
        </w:tc>
        <w:tc>
          <w:tcPr>
            <w:tcW w:w="1559" w:type="dxa"/>
            <w:vMerge/>
            <w:tcBorders>
              <w:bottom w:val="single" w:sz="4" w:space="0" w:color="auto"/>
            </w:tcBorders>
            <w:shd w:val="clear" w:color="auto" w:fill="auto"/>
            <w:vAlign w:val="center"/>
          </w:tcPr>
          <w:p w:rsidR="007E27CB" w:rsidRDefault="007E27CB">
            <w:pPr>
              <w:spacing w:after="0" w:line="240" w:lineRule="auto"/>
              <w:jc w:val="center"/>
              <w:rPr>
                <w:sz w:val="24"/>
                <w:szCs w:val="24"/>
                <w:vertAlign w:val="superscript"/>
              </w:rPr>
            </w:pPr>
          </w:p>
        </w:tc>
        <w:tc>
          <w:tcPr>
            <w:tcW w:w="1169" w:type="dxa"/>
            <w:gridSpan w:val="2"/>
            <w:tcBorders>
              <w:bottom w:val="single" w:sz="4" w:space="0" w:color="auto"/>
            </w:tcBorders>
            <w:vAlign w:val="center"/>
          </w:tcPr>
          <w:p w:rsidR="007E27CB" w:rsidRDefault="008F141F">
            <w:pPr>
              <w:spacing w:after="0" w:line="240" w:lineRule="auto"/>
              <w:jc w:val="center"/>
              <w:rPr>
                <w:sz w:val="24"/>
                <w:szCs w:val="24"/>
              </w:rPr>
            </w:pPr>
            <w:r>
              <w:rPr>
                <w:sz w:val="24"/>
                <w:szCs w:val="24"/>
              </w:rPr>
              <w:t>101,8</w:t>
            </w:r>
          </w:p>
        </w:tc>
        <w:tc>
          <w:tcPr>
            <w:tcW w:w="1170" w:type="dxa"/>
            <w:tcBorders>
              <w:bottom w:val="single" w:sz="4" w:space="0" w:color="auto"/>
            </w:tcBorders>
            <w:vAlign w:val="center"/>
          </w:tcPr>
          <w:p w:rsidR="007E27CB" w:rsidRDefault="008F141F">
            <w:pPr>
              <w:spacing w:after="0" w:line="240" w:lineRule="auto"/>
              <w:jc w:val="center"/>
              <w:rPr>
                <w:sz w:val="24"/>
                <w:szCs w:val="24"/>
              </w:rPr>
            </w:pPr>
            <w:r>
              <w:rPr>
                <w:sz w:val="24"/>
                <w:szCs w:val="24"/>
              </w:rPr>
              <w:t>102,8</w:t>
            </w:r>
          </w:p>
        </w:tc>
        <w:tc>
          <w:tcPr>
            <w:tcW w:w="1169" w:type="dxa"/>
            <w:tcBorders>
              <w:bottom w:val="single" w:sz="4" w:space="0" w:color="auto"/>
            </w:tcBorders>
            <w:vAlign w:val="center"/>
          </w:tcPr>
          <w:p w:rsidR="007E27CB" w:rsidRDefault="008F141F">
            <w:pPr>
              <w:spacing w:after="0" w:line="240" w:lineRule="auto"/>
              <w:jc w:val="center"/>
              <w:rPr>
                <w:sz w:val="24"/>
                <w:szCs w:val="24"/>
              </w:rPr>
            </w:pPr>
            <w:r>
              <w:rPr>
                <w:sz w:val="24"/>
                <w:szCs w:val="24"/>
              </w:rPr>
              <w:t>101,3</w:t>
            </w:r>
          </w:p>
        </w:tc>
        <w:tc>
          <w:tcPr>
            <w:tcW w:w="1170" w:type="dxa"/>
            <w:tcBorders>
              <w:bottom w:val="single" w:sz="4" w:space="0" w:color="auto"/>
            </w:tcBorders>
            <w:vAlign w:val="center"/>
          </w:tcPr>
          <w:p w:rsidR="007E27CB" w:rsidRDefault="008F141F">
            <w:pPr>
              <w:spacing w:after="0" w:line="240" w:lineRule="auto"/>
              <w:jc w:val="center"/>
              <w:rPr>
                <w:sz w:val="24"/>
                <w:szCs w:val="24"/>
              </w:rPr>
            </w:pPr>
            <w:r>
              <w:rPr>
                <w:sz w:val="24"/>
                <w:szCs w:val="24"/>
              </w:rPr>
              <w:t>104,9</w:t>
            </w:r>
          </w:p>
        </w:tc>
      </w:tr>
      <w:tr w:rsidR="007E27CB">
        <w:trPr>
          <w:trHeight w:val="20"/>
        </w:trPr>
        <w:tc>
          <w:tcPr>
            <w:tcW w:w="10490" w:type="dxa"/>
            <w:gridSpan w:val="7"/>
            <w:shd w:val="clear" w:color="auto" w:fill="F2F2F2" w:themeFill="background1" w:themeFillShade="F2"/>
            <w:vAlign w:val="center"/>
          </w:tcPr>
          <w:p w:rsidR="007E27CB" w:rsidRDefault="008F141F">
            <w:pPr>
              <w:spacing w:after="0" w:line="240" w:lineRule="auto"/>
              <w:jc w:val="center"/>
              <w:rPr>
                <w:b/>
                <w:sz w:val="24"/>
                <w:szCs w:val="24"/>
              </w:rPr>
            </w:pPr>
            <w:r>
              <w:rPr>
                <w:b/>
                <w:sz w:val="24"/>
                <w:szCs w:val="24"/>
              </w:rPr>
              <w:t>Продукция промышленности</w:t>
            </w:r>
          </w:p>
        </w:tc>
      </w:tr>
      <w:tr w:rsidR="007E27CB">
        <w:trPr>
          <w:trHeight w:val="391"/>
        </w:trPr>
        <w:tc>
          <w:tcPr>
            <w:tcW w:w="4253" w:type="dxa"/>
            <w:vMerge w:val="restart"/>
            <w:shd w:val="clear" w:color="auto" w:fill="auto"/>
            <w:vAlign w:val="center"/>
          </w:tcPr>
          <w:p w:rsidR="007E27CB" w:rsidRDefault="008F141F">
            <w:pPr>
              <w:spacing w:after="0" w:line="240" w:lineRule="auto"/>
              <w:jc w:val="center"/>
              <w:rPr>
                <w:i/>
                <w:sz w:val="24"/>
                <w:szCs w:val="24"/>
              </w:rPr>
            </w:pPr>
            <w:r>
              <w:rPr>
                <w:sz w:val="24"/>
                <w:szCs w:val="24"/>
              </w:rPr>
              <w:t>Томская область</w:t>
            </w:r>
          </w:p>
        </w:tc>
        <w:tc>
          <w:tcPr>
            <w:tcW w:w="1559" w:type="dxa"/>
            <w:shd w:val="clear" w:color="auto" w:fill="auto"/>
            <w:vAlign w:val="center"/>
          </w:tcPr>
          <w:p w:rsidR="007E27CB" w:rsidRDefault="008F141F">
            <w:pPr>
              <w:spacing w:after="0" w:line="240" w:lineRule="auto"/>
              <w:jc w:val="center"/>
              <w:rPr>
                <w:i/>
                <w:sz w:val="24"/>
                <w:szCs w:val="24"/>
              </w:rPr>
            </w:pPr>
            <w:r>
              <w:rPr>
                <w:sz w:val="24"/>
                <w:szCs w:val="24"/>
              </w:rPr>
              <w:t>млрд. рублей</w:t>
            </w:r>
          </w:p>
        </w:tc>
        <w:tc>
          <w:tcPr>
            <w:tcW w:w="1169" w:type="dxa"/>
            <w:gridSpan w:val="2"/>
            <w:vAlign w:val="center"/>
          </w:tcPr>
          <w:p w:rsidR="007E27CB" w:rsidRDefault="008F141F">
            <w:pPr>
              <w:spacing w:after="0" w:line="240" w:lineRule="auto"/>
              <w:jc w:val="center"/>
              <w:rPr>
                <w:sz w:val="24"/>
                <w:szCs w:val="24"/>
              </w:rPr>
            </w:pPr>
            <w:r>
              <w:rPr>
                <w:sz w:val="24"/>
                <w:szCs w:val="24"/>
              </w:rPr>
              <w:t>378,6</w:t>
            </w:r>
          </w:p>
        </w:tc>
        <w:tc>
          <w:tcPr>
            <w:tcW w:w="1170" w:type="dxa"/>
            <w:vAlign w:val="center"/>
          </w:tcPr>
          <w:p w:rsidR="007E27CB" w:rsidRDefault="008F141F">
            <w:pPr>
              <w:spacing w:after="0" w:line="240" w:lineRule="auto"/>
              <w:jc w:val="center"/>
              <w:rPr>
                <w:sz w:val="24"/>
                <w:szCs w:val="24"/>
              </w:rPr>
            </w:pPr>
            <w:r>
              <w:rPr>
                <w:sz w:val="24"/>
                <w:szCs w:val="24"/>
              </w:rPr>
              <w:t>448,2</w:t>
            </w:r>
          </w:p>
        </w:tc>
        <w:tc>
          <w:tcPr>
            <w:tcW w:w="1169" w:type="dxa"/>
            <w:vAlign w:val="center"/>
          </w:tcPr>
          <w:p w:rsidR="007E27CB" w:rsidRDefault="008F141F">
            <w:pPr>
              <w:spacing w:after="0" w:line="240" w:lineRule="auto"/>
              <w:jc w:val="center"/>
              <w:rPr>
                <w:sz w:val="24"/>
                <w:szCs w:val="24"/>
              </w:rPr>
            </w:pPr>
            <w:r>
              <w:rPr>
                <w:sz w:val="24"/>
                <w:szCs w:val="24"/>
              </w:rPr>
              <w:t>442,1</w:t>
            </w:r>
          </w:p>
        </w:tc>
        <w:tc>
          <w:tcPr>
            <w:tcW w:w="1170" w:type="dxa"/>
            <w:vAlign w:val="center"/>
          </w:tcPr>
          <w:p w:rsidR="007E27CB" w:rsidRDefault="008F141F">
            <w:pPr>
              <w:spacing w:after="0" w:line="240" w:lineRule="auto"/>
              <w:jc w:val="center"/>
              <w:rPr>
                <w:sz w:val="24"/>
                <w:szCs w:val="24"/>
              </w:rPr>
            </w:pPr>
            <w:r>
              <w:rPr>
                <w:sz w:val="24"/>
                <w:szCs w:val="24"/>
              </w:rPr>
              <w:t>149,9</w:t>
            </w:r>
          </w:p>
        </w:tc>
      </w:tr>
      <w:tr w:rsidR="007E27CB">
        <w:trPr>
          <w:trHeight w:val="312"/>
        </w:trPr>
        <w:tc>
          <w:tcPr>
            <w:tcW w:w="4253" w:type="dxa"/>
            <w:vMerge/>
            <w:shd w:val="clear" w:color="auto" w:fill="auto"/>
            <w:vAlign w:val="center"/>
          </w:tcPr>
          <w:p w:rsidR="007E27CB" w:rsidRDefault="007E27CB">
            <w:pPr>
              <w:spacing w:after="0" w:line="240" w:lineRule="auto"/>
              <w:jc w:val="center"/>
              <w:rPr>
                <w:sz w:val="24"/>
                <w:szCs w:val="24"/>
              </w:rPr>
            </w:pPr>
          </w:p>
        </w:tc>
        <w:tc>
          <w:tcPr>
            <w:tcW w:w="1559" w:type="dxa"/>
            <w:vMerge w:val="restart"/>
            <w:shd w:val="clear" w:color="auto" w:fill="auto"/>
            <w:vAlign w:val="center"/>
          </w:tcPr>
          <w:p w:rsidR="007E27CB" w:rsidRDefault="008F141F">
            <w:pPr>
              <w:spacing w:after="0" w:line="240" w:lineRule="auto"/>
              <w:jc w:val="center"/>
              <w:rPr>
                <w:sz w:val="24"/>
                <w:szCs w:val="24"/>
                <w:vertAlign w:val="superscript"/>
              </w:rPr>
            </w:pPr>
            <w:r>
              <w:rPr>
                <w:sz w:val="24"/>
                <w:szCs w:val="24"/>
              </w:rPr>
              <w:t>в % к пред. .году</w:t>
            </w:r>
          </w:p>
        </w:tc>
        <w:tc>
          <w:tcPr>
            <w:tcW w:w="1169" w:type="dxa"/>
            <w:gridSpan w:val="2"/>
            <w:vAlign w:val="center"/>
          </w:tcPr>
          <w:p w:rsidR="007E27CB" w:rsidRDefault="008F141F">
            <w:pPr>
              <w:spacing w:after="0" w:line="240" w:lineRule="auto"/>
              <w:jc w:val="center"/>
              <w:rPr>
                <w:sz w:val="24"/>
                <w:szCs w:val="24"/>
              </w:rPr>
            </w:pPr>
            <w:r>
              <w:rPr>
                <w:sz w:val="24"/>
                <w:szCs w:val="24"/>
              </w:rPr>
              <w:t>99,6</w:t>
            </w:r>
          </w:p>
        </w:tc>
        <w:tc>
          <w:tcPr>
            <w:tcW w:w="1170" w:type="dxa"/>
            <w:vAlign w:val="center"/>
          </w:tcPr>
          <w:p w:rsidR="007E27CB" w:rsidRDefault="008F141F">
            <w:pPr>
              <w:spacing w:after="0" w:line="240" w:lineRule="auto"/>
              <w:jc w:val="center"/>
              <w:rPr>
                <w:sz w:val="24"/>
                <w:szCs w:val="24"/>
              </w:rPr>
            </w:pPr>
            <w:r>
              <w:rPr>
                <w:sz w:val="24"/>
                <w:szCs w:val="24"/>
              </w:rPr>
              <w:t>102,7</w:t>
            </w:r>
          </w:p>
        </w:tc>
        <w:tc>
          <w:tcPr>
            <w:tcW w:w="1169" w:type="dxa"/>
            <w:vAlign w:val="center"/>
          </w:tcPr>
          <w:p w:rsidR="007E27CB" w:rsidRDefault="008F141F">
            <w:pPr>
              <w:spacing w:after="0" w:line="240" w:lineRule="auto"/>
              <w:jc w:val="center"/>
              <w:rPr>
                <w:sz w:val="24"/>
                <w:szCs w:val="24"/>
              </w:rPr>
            </w:pPr>
            <w:r>
              <w:rPr>
                <w:sz w:val="24"/>
                <w:szCs w:val="24"/>
              </w:rPr>
              <w:t>100,0</w:t>
            </w:r>
          </w:p>
        </w:tc>
        <w:tc>
          <w:tcPr>
            <w:tcW w:w="1170" w:type="dxa"/>
            <w:vAlign w:val="center"/>
          </w:tcPr>
          <w:p w:rsidR="007E27CB" w:rsidRDefault="008F141F">
            <w:pPr>
              <w:spacing w:after="0" w:line="240" w:lineRule="auto"/>
              <w:jc w:val="center"/>
              <w:rPr>
                <w:sz w:val="24"/>
                <w:szCs w:val="24"/>
              </w:rPr>
            </w:pPr>
            <w:r>
              <w:rPr>
                <w:sz w:val="24"/>
                <w:szCs w:val="24"/>
              </w:rPr>
              <w:t>104,5</w:t>
            </w:r>
          </w:p>
        </w:tc>
      </w:tr>
      <w:tr w:rsidR="007E27CB">
        <w:trPr>
          <w:trHeight w:val="390"/>
        </w:trPr>
        <w:tc>
          <w:tcPr>
            <w:tcW w:w="4253" w:type="dxa"/>
            <w:shd w:val="clear" w:color="auto" w:fill="auto"/>
            <w:vAlign w:val="center"/>
          </w:tcPr>
          <w:p w:rsidR="007E27CB" w:rsidRDefault="008F141F">
            <w:pPr>
              <w:spacing w:after="0" w:line="240" w:lineRule="auto"/>
              <w:jc w:val="center"/>
              <w:rPr>
                <w:sz w:val="24"/>
                <w:szCs w:val="24"/>
              </w:rPr>
            </w:pPr>
            <w:r>
              <w:rPr>
                <w:sz w:val="24"/>
                <w:szCs w:val="24"/>
              </w:rPr>
              <w:t>СФО</w:t>
            </w:r>
          </w:p>
        </w:tc>
        <w:tc>
          <w:tcPr>
            <w:tcW w:w="1559" w:type="dxa"/>
            <w:vMerge/>
            <w:shd w:val="clear" w:color="auto" w:fill="auto"/>
            <w:vAlign w:val="center"/>
          </w:tcPr>
          <w:p w:rsidR="007E27CB" w:rsidRDefault="007E27CB">
            <w:pPr>
              <w:spacing w:after="0" w:line="240" w:lineRule="auto"/>
              <w:jc w:val="center"/>
              <w:rPr>
                <w:sz w:val="24"/>
                <w:szCs w:val="24"/>
                <w:vertAlign w:val="superscript"/>
              </w:rPr>
            </w:pPr>
          </w:p>
        </w:tc>
        <w:tc>
          <w:tcPr>
            <w:tcW w:w="1169" w:type="dxa"/>
            <w:gridSpan w:val="2"/>
            <w:vAlign w:val="center"/>
          </w:tcPr>
          <w:p w:rsidR="007E27CB" w:rsidRDefault="008F141F">
            <w:pPr>
              <w:spacing w:after="0" w:line="240" w:lineRule="auto"/>
              <w:jc w:val="center"/>
              <w:rPr>
                <w:sz w:val="24"/>
                <w:szCs w:val="24"/>
              </w:rPr>
            </w:pPr>
            <w:r>
              <w:rPr>
                <w:sz w:val="24"/>
                <w:szCs w:val="24"/>
              </w:rPr>
              <w:t>101,8</w:t>
            </w:r>
          </w:p>
        </w:tc>
        <w:tc>
          <w:tcPr>
            <w:tcW w:w="1170" w:type="dxa"/>
            <w:vAlign w:val="center"/>
          </w:tcPr>
          <w:p w:rsidR="007E27CB" w:rsidRDefault="008F141F">
            <w:pPr>
              <w:spacing w:after="0" w:line="240" w:lineRule="auto"/>
              <w:jc w:val="center"/>
              <w:rPr>
                <w:sz w:val="24"/>
                <w:szCs w:val="24"/>
              </w:rPr>
            </w:pPr>
            <w:r>
              <w:rPr>
                <w:sz w:val="24"/>
                <w:szCs w:val="24"/>
              </w:rPr>
              <w:t>103,4</w:t>
            </w:r>
          </w:p>
        </w:tc>
        <w:tc>
          <w:tcPr>
            <w:tcW w:w="1169" w:type="dxa"/>
            <w:vAlign w:val="center"/>
          </w:tcPr>
          <w:p w:rsidR="007E27CB" w:rsidRDefault="008F141F">
            <w:pPr>
              <w:spacing w:after="0" w:line="240" w:lineRule="auto"/>
              <w:jc w:val="center"/>
              <w:rPr>
                <w:sz w:val="24"/>
                <w:szCs w:val="24"/>
              </w:rPr>
            </w:pPr>
            <w:r>
              <w:rPr>
                <w:sz w:val="24"/>
                <w:szCs w:val="24"/>
              </w:rPr>
              <w:t>101,4</w:t>
            </w:r>
          </w:p>
        </w:tc>
        <w:tc>
          <w:tcPr>
            <w:tcW w:w="1170" w:type="dxa"/>
            <w:vAlign w:val="center"/>
          </w:tcPr>
          <w:p w:rsidR="007E27CB" w:rsidRDefault="008F141F">
            <w:pPr>
              <w:spacing w:after="0" w:line="240" w:lineRule="auto"/>
              <w:jc w:val="center"/>
              <w:rPr>
                <w:sz w:val="24"/>
                <w:szCs w:val="24"/>
              </w:rPr>
            </w:pPr>
            <w:r>
              <w:rPr>
                <w:sz w:val="24"/>
                <w:szCs w:val="24"/>
              </w:rPr>
              <w:t>111,7</w:t>
            </w:r>
          </w:p>
        </w:tc>
      </w:tr>
      <w:tr w:rsidR="007E27CB">
        <w:trPr>
          <w:trHeight w:val="298"/>
        </w:trPr>
        <w:tc>
          <w:tcPr>
            <w:tcW w:w="4253" w:type="dxa"/>
            <w:tcBorders>
              <w:bottom w:val="single" w:sz="4" w:space="0" w:color="auto"/>
            </w:tcBorders>
            <w:shd w:val="clear" w:color="auto" w:fill="auto"/>
            <w:vAlign w:val="center"/>
          </w:tcPr>
          <w:p w:rsidR="007E27CB" w:rsidRDefault="008F141F">
            <w:pPr>
              <w:spacing w:after="0" w:line="240" w:lineRule="auto"/>
              <w:jc w:val="center"/>
              <w:rPr>
                <w:sz w:val="24"/>
                <w:szCs w:val="24"/>
              </w:rPr>
            </w:pPr>
            <w:r>
              <w:rPr>
                <w:sz w:val="24"/>
                <w:szCs w:val="24"/>
              </w:rPr>
              <w:t>Россия</w:t>
            </w:r>
          </w:p>
        </w:tc>
        <w:tc>
          <w:tcPr>
            <w:tcW w:w="1559" w:type="dxa"/>
            <w:vMerge/>
            <w:tcBorders>
              <w:bottom w:val="single" w:sz="4" w:space="0" w:color="auto"/>
            </w:tcBorders>
            <w:shd w:val="clear" w:color="auto" w:fill="auto"/>
            <w:vAlign w:val="center"/>
          </w:tcPr>
          <w:p w:rsidR="007E27CB" w:rsidRDefault="007E27CB">
            <w:pPr>
              <w:spacing w:after="0" w:line="240" w:lineRule="auto"/>
              <w:jc w:val="center"/>
              <w:rPr>
                <w:sz w:val="24"/>
                <w:szCs w:val="24"/>
                <w:vertAlign w:val="superscript"/>
              </w:rPr>
            </w:pPr>
          </w:p>
        </w:tc>
        <w:tc>
          <w:tcPr>
            <w:tcW w:w="1169" w:type="dxa"/>
            <w:gridSpan w:val="2"/>
            <w:tcBorders>
              <w:bottom w:val="single" w:sz="4" w:space="0" w:color="auto"/>
            </w:tcBorders>
            <w:vAlign w:val="center"/>
          </w:tcPr>
          <w:p w:rsidR="007E27CB" w:rsidRDefault="008F141F">
            <w:pPr>
              <w:spacing w:after="0" w:line="240" w:lineRule="auto"/>
              <w:jc w:val="center"/>
              <w:rPr>
                <w:sz w:val="24"/>
                <w:szCs w:val="24"/>
              </w:rPr>
            </w:pPr>
            <w:r>
              <w:rPr>
                <w:sz w:val="24"/>
                <w:szCs w:val="24"/>
              </w:rPr>
              <w:t>102,1</w:t>
            </w:r>
          </w:p>
        </w:tc>
        <w:tc>
          <w:tcPr>
            <w:tcW w:w="1170" w:type="dxa"/>
            <w:tcBorders>
              <w:bottom w:val="single" w:sz="4" w:space="0" w:color="auto"/>
            </w:tcBorders>
            <w:vAlign w:val="center"/>
          </w:tcPr>
          <w:p w:rsidR="007E27CB" w:rsidRDefault="008F141F">
            <w:pPr>
              <w:spacing w:after="0" w:line="240" w:lineRule="auto"/>
              <w:jc w:val="center"/>
              <w:rPr>
                <w:sz w:val="24"/>
                <w:szCs w:val="24"/>
              </w:rPr>
            </w:pPr>
            <w:r>
              <w:rPr>
                <w:sz w:val="24"/>
                <w:szCs w:val="24"/>
              </w:rPr>
              <w:t>102,9</w:t>
            </w:r>
          </w:p>
        </w:tc>
        <w:tc>
          <w:tcPr>
            <w:tcW w:w="1169" w:type="dxa"/>
            <w:tcBorders>
              <w:bottom w:val="single" w:sz="4" w:space="0" w:color="auto"/>
            </w:tcBorders>
            <w:vAlign w:val="center"/>
          </w:tcPr>
          <w:p w:rsidR="007E27CB" w:rsidRDefault="008F141F">
            <w:pPr>
              <w:spacing w:after="0" w:line="240" w:lineRule="auto"/>
              <w:jc w:val="center"/>
              <w:rPr>
                <w:sz w:val="24"/>
                <w:szCs w:val="24"/>
              </w:rPr>
            </w:pPr>
            <w:r>
              <w:rPr>
                <w:sz w:val="24"/>
                <w:szCs w:val="24"/>
              </w:rPr>
              <w:t>102,4</w:t>
            </w:r>
          </w:p>
        </w:tc>
        <w:tc>
          <w:tcPr>
            <w:tcW w:w="1170" w:type="dxa"/>
            <w:tcBorders>
              <w:bottom w:val="single" w:sz="4" w:space="0" w:color="auto"/>
            </w:tcBorders>
            <w:vAlign w:val="center"/>
          </w:tcPr>
          <w:p w:rsidR="007E27CB" w:rsidRDefault="008F141F">
            <w:pPr>
              <w:spacing w:after="0" w:line="240" w:lineRule="auto"/>
              <w:jc w:val="center"/>
              <w:rPr>
                <w:sz w:val="24"/>
                <w:szCs w:val="24"/>
              </w:rPr>
            </w:pPr>
            <w:r>
              <w:rPr>
                <w:sz w:val="24"/>
                <w:szCs w:val="24"/>
              </w:rPr>
              <w:t>110,9</w:t>
            </w:r>
          </w:p>
        </w:tc>
      </w:tr>
      <w:tr w:rsidR="007E27CB">
        <w:trPr>
          <w:trHeight w:val="20"/>
        </w:trPr>
        <w:tc>
          <w:tcPr>
            <w:tcW w:w="10490" w:type="dxa"/>
            <w:gridSpan w:val="7"/>
            <w:shd w:val="clear" w:color="auto" w:fill="F2F2F2" w:themeFill="background1" w:themeFillShade="F2"/>
            <w:vAlign w:val="center"/>
          </w:tcPr>
          <w:p w:rsidR="007E27CB" w:rsidRDefault="008F141F">
            <w:pPr>
              <w:spacing w:after="0" w:line="240" w:lineRule="auto"/>
              <w:jc w:val="center"/>
              <w:rPr>
                <w:b/>
                <w:sz w:val="24"/>
                <w:szCs w:val="24"/>
              </w:rPr>
            </w:pPr>
            <w:r>
              <w:rPr>
                <w:b/>
                <w:sz w:val="24"/>
                <w:szCs w:val="24"/>
              </w:rPr>
              <w:t>Продукция сельского хозяйства</w:t>
            </w:r>
          </w:p>
        </w:tc>
      </w:tr>
      <w:tr w:rsidR="007E27CB">
        <w:trPr>
          <w:trHeight w:val="20"/>
        </w:trPr>
        <w:tc>
          <w:tcPr>
            <w:tcW w:w="4253" w:type="dxa"/>
            <w:vMerge w:val="restart"/>
            <w:shd w:val="clear" w:color="auto" w:fill="auto"/>
            <w:vAlign w:val="center"/>
          </w:tcPr>
          <w:p w:rsidR="007E27CB" w:rsidRDefault="008F141F">
            <w:pPr>
              <w:spacing w:after="0" w:line="240" w:lineRule="auto"/>
              <w:jc w:val="center"/>
              <w:rPr>
                <w:sz w:val="24"/>
                <w:szCs w:val="24"/>
              </w:rPr>
            </w:pPr>
            <w:r>
              <w:rPr>
                <w:sz w:val="24"/>
                <w:szCs w:val="24"/>
              </w:rPr>
              <w:t>Томская область</w:t>
            </w:r>
          </w:p>
        </w:tc>
        <w:tc>
          <w:tcPr>
            <w:tcW w:w="1559" w:type="dxa"/>
            <w:shd w:val="clear" w:color="auto" w:fill="auto"/>
            <w:vAlign w:val="center"/>
          </w:tcPr>
          <w:p w:rsidR="007E27CB" w:rsidRDefault="008F141F">
            <w:pPr>
              <w:spacing w:after="0" w:line="240" w:lineRule="auto"/>
              <w:jc w:val="center"/>
              <w:rPr>
                <w:i/>
                <w:sz w:val="24"/>
                <w:szCs w:val="24"/>
              </w:rPr>
            </w:pPr>
            <w:r>
              <w:rPr>
                <w:sz w:val="24"/>
                <w:szCs w:val="24"/>
              </w:rPr>
              <w:t>млрд. рублей</w:t>
            </w:r>
          </w:p>
        </w:tc>
        <w:tc>
          <w:tcPr>
            <w:tcW w:w="1169" w:type="dxa"/>
            <w:gridSpan w:val="2"/>
          </w:tcPr>
          <w:p w:rsidR="007E27CB" w:rsidRDefault="008F141F">
            <w:pPr>
              <w:spacing w:after="0" w:line="240" w:lineRule="auto"/>
              <w:jc w:val="center"/>
              <w:rPr>
                <w:sz w:val="24"/>
                <w:szCs w:val="24"/>
              </w:rPr>
            </w:pPr>
            <w:r>
              <w:rPr>
                <w:sz w:val="24"/>
                <w:szCs w:val="24"/>
              </w:rPr>
              <w:t>28,8</w:t>
            </w:r>
          </w:p>
        </w:tc>
        <w:tc>
          <w:tcPr>
            <w:tcW w:w="1170" w:type="dxa"/>
          </w:tcPr>
          <w:p w:rsidR="007E27CB" w:rsidRDefault="008F141F">
            <w:pPr>
              <w:spacing w:after="0" w:line="240" w:lineRule="auto"/>
              <w:jc w:val="center"/>
              <w:rPr>
                <w:sz w:val="24"/>
                <w:szCs w:val="24"/>
              </w:rPr>
            </w:pPr>
            <w:r>
              <w:rPr>
                <w:sz w:val="24"/>
                <w:szCs w:val="24"/>
              </w:rPr>
              <w:t>30,7</w:t>
            </w:r>
          </w:p>
        </w:tc>
        <w:tc>
          <w:tcPr>
            <w:tcW w:w="1169" w:type="dxa"/>
          </w:tcPr>
          <w:p w:rsidR="007E27CB" w:rsidRDefault="008F141F">
            <w:pPr>
              <w:spacing w:after="0" w:line="240" w:lineRule="auto"/>
              <w:jc w:val="center"/>
              <w:rPr>
                <w:sz w:val="24"/>
                <w:szCs w:val="24"/>
              </w:rPr>
            </w:pPr>
            <w:r>
              <w:rPr>
                <w:sz w:val="24"/>
                <w:szCs w:val="24"/>
              </w:rPr>
              <w:t>31,0</w:t>
            </w:r>
          </w:p>
        </w:tc>
        <w:tc>
          <w:tcPr>
            <w:tcW w:w="1170" w:type="dxa"/>
            <w:vAlign w:val="center"/>
          </w:tcPr>
          <w:p w:rsidR="007E27CB" w:rsidRDefault="008F141F">
            <w:pPr>
              <w:spacing w:after="0" w:line="240" w:lineRule="auto"/>
              <w:jc w:val="center"/>
              <w:rPr>
                <w:sz w:val="24"/>
                <w:szCs w:val="24"/>
              </w:rPr>
            </w:pPr>
            <w:r>
              <w:rPr>
                <w:sz w:val="24"/>
                <w:szCs w:val="24"/>
              </w:rPr>
              <w:t>147,6</w:t>
            </w:r>
          </w:p>
        </w:tc>
      </w:tr>
      <w:tr w:rsidR="007E27CB">
        <w:trPr>
          <w:trHeight w:val="20"/>
        </w:trPr>
        <w:tc>
          <w:tcPr>
            <w:tcW w:w="4253" w:type="dxa"/>
            <w:vMerge/>
            <w:shd w:val="clear" w:color="auto" w:fill="auto"/>
            <w:vAlign w:val="center"/>
          </w:tcPr>
          <w:p w:rsidR="007E27CB" w:rsidRDefault="007E27CB">
            <w:pPr>
              <w:spacing w:after="0" w:line="240" w:lineRule="auto"/>
              <w:jc w:val="center"/>
              <w:rPr>
                <w:sz w:val="24"/>
                <w:szCs w:val="24"/>
              </w:rPr>
            </w:pPr>
          </w:p>
        </w:tc>
        <w:tc>
          <w:tcPr>
            <w:tcW w:w="1559" w:type="dxa"/>
            <w:vMerge w:val="restart"/>
            <w:shd w:val="clear" w:color="auto" w:fill="auto"/>
            <w:vAlign w:val="center"/>
          </w:tcPr>
          <w:p w:rsidR="007E27CB" w:rsidRDefault="008F141F">
            <w:pPr>
              <w:spacing w:after="0" w:line="240" w:lineRule="auto"/>
              <w:jc w:val="center"/>
              <w:rPr>
                <w:sz w:val="24"/>
                <w:szCs w:val="24"/>
                <w:vertAlign w:val="superscript"/>
              </w:rPr>
            </w:pPr>
            <w:r>
              <w:rPr>
                <w:sz w:val="24"/>
                <w:szCs w:val="24"/>
              </w:rPr>
              <w:t>в % к пред. .году</w:t>
            </w:r>
          </w:p>
        </w:tc>
        <w:tc>
          <w:tcPr>
            <w:tcW w:w="1169" w:type="dxa"/>
            <w:gridSpan w:val="2"/>
          </w:tcPr>
          <w:p w:rsidR="007E27CB" w:rsidRDefault="008F141F">
            <w:pPr>
              <w:spacing w:after="0" w:line="240" w:lineRule="auto"/>
              <w:jc w:val="center"/>
              <w:rPr>
                <w:sz w:val="24"/>
                <w:szCs w:val="24"/>
              </w:rPr>
            </w:pPr>
            <w:r>
              <w:rPr>
                <w:sz w:val="24"/>
                <w:szCs w:val="24"/>
              </w:rPr>
              <w:t>113,9</w:t>
            </w:r>
          </w:p>
        </w:tc>
        <w:tc>
          <w:tcPr>
            <w:tcW w:w="1170" w:type="dxa"/>
          </w:tcPr>
          <w:p w:rsidR="007E27CB" w:rsidRDefault="008F141F">
            <w:pPr>
              <w:spacing w:after="0" w:line="240" w:lineRule="auto"/>
              <w:jc w:val="center"/>
              <w:rPr>
                <w:sz w:val="24"/>
                <w:szCs w:val="24"/>
              </w:rPr>
            </w:pPr>
            <w:r>
              <w:rPr>
                <w:sz w:val="24"/>
                <w:szCs w:val="24"/>
              </w:rPr>
              <w:t>102,8</w:t>
            </w:r>
          </w:p>
        </w:tc>
        <w:tc>
          <w:tcPr>
            <w:tcW w:w="1169" w:type="dxa"/>
          </w:tcPr>
          <w:p w:rsidR="007E27CB" w:rsidRDefault="008F141F">
            <w:pPr>
              <w:spacing w:after="0" w:line="240" w:lineRule="auto"/>
              <w:jc w:val="center"/>
              <w:rPr>
                <w:sz w:val="24"/>
                <w:szCs w:val="24"/>
              </w:rPr>
            </w:pPr>
            <w:r>
              <w:rPr>
                <w:sz w:val="24"/>
                <w:szCs w:val="24"/>
              </w:rPr>
              <w:t>95,9</w:t>
            </w:r>
          </w:p>
        </w:tc>
        <w:tc>
          <w:tcPr>
            <w:tcW w:w="1170" w:type="dxa"/>
            <w:vAlign w:val="center"/>
          </w:tcPr>
          <w:p w:rsidR="007E27CB" w:rsidRDefault="008F141F">
            <w:pPr>
              <w:spacing w:after="0" w:line="240" w:lineRule="auto"/>
              <w:jc w:val="center"/>
              <w:rPr>
                <w:sz w:val="24"/>
                <w:szCs w:val="24"/>
              </w:rPr>
            </w:pPr>
            <w:r>
              <w:rPr>
                <w:sz w:val="24"/>
                <w:szCs w:val="24"/>
              </w:rPr>
              <w:t>109,1</w:t>
            </w:r>
          </w:p>
        </w:tc>
      </w:tr>
      <w:tr w:rsidR="007E27CB">
        <w:trPr>
          <w:trHeight w:val="20"/>
        </w:trPr>
        <w:tc>
          <w:tcPr>
            <w:tcW w:w="4253" w:type="dxa"/>
            <w:shd w:val="clear" w:color="auto" w:fill="auto"/>
            <w:vAlign w:val="center"/>
          </w:tcPr>
          <w:p w:rsidR="007E27CB" w:rsidRDefault="008F141F">
            <w:pPr>
              <w:spacing w:after="0" w:line="240" w:lineRule="auto"/>
              <w:jc w:val="center"/>
              <w:rPr>
                <w:sz w:val="24"/>
                <w:szCs w:val="24"/>
              </w:rPr>
            </w:pPr>
            <w:r>
              <w:rPr>
                <w:sz w:val="24"/>
                <w:szCs w:val="24"/>
              </w:rPr>
              <w:t>СФО</w:t>
            </w:r>
          </w:p>
        </w:tc>
        <w:tc>
          <w:tcPr>
            <w:tcW w:w="1559" w:type="dxa"/>
            <w:vMerge/>
            <w:shd w:val="clear" w:color="auto" w:fill="auto"/>
            <w:vAlign w:val="center"/>
          </w:tcPr>
          <w:p w:rsidR="007E27CB" w:rsidRDefault="007E27CB">
            <w:pPr>
              <w:spacing w:after="0" w:line="240" w:lineRule="auto"/>
              <w:jc w:val="center"/>
              <w:rPr>
                <w:sz w:val="24"/>
                <w:szCs w:val="24"/>
                <w:vertAlign w:val="superscript"/>
              </w:rPr>
            </w:pPr>
          </w:p>
        </w:tc>
        <w:tc>
          <w:tcPr>
            <w:tcW w:w="1169" w:type="dxa"/>
            <w:gridSpan w:val="2"/>
          </w:tcPr>
          <w:p w:rsidR="007E27CB" w:rsidRDefault="008F141F">
            <w:pPr>
              <w:spacing w:after="0" w:line="240" w:lineRule="auto"/>
              <w:jc w:val="center"/>
              <w:rPr>
                <w:sz w:val="24"/>
                <w:szCs w:val="24"/>
              </w:rPr>
            </w:pPr>
            <w:r>
              <w:rPr>
                <w:sz w:val="24"/>
                <w:szCs w:val="24"/>
              </w:rPr>
              <w:t>102,5</w:t>
            </w:r>
          </w:p>
        </w:tc>
        <w:tc>
          <w:tcPr>
            <w:tcW w:w="1170" w:type="dxa"/>
          </w:tcPr>
          <w:p w:rsidR="007E27CB" w:rsidRDefault="008F141F">
            <w:pPr>
              <w:spacing w:after="0" w:line="240" w:lineRule="auto"/>
              <w:jc w:val="center"/>
              <w:rPr>
                <w:sz w:val="24"/>
                <w:szCs w:val="24"/>
              </w:rPr>
            </w:pPr>
            <w:r>
              <w:rPr>
                <w:sz w:val="24"/>
                <w:szCs w:val="24"/>
              </w:rPr>
              <w:t>100,9</w:t>
            </w:r>
          </w:p>
        </w:tc>
        <w:tc>
          <w:tcPr>
            <w:tcW w:w="1169" w:type="dxa"/>
          </w:tcPr>
          <w:p w:rsidR="007E27CB" w:rsidRDefault="008F141F">
            <w:pPr>
              <w:spacing w:after="0" w:line="240" w:lineRule="auto"/>
              <w:jc w:val="center"/>
              <w:rPr>
                <w:sz w:val="24"/>
                <w:szCs w:val="24"/>
              </w:rPr>
            </w:pPr>
            <w:r>
              <w:rPr>
                <w:sz w:val="24"/>
                <w:szCs w:val="24"/>
              </w:rPr>
              <w:t>99,3</w:t>
            </w:r>
          </w:p>
        </w:tc>
        <w:tc>
          <w:tcPr>
            <w:tcW w:w="1170" w:type="dxa"/>
            <w:vAlign w:val="center"/>
          </w:tcPr>
          <w:p w:rsidR="007E27CB" w:rsidRDefault="008F141F">
            <w:pPr>
              <w:spacing w:after="0" w:line="240" w:lineRule="auto"/>
              <w:jc w:val="center"/>
              <w:rPr>
                <w:sz w:val="24"/>
                <w:szCs w:val="24"/>
              </w:rPr>
            </w:pPr>
            <w:r>
              <w:rPr>
                <w:sz w:val="24"/>
                <w:szCs w:val="24"/>
              </w:rPr>
              <w:t>101,2</w:t>
            </w:r>
          </w:p>
        </w:tc>
      </w:tr>
      <w:tr w:rsidR="007E27CB">
        <w:trPr>
          <w:trHeight w:val="20"/>
        </w:trPr>
        <w:tc>
          <w:tcPr>
            <w:tcW w:w="4253" w:type="dxa"/>
            <w:tcBorders>
              <w:bottom w:val="single" w:sz="4" w:space="0" w:color="auto"/>
            </w:tcBorders>
            <w:shd w:val="clear" w:color="auto" w:fill="auto"/>
            <w:vAlign w:val="center"/>
          </w:tcPr>
          <w:p w:rsidR="007E27CB" w:rsidRDefault="008F141F">
            <w:pPr>
              <w:spacing w:after="0" w:line="240" w:lineRule="auto"/>
              <w:jc w:val="center"/>
              <w:rPr>
                <w:sz w:val="24"/>
                <w:szCs w:val="24"/>
              </w:rPr>
            </w:pPr>
            <w:r>
              <w:rPr>
                <w:sz w:val="24"/>
                <w:szCs w:val="24"/>
              </w:rPr>
              <w:t>Россия</w:t>
            </w:r>
          </w:p>
        </w:tc>
        <w:tc>
          <w:tcPr>
            <w:tcW w:w="1559" w:type="dxa"/>
            <w:vMerge/>
            <w:tcBorders>
              <w:bottom w:val="single" w:sz="4" w:space="0" w:color="auto"/>
            </w:tcBorders>
            <w:shd w:val="clear" w:color="auto" w:fill="auto"/>
            <w:vAlign w:val="center"/>
          </w:tcPr>
          <w:p w:rsidR="007E27CB" w:rsidRDefault="007E27CB">
            <w:pPr>
              <w:spacing w:after="0" w:line="240" w:lineRule="auto"/>
              <w:jc w:val="center"/>
              <w:rPr>
                <w:sz w:val="24"/>
                <w:szCs w:val="24"/>
                <w:vertAlign w:val="superscript"/>
              </w:rPr>
            </w:pPr>
          </w:p>
        </w:tc>
        <w:tc>
          <w:tcPr>
            <w:tcW w:w="1169" w:type="dxa"/>
            <w:gridSpan w:val="2"/>
            <w:tcBorders>
              <w:bottom w:val="single" w:sz="4" w:space="0" w:color="auto"/>
            </w:tcBorders>
          </w:tcPr>
          <w:p w:rsidR="007E27CB" w:rsidRDefault="008F141F">
            <w:pPr>
              <w:spacing w:after="0" w:line="240" w:lineRule="auto"/>
              <w:jc w:val="center"/>
              <w:rPr>
                <w:sz w:val="24"/>
                <w:szCs w:val="24"/>
              </w:rPr>
            </w:pPr>
            <w:r>
              <w:rPr>
                <w:sz w:val="24"/>
                <w:szCs w:val="24"/>
              </w:rPr>
              <w:t>102,9</w:t>
            </w:r>
          </w:p>
        </w:tc>
        <w:tc>
          <w:tcPr>
            <w:tcW w:w="1170" w:type="dxa"/>
            <w:tcBorders>
              <w:bottom w:val="single" w:sz="4" w:space="0" w:color="auto"/>
            </w:tcBorders>
          </w:tcPr>
          <w:p w:rsidR="007E27CB" w:rsidRDefault="008F141F">
            <w:pPr>
              <w:spacing w:after="0" w:line="240" w:lineRule="auto"/>
              <w:jc w:val="center"/>
              <w:rPr>
                <w:sz w:val="24"/>
                <w:szCs w:val="24"/>
              </w:rPr>
            </w:pPr>
            <w:r>
              <w:rPr>
                <w:sz w:val="24"/>
                <w:szCs w:val="24"/>
              </w:rPr>
              <w:t>99,8</w:t>
            </w:r>
          </w:p>
        </w:tc>
        <w:tc>
          <w:tcPr>
            <w:tcW w:w="1169" w:type="dxa"/>
            <w:tcBorders>
              <w:bottom w:val="single" w:sz="4" w:space="0" w:color="auto"/>
            </w:tcBorders>
          </w:tcPr>
          <w:p w:rsidR="007E27CB" w:rsidRDefault="008F141F">
            <w:pPr>
              <w:spacing w:after="0" w:line="240" w:lineRule="auto"/>
              <w:jc w:val="center"/>
              <w:rPr>
                <w:sz w:val="24"/>
                <w:szCs w:val="24"/>
              </w:rPr>
            </w:pPr>
            <w:r>
              <w:rPr>
                <w:sz w:val="24"/>
                <w:szCs w:val="24"/>
              </w:rPr>
              <w:t>104,0</w:t>
            </w:r>
          </w:p>
        </w:tc>
        <w:tc>
          <w:tcPr>
            <w:tcW w:w="1170" w:type="dxa"/>
            <w:tcBorders>
              <w:bottom w:val="single" w:sz="4" w:space="0" w:color="auto"/>
            </w:tcBorders>
            <w:vAlign w:val="center"/>
          </w:tcPr>
          <w:p w:rsidR="007E27CB" w:rsidRDefault="008F141F">
            <w:pPr>
              <w:spacing w:after="0" w:line="240" w:lineRule="auto"/>
              <w:jc w:val="center"/>
              <w:rPr>
                <w:sz w:val="24"/>
                <w:szCs w:val="24"/>
              </w:rPr>
            </w:pPr>
            <w:r>
              <w:rPr>
                <w:sz w:val="24"/>
                <w:szCs w:val="24"/>
              </w:rPr>
              <w:t>119,0</w:t>
            </w:r>
          </w:p>
        </w:tc>
      </w:tr>
      <w:tr w:rsidR="007E27CB">
        <w:trPr>
          <w:trHeight w:val="20"/>
        </w:trPr>
        <w:tc>
          <w:tcPr>
            <w:tcW w:w="10490" w:type="dxa"/>
            <w:gridSpan w:val="7"/>
            <w:shd w:val="clear" w:color="auto" w:fill="F2F2F2" w:themeFill="background1" w:themeFillShade="F2"/>
            <w:vAlign w:val="center"/>
          </w:tcPr>
          <w:p w:rsidR="007E27CB" w:rsidRDefault="008F141F">
            <w:pPr>
              <w:spacing w:after="0" w:line="240" w:lineRule="auto"/>
              <w:jc w:val="center"/>
              <w:rPr>
                <w:b/>
                <w:sz w:val="24"/>
                <w:szCs w:val="24"/>
              </w:rPr>
            </w:pPr>
            <w:r>
              <w:rPr>
                <w:b/>
                <w:sz w:val="24"/>
                <w:szCs w:val="24"/>
              </w:rPr>
              <w:t>Строительство</w:t>
            </w:r>
          </w:p>
        </w:tc>
      </w:tr>
      <w:tr w:rsidR="007E27CB">
        <w:trPr>
          <w:trHeight w:val="20"/>
        </w:trPr>
        <w:tc>
          <w:tcPr>
            <w:tcW w:w="4253" w:type="dxa"/>
            <w:vMerge w:val="restart"/>
            <w:shd w:val="clear" w:color="auto" w:fill="auto"/>
            <w:vAlign w:val="center"/>
          </w:tcPr>
          <w:p w:rsidR="007E27CB" w:rsidRDefault="008F141F">
            <w:pPr>
              <w:spacing w:after="0" w:line="240" w:lineRule="auto"/>
              <w:jc w:val="center"/>
              <w:rPr>
                <w:sz w:val="24"/>
                <w:szCs w:val="24"/>
              </w:rPr>
            </w:pPr>
            <w:r>
              <w:rPr>
                <w:sz w:val="24"/>
                <w:szCs w:val="24"/>
              </w:rPr>
              <w:t>Томская область</w:t>
            </w:r>
          </w:p>
        </w:tc>
        <w:tc>
          <w:tcPr>
            <w:tcW w:w="1559" w:type="dxa"/>
            <w:shd w:val="clear" w:color="auto" w:fill="auto"/>
            <w:vAlign w:val="center"/>
          </w:tcPr>
          <w:p w:rsidR="007E27CB" w:rsidRDefault="008F141F">
            <w:pPr>
              <w:spacing w:after="0" w:line="240" w:lineRule="auto"/>
              <w:jc w:val="center"/>
              <w:rPr>
                <w:i/>
                <w:sz w:val="24"/>
                <w:szCs w:val="24"/>
              </w:rPr>
            </w:pPr>
            <w:r>
              <w:rPr>
                <w:sz w:val="24"/>
                <w:szCs w:val="24"/>
              </w:rPr>
              <w:t>млрд. рублей</w:t>
            </w:r>
          </w:p>
        </w:tc>
        <w:tc>
          <w:tcPr>
            <w:tcW w:w="1169" w:type="dxa"/>
            <w:gridSpan w:val="2"/>
          </w:tcPr>
          <w:p w:rsidR="007E27CB" w:rsidRDefault="008F141F">
            <w:pPr>
              <w:spacing w:after="0" w:line="240" w:lineRule="auto"/>
              <w:jc w:val="center"/>
              <w:rPr>
                <w:sz w:val="24"/>
                <w:szCs w:val="24"/>
              </w:rPr>
            </w:pPr>
            <w:r>
              <w:rPr>
                <w:sz w:val="24"/>
                <w:szCs w:val="24"/>
              </w:rPr>
              <w:t>50,2</w:t>
            </w:r>
          </w:p>
        </w:tc>
        <w:tc>
          <w:tcPr>
            <w:tcW w:w="1170" w:type="dxa"/>
          </w:tcPr>
          <w:p w:rsidR="007E27CB" w:rsidRDefault="008F141F">
            <w:pPr>
              <w:spacing w:after="0" w:line="240" w:lineRule="auto"/>
              <w:jc w:val="center"/>
              <w:rPr>
                <w:sz w:val="24"/>
                <w:szCs w:val="24"/>
              </w:rPr>
            </w:pPr>
            <w:r>
              <w:rPr>
                <w:sz w:val="24"/>
                <w:szCs w:val="24"/>
              </w:rPr>
              <w:t>45,0</w:t>
            </w:r>
          </w:p>
        </w:tc>
        <w:tc>
          <w:tcPr>
            <w:tcW w:w="1169" w:type="dxa"/>
          </w:tcPr>
          <w:p w:rsidR="007E27CB" w:rsidRDefault="008F141F">
            <w:pPr>
              <w:spacing w:after="0" w:line="240" w:lineRule="auto"/>
              <w:jc w:val="center"/>
              <w:rPr>
                <w:sz w:val="24"/>
                <w:szCs w:val="24"/>
              </w:rPr>
            </w:pPr>
            <w:r>
              <w:rPr>
                <w:sz w:val="24"/>
                <w:szCs w:val="24"/>
              </w:rPr>
              <w:t>55,1</w:t>
            </w:r>
          </w:p>
        </w:tc>
        <w:tc>
          <w:tcPr>
            <w:tcW w:w="1170" w:type="dxa"/>
            <w:vAlign w:val="center"/>
          </w:tcPr>
          <w:p w:rsidR="007E27CB" w:rsidRDefault="008F141F">
            <w:pPr>
              <w:spacing w:after="0" w:line="240" w:lineRule="auto"/>
              <w:jc w:val="center"/>
              <w:rPr>
                <w:sz w:val="24"/>
                <w:szCs w:val="24"/>
              </w:rPr>
            </w:pPr>
            <w:r>
              <w:rPr>
                <w:sz w:val="24"/>
                <w:szCs w:val="24"/>
              </w:rPr>
              <w:t>160</w:t>
            </w:r>
          </w:p>
        </w:tc>
      </w:tr>
      <w:tr w:rsidR="007E27CB">
        <w:trPr>
          <w:trHeight w:val="20"/>
        </w:trPr>
        <w:tc>
          <w:tcPr>
            <w:tcW w:w="4253" w:type="dxa"/>
            <w:vMerge/>
            <w:shd w:val="clear" w:color="auto" w:fill="auto"/>
            <w:vAlign w:val="center"/>
          </w:tcPr>
          <w:p w:rsidR="007E27CB" w:rsidRDefault="007E27CB">
            <w:pPr>
              <w:spacing w:after="0" w:line="240" w:lineRule="auto"/>
              <w:jc w:val="center"/>
              <w:rPr>
                <w:sz w:val="24"/>
                <w:szCs w:val="24"/>
              </w:rPr>
            </w:pPr>
          </w:p>
        </w:tc>
        <w:tc>
          <w:tcPr>
            <w:tcW w:w="1559" w:type="dxa"/>
            <w:vMerge w:val="restart"/>
            <w:shd w:val="clear" w:color="auto" w:fill="auto"/>
            <w:vAlign w:val="center"/>
          </w:tcPr>
          <w:p w:rsidR="007E27CB" w:rsidRDefault="008F141F">
            <w:pPr>
              <w:spacing w:after="0" w:line="240" w:lineRule="auto"/>
              <w:jc w:val="center"/>
              <w:rPr>
                <w:sz w:val="24"/>
                <w:szCs w:val="24"/>
                <w:vertAlign w:val="superscript"/>
              </w:rPr>
            </w:pPr>
            <w:r>
              <w:rPr>
                <w:sz w:val="24"/>
                <w:szCs w:val="24"/>
              </w:rPr>
              <w:t>в % к пред. году</w:t>
            </w:r>
          </w:p>
        </w:tc>
        <w:tc>
          <w:tcPr>
            <w:tcW w:w="1169" w:type="dxa"/>
            <w:gridSpan w:val="2"/>
          </w:tcPr>
          <w:p w:rsidR="007E27CB" w:rsidRDefault="008F141F">
            <w:pPr>
              <w:spacing w:after="0" w:line="240" w:lineRule="auto"/>
              <w:jc w:val="center"/>
              <w:rPr>
                <w:sz w:val="24"/>
                <w:szCs w:val="24"/>
              </w:rPr>
            </w:pPr>
            <w:r>
              <w:rPr>
                <w:sz w:val="24"/>
                <w:szCs w:val="24"/>
              </w:rPr>
              <w:t>79,2</w:t>
            </w:r>
          </w:p>
        </w:tc>
        <w:tc>
          <w:tcPr>
            <w:tcW w:w="1170" w:type="dxa"/>
          </w:tcPr>
          <w:p w:rsidR="007E27CB" w:rsidRDefault="008F141F">
            <w:pPr>
              <w:spacing w:after="0" w:line="240" w:lineRule="auto"/>
              <w:jc w:val="center"/>
              <w:rPr>
                <w:sz w:val="24"/>
                <w:szCs w:val="24"/>
              </w:rPr>
            </w:pPr>
            <w:r>
              <w:rPr>
                <w:sz w:val="24"/>
                <w:szCs w:val="24"/>
              </w:rPr>
              <w:t>87,1</w:t>
            </w:r>
          </w:p>
        </w:tc>
        <w:tc>
          <w:tcPr>
            <w:tcW w:w="1169" w:type="dxa"/>
          </w:tcPr>
          <w:p w:rsidR="007E27CB" w:rsidRDefault="008F141F">
            <w:pPr>
              <w:spacing w:after="0" w:line="240" w:lineRule="auto"/>
              <w:jc w:val="center"/>
              <w:rPr>
                <w:sz w:val="24"/>
                <w:szCs w:val="24"/>
              </w:rPr>
            </w:pPr>
            <w:r>
              <w:rPr>
                <w:sz w:val="24"/>
                <w:szCs w:val="24"/>
              </w:rPr>
              <w:t>121,7</w:t>
            </w:r>
          </w:p>
        </w:tc>
        <w:tc>
          <w:tcPr>
            <w:tcW w:w="1170" w:type="dxa"/>
            <w:vAlign w:val="center"/>
          </w:tcPr>
          <w:p w:rsidR="007E27CB" w:rsidRDefault="008F141F">
            <w:pPr>
              <w:spacing w:after="0" w:line="240" w:lineRule="auto"/>
              <w:jc w:val="center"/>
              <w:rPr>
                <w:sz w:val="24"/>
                <w:szCs w:val="24"/>
              </w:rPr>
            </w:pPr>
            <w:r>
              <w:rPr>
                <w:sz w:val="24"/>
                <w:szCs w:val="24"/>
              </w:rPr>
              <w:t>97,2</w:t>
            </w:r>
          </w:p>
        </w:tc>
      </w:tr>
      <w:tr w:rsidR="007E27CB">
        <w:trPr>
          <w:trHeight w:val="20"/>
        </w:trPr>
        <w:tc>
          <w:tcPr>
            <w:tcW w:w="4253" w:type="dxa"/>
            <w:shd w:val="clear" w:color="auto" w:fill="auto"/>
            <w:vAlign w:val="center"/>
          </w:tcPr>
          <w:p w:rsidR="007E27CB" w:rsidRDefault="008F141F">
            <w:pPr>
              <w:spacing w:after="0" w:line="240" w:lineRule="auto"/>
              <w:jc w:val="center"/>
              <w:rPr>
                <w:sz w:val="24"/>
                <w:szCs w:val="24"/>
              </w:rPr>
            </w:pPr>
            <w:r>
              <w:rPr>
                <w:sz w:val="24"/>
                <w:szCs w:val="24"/>
              </w:rPr>
              <w:t>СФО</w:t>
            </w:r>
          </w:p>
        </w:tc>
        <w:tc>
          <w:tcPr>
            <w:tcW w:w="1559" w:type="dxa"/>
            <w:vMerge/>
            <w:shd w:val="clear" w:color="auto" w:fill="auto"/>
            <w:vAlign w:val="center"/>
          </w:tcPr>
          <w:p w:rsidR="007E27CB" w:rsidRDefault="007E27CB">
            <w:pPr>
              <w:spacing w:after="0" w:line="240" w:lineRule="auto"/>
              <w:jc w:val="center"/>
              <w:rPr>
                <w:sz w:val="24"/>
                <w:szCs w:val="24"/>
                <w:vertAlign w:val="superscript"/>
              </w:rPr>
            </w:pPr>
          </w:p>
        </w:tc>
        <w:tc>
          <w:tcPr>
            <w:tcW w:w="1169" w:type="dxa"/>
            <w:gridSpan w:val="2"/>
          </w:tcPr>
          <w:p w:rsidR="007E27CB" w:rsidRDefault="008F141F">
            <w:pPr>
              <w:spacing w:after="0" w:line="240" w:lineRule="auto"/>
              <w:jc w:val="center"/>
              <w:rPr>
                <w:color w:val="C00000"/>
                <w:sz w:val="24"/>
                <w:szCs w:val="24"/>
              </w:rPr>
            </w:pPr>
            <w:r>
              <w:rPr>
                <w:sz w:val="24"/>
                <w:szCs w:val="24"/>
              </w:rPr>
              <w:t>92,9</w:t>
            </w:r>
          </w:p>
        </w:tc>
        <w:tc>
          <w:tcPr>
            <w:tcW w:w="1170" w:type="dxa"/>
          </w:tcPr>
          <w:p w:rsidR="007E27CB" w:rsidRDefault="008F141F">
            <w:pPr>
              <w:spacing w:after="0" w:line="240" w:lineRule="auto"/>
              <w:jc w:val="center"/>
              <w:rPr>
                <w:color w:val="C00000"/>
                <w:sz w:val="24"/>
                <w:szCs w:val="24"/>
              </w:rPr>
            </w:pPr>
            <w:r>
              <w:rPr>
                <w:sz w:val="24"/>
                <w:szCs w:val="24"/>
              </w:rPr>
              <w:t>89,8</w:t>
            </w:r>
          </w:p>
        </w:tc>
        <w:tc>
          <w:tcPr>
            <w:tcW w:w="1169" w:type="dxa"/>
          </w:tcPr>
          <w:p w:rsidR="007E27CB" w:rsidRDefault="008F141F">
            <w:pPr>
              <w:spacing w:after="0" w:line="240" w:lineRule="auto"/>
              <w:jc w:val="center"/>
              <w:rPr>
                <w:color w:val="C00000"/>
                <w:sz w:val="24"/>
                <w:szCs w:val="24"/>
              </w:rPr>
            </w:pPr>
            <w:r>
              <w:rPr>
                <w:sz w:val="24"/>
                <w:szCs w:val="24"/>
              </w:rPr>
              <w:t>105,9</w:t>
            </w:r>
          </w:p>
        </w:tc>
        <w:tc>
          <w:tcPr>
            <w:tcW w:w="1170" w:type="dxa"/>
            <w:vAlign w:val="center"/>
          </w:tcPr>
          <w:p w:rsidR="007E27CB" w:rsidRDefault="008F141F">
            <w:pPr>
              <w:spacing w:after="0" w:line="240" w:lineRule="auto"/>
              <w:jc w:val="center"/>
              <w:rPr>
                <w:sz w:val="24"/>
                <w:szCs w:val="24"/>
              </w:rPr>
            </w:pPr>
            <w:r>
              <w:rPr>
                <w:sz w:val="24"/>
                <w:szCs w:val="24"/>
              </w:rPr>
              <w:t>70,5</w:t>
            </w:r>
          </w:p>
        </w:tc>
      </w:tr>
      <w:tr w:rsidR="007E27CB">
        <w:trPr>
          <w:trHeight w:val="20"/>
        </w:trPr>
        <w:tc>
          <w:tcPr>
            <w:tcW w:w="4253" w:type="dxa"/>
            <w:tcBorders>
              <w:bottom w:val="single" w:sz="4" w:space="0" w:color="auto"/>
            </w:tcBorders>
            <w:shd w:val="clear" w:color="auto" w:fill="auto"/>
            <w:vAlign w:val="center"/>
          </w:tcPr>
          <w:p w:rsidR="007E27CB" w:rsidRDefault="008F141F">
            <w:pPr>
              <w:spacing w:after="0" w:line="240" w:lineRule="auto"/>
              <w:jc w:val="center"/>
              <w:rPr>
                <w:sz w:val="24"/>
                <w:szCs w:val="24"/>
              </w:rPr>
            </w:pPr>
            <w:r>
              <w:rPr>
                <w:sz w:val="24"/>
                <w:szCs w:val="24"/>
              </w:rPr>
              <w:t>Россия</w:t>
            </w:r>
          </w:p>
        </w:tc>
        <w:tc>
          <w:tcPr>
            <w:tcW w:w="1559" w:type="dxa"/>
            <w:vMerge/>
            <w:tcBorders>
              <w:bottom w:val="single" w:sz="4" w:space="0" w:color="auto"/>
            </w:tcBorders>
            <w:shd w:val="clear" w:color="auto" w:fill="auto"/>
            <w:vAlign w:val="center"/>
          </w:tcPr>
          <w:p w:rsidR="007E27CB" w:rsidRDefault="007E27CB">
            <w:pPr>
              <w:spacing w:after="0" w:line="240" w:lineRule="auto"/>
              <w:jc w:val="center"/>
              <w:rPr>
                <w:sz w:val="24"/>
                <w:szCs w:val="24"/>
                <w:vertAlign w:val="superscript"/>
              </w:rPr>
            </w:pPr>
          </w:p>
        </w:tc>
        <w:tc>
          <w:tcPr>
            <w:tcW w:w="1169" w:type="dxa"/>
            <w:gridSpan w:val="2"/>
            <w:tcBorders>
              <w:bottom w:val="single" w:sz="4" w:space="0" w:color="auto"/>
            </w:tcBorders>
          </w:tcPr>
          <w:p w:rsidR="007E27CB" w:rsidRDefault="008F141F">
            <w:pPr>
              <w:spacing w:after="0" w:line="240" w:lineRule="auto"/>
              <w:jc w:val="center"/>
              <w:rPr>
                <w:sz w:val="24"/>
                <w:szCs w:val="24"/>
              </w:rPr>
            </w:pPr>
            <w:r>
              <w:rPr>
                <w:sz w:val="24"/>
                <w:szCs w:val="24"/>
              </w:rPr>
              <w:t>98,8</w:t>
            </w:r>
          </w:p>
        </w:tc>
        <w:tc>
          <w:tcPr>
            <w:tcW w:w="1170" w:type="dxa"/>
            <w:tcBorders>
              <w:bottom w:val="single" w:sz="4" w:space="0" w:color="auto"/>
            </w:tcBorders>
          </w:tcPr>
          <w:p w:rsidR="007E27CB" w:rsidRDefault="008F141F">
            <w:pPr>
              <w:spacing w:after="0" w:line="240" w:lineRule="auto"/>
              <w:jc w:val="center"/>
              <w:rPr>
                <w:sz w:val="24"/>
                <w:szCs w:val="24"/>
              </w:rPr>
            </w:pPr>
            <w:r>
              <w:rPr>
                <w:sz w:val="24"/>
                <w:szCs w:val="24"/>
              </w:rPr>
              <w:t>106,3</w:t>
            </w:r>
          </w:p>
        </w:tc>
        <w:tc>
          <w:tcPr>
            <w:tcW w:w="1169" w:type="dxa"/>
            <w:tcBorders>
              <w:bottom w:val="single" w:sz="4" w:space="0" w:color="auto"/>
            </w:tcBorders>
          </w:tcPr>
          <w:p w:rsidR="007E27CB" w:rsidRDefault="008F141F">
            <w:pPr>
              <w:spacing w:after="0" w:line="240" w:lineRule="auto"/>
              <w:jc w:val="center"/>
              <w:rPr>
                <w:color w:val="C00000"/>
                <w:sz w:val="24"/>
                <w:szCs w:val="24"/>
              </w:rPr>
            </w:pPr>
            <w:r>
              <w:rPr>
                <w:sz w:val="24"/>
                <w:szCs w:val="24"/>
              </w:rPr>
              <w:t>100,6</w:t>
            </w:r>
          </w:p>
        </w:tc>
        <w:tc>
          <w:tcPr>
            <w:tcW w:w="1170" w:type="dxa"/>
            <w:tcBorders>
              <w:bottom w:val="single" w:sz="4" w:space="0" w:color="auto"/>
            </w:tcBorders>
            <w:vAlign w:val="center"/>
          </w:tcPr>
          <w:p w:rsidR="007E27CB" w:rsidRDefault="008F141F">
            <w:pPr>
              <w:spacing w:after="0" w:line="240" w:lineRule="auto"/>
              <w:jc w:val="center"/>
              <w:rPr>
                <w:sz w:val="24"/>
                <w:szCs w:val="24"/>
              </w:rPr>
            </w:pPr>
            <w:r>
              <w:rPr>
                <w:sz w:val="24"/>
                <w:szCs w:val="24"/>
              </w:rPr>
              <w:t>97,1</w:t>
            </w:r>
          </w:p>
        </w:tc>
      </w:tr>
      <w:tr w:rsidR="007E27CB">
        <w:trPr>
          <w:trHeight w:val="20"/>
        </w:trPr>
        <w:tc>
          <w:tcPr>
            <w:tcW w:w="10490" w:type="dxa"/>
            <w:gridSpan w:val="7"/>
            <w:shd w:val="clear" w:color="auto" w:fill="F2F2F2" w:themeFill="background1" w:themeFillShade="F2"/>
            <w:vAlign w:val="center"/>
          </w:tcPr>
          <w:p w:rsidR="007E27CB" w:rsidRDefault="008F141F">
            <w:pPr>
              <w:spacing w:after="0" w:line="240" w:lineRule="auto"/>
              <w:jc w:val="center"/>
              <w:rPr>
                <w:b/>
                <w:sz w:val="24"/>
                <w:szCs w:val="24"/>
              </w:rPr>
            </w:pPr>
            <w:r>
              <w:rPr>
                <w:b/>
                <w:sz w:val="24"/>
                <w:szCs w:val="24"/>
              </w:rPr>
              <w:t>Ввод в действие жилых домов</w:t>
            </w:r>
          </w:p>
        </w:tc>
      </w:tr>
      <w:tr w:rsidR="007E27CB">
        <w:trPr>
          <w:trHeight w:val="20"/>
        </w:trPr>
        <w:tc>
          <w:tcPr>
            <w:tcW w:w="4253" w:type="dxa"/>
            <w:shd w:val="clear" w:color="auto" w:fill="auto"/>
            <w:vAlign w:val="center"/>
          </w:tcPr>
          <w:p w:rsidR="007E27CB" w:rsidRDefault="008F141F">
            <w:pPr>
              <w:spacing w:after="0" w:line="240" w:lineRule="auto"/>
              <w:jc w:val="center"/>
              <w:rPr>
                <w:sz w:val="24"/>
                <w:szCs w:val="24"/>
              </w:rPr>
            </w:pPr>
            <w:r>
              <w:rPr>
                <w:sz w:val="24"/>
                <w:szCs w:val="24"/>
              </w:rPr>
              <w:t>Томская область</w:t>
            </w:r>
          </w:p>
        </w:tc>
        <w:tc>
          <w:tcPr>
            <w:tcW w:w="1559" w:type="dxa"/>
            <w:vMerge w:val="restart"/>
            <w:shd w:val="clear" w:color="auto" w:fill="auto"/>
            <w:vAlign w:val="center"/>
          </w:tcPr>
          <w:p w:rsidR="007E27CB" w:rsidRDefault="008F141F">
            <w:pPr>
              <w:spacing w:after="0" w:line="240" w:lineRule="auto"/>
              <w:jc w:val="center"/>
              <w:rPr>
                <w:sz w:val="24"/>
                <w:szCs w:val="24"/>
              </w:rPr>
            </w:pPr>
            <w:r>
              <w:rPr>
                <w:sz w:val="24"/>
                <w:szCs w:val="24"/>
              </w:rPr>
              <w:t>тыс. кв. м</w:t>
            </w:r>
          </w:p>
        </w:tc>
        <w:tc>
          <w:tcPr>
            <w:tcW w:w="1169" w:type="dxa"/>
            <w:gridSpan w:val="2"/>
          </w:tcPr>
          <w:p w:rsidR="007E27CB" w:rsidRDefault="008F141F">
            <w:pPr>
              <w:spacing w:after="0" w:line="240" w:lineRule="auto"/>
              <w:jc w:val="center"/>
              <w:rPr>
                <w:color w:val="C00000"/>
                <w:sz w:val="24"/>
                <w:szCs w:val="24"/>
              </w:rPr>
            </w:pPr>
            <w:r>
              <w:rPr>
                <w:sz w:val="24"/>
                <w:szCs w:val="24"/>
              </w:rPr>
              <w:t>477,6</w:t>
            </w:r>
          </w:p>
        </w:tc>
        <w:tc>
          <w:tcPr>
            <w:tcW w:w="1170" w:type="dxa"/>
          </w:tcPr>
          <w:p w:rsidR="007E27CB" w:rsidRDefault="008F141F">
            <w:pPr>
              <w:spacing w:after="0" w:line="240" w:lineRule="auto"/>
              <w:jc w:val="center"/>
              <w:rPr>
                <w:color w:val="C00000"/>
                <w:sz w:val="24"/>
                <w:szCs w:val="24"/>
              </w:rPr>
            </w:pPr>
            <w:r>
              <w:rPr>
                <w:sz w:val="24"/>
                <w:szCs w:val="24"/>
              </w:rPr>
              <w:t>436,9</w:t>
            </w:r>
          </w:p>
        </w:tc>
        <w:tc>
          <w:tcPr>
            <w:tcW w:w="1169" w:type="dxa"/>
          </w:tcPr>
          <w:p w:rsidR="007E27CB" w:rsidRDefault="008F141F">
            <w:pPr>
              <w:spacing w:after="0" w:line="240" w:lineRule="auto"/>
              <w:jc w:val="center"/>
              <w:rPr>
                <w:sz w:val="24"/>
                <w:szCs w:val="24"/>
                <w:lang w:val="en-US"/>
              </w:rPr>
            </w:pPr>
            <w:r>
              <w:rPr>
                <w:sz w:val="24"/>
                <w:szCs w:val="24"/>
                <w:lang w:val="en-US"/>
              </w:rPr>
              <w:t>43</w:t>
            </w:r>
            <w:r>
              <w:rPr>
                <w:sz w:val="24"/>
                <w:szCs w:val="24"/>
              </w:rPr>
              <w:t>6</w:t>
            </w:r>
            <w:r>
              <w:rPr>
                <w:sz w:val="24"/>
                <w:szCs w:val="24"/>
                <w:lang w:val="en-US"/>
              </w:rPr>
              <w:t>,</w:t>
            </w:r>
            <w:r>
              <w:rPr>
                <w:sz w:val="24"/>
                <w:szCs w:val="24"/>
              </w:rPr>
              <w:t>7</w:t>
            </w:r>
            <w:r>
              <w:rPr>
                <w:bCs/>
                <w:sz w:val="24"/>
                <w:szCs w:val="24"/>
                <w:vertAlign w:val="superscript"/>
                <w:lang w:eastAsia="x-none"/>
              </w:rPr>
              <w:t>2)</w:t>
            </w:r>
            <w:r>
              <w:rPr>
                <w:bCs/>
                <w:sz w:val="24"/>
                <w:szCs w:val="24"/>
                <w:lang w:eastAsia="x-none"/>
              </w:rPr>
              <w:t> </w:t>
            </w:r>
          </w:p>
        </w:tc>
        <w:tc>
          <w:tcPr>
            <w:tcW w:w="1170" w:type="dxa"/>
          </w:tcPr>
          <w:p w:rsidR="007E27CB" w:rsidRDefault="008F141F">
            <w:pPr>
              <w:spacing w:after="0" w:line="240" w:lineRule="auto"/>
              <w:jc w:val="center"/>
              <w:rPr>
                <w:color w:val="C00000"/>
                <w:sz w:val="24"/>
                <w:szCs w:val="24"/>
              </w:rPr>
            </w:pPr>
            <w:r>
              <w:rPr>
                <w:sz w:val="24"/>
                <w:szCs w:val="24"/>
              </w:rPr>
              <w:t>82,2</w:t>
            </w:r>
          </w:p>
        </w:tc>
      </w:tr>
      <w:tr w:rsidR="007E27CB">
        <w:trPr>
          <w:trHeight w:val="20"/>
        </w:trPr>
        <w:tc>
          <w:tcPr>
            <w:tcW w:w="4253" w:type="dxa"/>
            <w:shd w:val="clear" w:color="auto" w:fill="auto"/>
            <w:vAlign w:val="center"/>
          </w:tcPr>
          <w:p w:rsidR="007E27CB" w:rsidRDefault="008F141F">
            <w:pPr>
              <w:spacing w:after="0" w:line="240" w:lineRule="auto"/>
              <w:jc w:val="center"/>
              <w:rPr>
                <w:sz w:val="24"/>
                <w:szCs w:val="24"/>
              </w:rPr>
            </w:pPr>
            <w:r>
              <w:rPr>
                <w:sz w:val="24"/>
                <w:szCs w:val="24"/>
              </w:rPr>
              <w:t>СФО</w:t>
            </w:r>
          </w:p>
        </w:tc>
        <w:tc>
          <w:tcPr>
            <w:tcW w:w="1559" w:type="dxa"/>
            <w:vMerge/>
            <w:shd w:val="clear" w:color="auto" w:fill="auto"/>
            <w:vAlign w:val="center"/>
          </w:tcPr>
          <w:p w:rsidR="007E27CB" w:rsidRDefault="007E27CB">
            <w:pPr>
              <w:spacing w:after="0" w:line="240" w:lineRule="auto"/>
              <w:jc w:val="center"/>
              <w:rPr>
                <w:sz w:val="24"/>
                <w:szCs w:val="24"/>
              </w:rPr>
            </w:pPr>
          </w:p>
        </w:tc>
        <w:tc>
          <w:tcPr>
            <w:tcW w:w="1169" w:type="dxa"/>
            <w:gridSpan w:val="2"/>
          </w:tcPr>
          <w:p w:rsidR="007E27CB" w:rsidRDefault="008F141F">
            <w:pPr>
              <w:spacing w:after="0" w:line="240" w:lineRule="auto"/>
              <w:jc w:val="center"/>
              <w:rPr>
                <w:color w:val="C00000"/>
                <w:sz w:val="24"/>
                <w:szCs w:val="24"/>
              </w:rPr>
            </w:pPr>
            <w:r>
              <w:rPr>
                <w:sz w:val="24"/>
                <w:szCs w:val="24"/>
              </w:rPr>
              <w:t>7257,0</w:t>
            </w:r>
          </w:p>
        </w:tc>
        <w:tc>
          <w:tcPr>
            <w:tcW w:w="1170" w:type="dxa"/>
          </w:tcPr>
          <w:p w:rsidR="007E27CB" w:rsidRDefault="008F141F">
            <w:pPr>
              <w:spacing w:after="0" w:line="240" w:lineRule="auto"/>
              <w:jc w:val="center"/>
              <w:rPr>
                <w:color w:val="C00000"/>
                <w:sz w:val="24"/>
                <w:szCs w:val="24"/>
              </w:rPr>
            </w:pPr>
            <w:r>
              <w:rPr>
                <w:sz w:val="24"/>
                <w:szCs w:val="24"/>
              </w:rPr>
              <w:t>6 616,4</w:t>
            </w:r>
          </w:p>
        </w:tc>
        <w:tc>
          <w:tcPr>
            <w:tcW w:w="1169" w:type="dxa"/>
          </w:tcPr>
          <w:p w:rsidR="007E27CB" w:rsidRDefault="008F141F">
            <w:pPr>
              <w:spacing w:after="0" w:line="240" w:lineRule="auto"/>
              <w:jc w:val="center"/>
              <w:rPr>
                <w:color w:val="C00000"/>
                <w:sz w:val="24"/>
                <w:szCs w:val="24"/>
              </w:rPr>
            </w:pPr>
            <w:r>
              <w:rPr>
                <w:sz w:val="24"/>
                <w:szCs w:val="24"/>
              </w:rPr>
              <w:t>6873,5</w:t>
            </w:r>
          </w:p>
        </w:tc>
        <w:tc>
          <w:tcPr>
            <w:tcW w:w="1170" w:type="dxa"/>
          </w:tcPr>
          <w:p w:rsidR="007E27CB" w:rsidRDefault="008F141F">
            <w:pPr>
              <w:spacing w:after="0" w:line="240" w:lineRule="auto"/>
              <w:jc w:val="center"/>
              <w:rPr>
                <w:sz w:val="24"/>
                <w:szCs w:val="24"/>
              </w:rPr>
            </w:pPr>
            <w:r>
              <w:rPr>
                <w:sz w:val="24"/>
                <w:szCs w:val="24"/>
              </w:rPr>
              <w:t>88,0</w:t>
            </w:r>
          </w:p>
        </w:tc>
      </w:tr>
      <w:tr w:rsidR="007E27CB">
        <w:trPr>
          <w:trHeight w:val="20"/>
        </w:trPr>
        <w:tc>
          <w:tcPr>
            <w:tcW w:w="4253" w:type="dxa"/>
            <w:tcBorders>
              <w:bottom w:val="single" w:sz="4" w:space="0" w:color="auto"/>
            </w:tcBorders>
            <w:shd w:val="clear" w:color="auto" w:fill="auto"/>
            <w:vAlign w:val="center"/>
          </w:tcPr>
          <w:p w:rsidR="007E27CB" w:rsidRDefault="008F141F">
            <w:pPr>
              <w:spacing w:after="0" w:line="240" w:lineRule="auto"/>
              <w:jc w:val="center"/>
              <w:rPr>
                <w:sz w:val="24"/>
                <w:szCs w:val="24"/>
              </w:rPr>
            </w:pPr>
            <w:r>
              <w:rPr>
                <w:sz w:val="24"/>
                <w:szCs w:val="24"/>
              </w:rPr>
              <w:t>Россия</w:t>
            </w:r>
          </w:p>
        </w:tc>
        <w:tc>
          <w:tcPr>
            <w:tcW w:w="1559" w:type="dxa"/>
            <w:tcBorders>
              <w:bottom w:val="single" w:sz="4" w:space="0" w:color="auto"/>
            </w:tcBorders>
            <w:shd w:val="clear" w:color="auto" w:fill="auto"/>
            <w:vAlign w:val="center"/>
          </w:tcPr>
          <w:p w:rsidR="007E27CB" w:rsidRDefault="008F141F">
            <w:pPr>
              <w:spacing w:after="0" w:line="240" w:lineRule="auto"/>
              <w:jc w:val="center"/>
              <w:rPr>
                <w:sz w:val="24"/>
                <w:szCs w:val="24"/>
              </w:rPr>
            </w:pPr>
            <w:r>
              <w:rPr>
                <w:sz w:val="24"/>
                <w:szCs w:val="24"/>
              </w:rPr>
              <w:t xml:space="preserve">млн. кв. м </w:t>
            </w:r>
          </w:p>
        </w:tc>
        <w:tc>
          <w:tcPr>
            <w:tcW w:w="1169" w:type="dxa"/>
            <w:gridSpan w:val="2"/>
            <w:tcBorders>
              <w:bottom w:val="single" w:sz="4" w:space="0" w:color="auto"/>
            </w:tcBorders>
          </w:tcPr>
          <w:p w:rsidR="007E27CB" w:rsidRDefault="008F141F">
            <w:pPr>
              <w:spacing w:after="0" w:line="240" w:lineRule="auto"/>
              <w:jc w:val="center"/>
              <w:rPr>
                <w:sz w:val="24"/>
                <w:szCs w:val="24"/>
              </w:rPr>
            </w:pPr>
            <w:r>
              <w:rPr>
                <w:sz w:val="24"/>
                <w:szCs w:val="24"/>
              </w:rPr>
              <w:t>79,2</w:t>
            </w:r>
          </w:p>
        </w:tc>
        <w:tc>
          <w:tcPr>
            <w:tcW w:w="1170" w:type="dxa"/>
            <w:tcBorders>
              <w:bottom w:val="single" w:sz="4" w:space="0" w:color="auto"/>
            </w:tcBorders>
          </w:tcPr>
          <w:p w:rsidR="007E27CB" w:rsidRDefault="008F141F">
            <w:pPr>
              <w:spacing w:after="0" w:line="240" w:lineRule="auto"/>
              <w:jc w:val="center"/>
              <w:rPr>
                <w:sz w:val="24"/>
                <w:szCs w:val="24"/>
              </w:rPr>
            </w:pPr>
            <w:r>
              <w:rPr>
                <w:sz w:val="24"/>
                <w:szCs w:val="24"/>
              </w:rPr>
              <w:t>75,7</w:t>
            </w:r>
          </w:p>
        </w:tc>
        <w:tc>
          <w:tcPr>
            <w:tcW w:w="1169" w:type="dxa"/>
            <w:tcBorders>
              <w:bottom w:val="single" w:sz="4" w:space="0" w:color="auto"/>
            </w:tcBorders>
          </w:tcPr>
          <w:p w:rsidR="007E27CB" w:rsidRDefault="008F141F">
            <w:pPr>
              <w:spacing w:after="0" w:line="240" w:lineRule="auto"/>
              <w:jc w:val="center"/>
              <w:rPr>
                <w:sz w:val="24"/>
                <w:szCs w:val="24"/>
              </w:rPr>
            </w:pPr>
            <w:r>
              <w:rPr>
                <w:sz w:val="24"/>
                <w:szCs w:val="24"/>
              </w:rPr>
              <w:t>80,3</w:t>
            </w:r>
          </w:p>
        </w:tc>
        <w:tc>
          <w:tcPr>
            <w:tcW w:w="1170" w:type="dxa"/>
            <w:tcBorders>
              <w:bottom w:val="single" w:sz="4" w:space="0" w:color="auto"/>
            </w:tcBorders>
          </w:tcPr>
          <w:p w:rsidR="007E27CB" w:rsidRDefault="008F141F">
            <w:pPr>
              <w:spacing w:after="0" w:line="240" w:lineRule="auto"/>
              <w:jc w:val="center"/>
              <w:rPr>
                <w:sz w:val="24"/>
                <w:szCs w:val="24"/>
              </w:rPr>
            </w:pPr>
            <w:r>
              <w:rPr>
                <w:sz w:val="24"/>
                <w:szCs w:val="24"/>
              </w:rPr>
              <w:t>113,9</w:t>
            </w:r>
          </w:p>
        </w:tc>
      </w:tr>
      <w:tr w:rsidR="007E27CB">
        <w:trPr>
          <w:trHeight w:val="20"/>
        </w:trPr>
        <w:tc>
          <w:tcPr>
            <w:tcW w:w="10490" w:type="dxa"/>
            <w:gridSpan w:val="7"/>
            <w:shd w:val="clear" w:color="auto" w:fill="F2F2F2" w:themeFill="background1" w:themeFillShade="F2"/>
            <w:vAlign w:val="center"/>
          </w:tcPr>
          <w:p w:rsidR="007E27CB" w:rsidRDefault="008F141F">
            <w:pPr>
              <w:spacing w:after="0" w:line="240" w:lineRule="auto"/>
              <w:jc w:val="center"/>
              <w:rPr>
                <w:b/>
                <w:sz w:val="24"/>
                <w:szCs w:val="24"/>
              </w:rPr>
            </w:pPr>
            <w:r>
              <w:rPr>
                <w:b/>
                <w:sz w:val="24"/>
                <w:szCs w:val="24"/>
              </w:rPr>
              <w:t>Инвестиции</w:t>
            </w:r>
          </w:p>
        </w:tc>
      </w:tr>
      <w:tr w:rsidR="007E27CB">
        <w:trPr>
          <w:trHeight w:val="20"/>
        </w:trPr>
        <w:tc>
          <w:tcPr>
            <w:tcW w:w="4253" w:type="dxa"/>
            <w:vMerge w:val="restart"/>
            <w:shd w:val="clear" w:color="auto" w:fill="auto"/>
            <w:vAlign w:val="center"/>
          </w:tcPr>
          <w:p w:rsidR="007E27CB" w:rsidRDefault="008F141F">
            <w:pPr>
              <w:spacing w:after="0" w:line="240" w:lineRule="auto"/>
              <w:jc w:val="center"/>
              <w:rPr>
                <w:sz w:val="24"/>
                <w:szCs w:val="24"/>
              </w:rPr>
            </w:pPr>
            <w:r>
              <w:rPr>
                <w:sz w:val="24"/>
                <w:szCs w:val="24"/>
              </w:rPr>
              <w:t>Томская область</w:t>
            </w:r>
          </w:p>
        </w:tc>
        <w:tc>
          <w:tcPr>
            <w:tcW w:w="1559" w:type="dxa"/>
            <w:shd w:val="clear" w:color="auto" w:fill="auto"/>
            <w:vAlign w:val="center"/>
          </w:tcPr>
          <w:p w:rsidR="007E27CB" w:rsidRDefault="008F141F">
            <w:pPr>
              <w:spacing w:after="0" w:line="240" w:lineRule="auto"/>
              <w:jc w:val="center"/>
              <w:rPr>
                <w:i/>
                <w:sz w:val="24"/>
                <w:szCs w:val="24"/>
              </w:rPr>
            </w:pPr>
            <w:r>
              <w:rPr>
                <w:sz w:val="24"/>
                <w:szCs w:val="24"/>
              </w:rPr>
              <w:t>млрд. рублей</w:t>
            </w:r>
          </w:p>
        </w:tc>
        <w:tc>
          <w:tcPr>
            <w:tcW w:w="1169" w:type="dxa"/>
            <w:gridSpan w:val="2"/>
          </w:tcPr>
          <w:p w:rsidR="007E27CB" w:rsidRDefault="008F141F">
            <w:pPr>
              <w:spacing w:after="0" w:line="240" w:lineRule="auto"/>
              <w:jc w:val="center"/>
              <w:rPr>
                <w:color w:val="C00000"/>
                <w:sz w:val="24"/>
                <w:szCs w:val="24"/>
              </w:rPr>
            </w:pPr>
            <w:r>
              <w:rPr>
                <w:sz w:val="24"/>
                <w:szCs w:val="24"/>
              </w:rPr>
              <w:t>98,5</w:t>
            </w:r>
          </w:p>
        </w:tc>
        <w:tc>
          <w:tcPr>
            <w:tcW w:w="1170" w:type="dxa"/>
          </w:tcPr>
          <w:p w:rsidR="007E27CB" w:rsidRDefault="008F141F">
            <w:pPr>
              <w:spacing w:after="0" w:line="240" w:lineRule="auto"/>
              <w:jc w:val="center"/>
              <w:rPr>
                <w:sz w:val="24"/>
                <w:szCs w:val="24"/>
              </w:rPr>
            </w:pPr>
            <w:r>
              <w:rPr>
                <w:sz w:val="24"/>
                <w:szCs w:val="24"/>
              </w:rPr>
              <w:t>96,2</w:t>
            </w:r>
          </w:p>
        </w:tc>
        <w:tc>
          <w:tcPr>
            <w:tcW w:w="1169" w:type="dxa"/>
          </w:tcPr>
          <w:p w:rsidR="007E27CB" w:rsidRDefault="008F141F">
            <w:pPr>
              <w:spacing w:after="0" w:line="240" w:lineRule="auto"/>
              <w:jc w:val="center"/>
              <w:rPr>
                <w:sz w:val="24"/>
                <w:szCs w:val="24"/>
              </w:rPr>
            </w:pPr>
            <w:r>
              <w:rPr>
                <w:sz w:val="24"/>
                <w:szCs w:val="24"/>
              </w:rPr>
              <w:t>96,2</w:t>
            </w:r>
          </w:p>
        </w:tc>
        <w:tc>
          <w:tcPr>
            <w:tcW w:w="1170" w:type="dxa"/>
            <w:vAlign w:val="center"/>
          </w:tcPr>
          <w:p w:rsidR="007E27CB" w:rsidRDefault="008F141F">
            <w:pPr>
              <w:tabs>
                <w:tab w:val="left" w:pos="1222"/>
              </w:tabs>
              <w:spacing w:after="0" w:line="240" w:lineRule="auto"/>
              <w:ind w:left="-38" w:right="-40" w:hanging="32"/>
              <w:jc w:val="center"/>
              <w:rPr>
                <w:sz w:val="24"/>
                <w:szCs w:val="24"/>
              </w:rPr>
            </w:pPr>
            <w:r>
              <w:rPr>
                <w:sz w:val="24"/>
                <w:szCs w:val="24"/>
              </w:rPr>
              <w:t>93,7</w:t>
            </w:r>
          </w:p>
        </w:tc>
      </w:tr>
      <w:tr w:rsidR="007E27CB">
        <w:trPr>
          <w:trHeight w:val="20"/>
        </w:trPr>
        <w:tc>
          <w:tcPr>
            <w:tcW w:w="4253" w:type="dxa"/>
            <w:vMerge/>
            <w:shd w:val="clear" w:color="auto" w:fill="auto"/>
            <w:vAlign w:val="center"/>
          </w:tcPr>
          <w:p w:rsidR="007E27CB" w:rsidRDefault="007E27CB">
            <w:pPr>
              <w:spacing w:after="0" w:line="240" w:lineRule="auto"/>
              <w:jc w:val="center"/>
              <w:rPr>
                <w:sz w:val="24"/>
                <w:szCs w:val="24"/>
              </w:rPr>
            </w:pPr>
          </w:p>
        </w:tc>
        <w:tc>
          <w:tcPr>
            <w:tcW w:w="1559" w:type="dxa"/>
            <w:vMerge w:val="restart"/>
            <w:shd w:val="clear" w:color="auto" w:fill="auto"/>
            <w:vAlign w:val="center"/>
          </w:tcPr>
          <w:p w:rsidR="007E27CB" w:rsidRDefault="008F141F">
            <w:pPr>
              <w:spacing w:after="0" w:line="240" w:lineRule="auto"/>
              <w:jc w:val="center"/>
              <w:rPr>
                <w:sz w:val="24"/>
                <w:szCs w:val="24"/>
                <w:vertAlign w:val="superscript"/>
              </w:rPr>
            </w:pPr>
            <w:r>
              <w:rPr>
                <w:sz w:val="24"/>
                <w:szCs w:val="24"/>
              </w:rPr>
              <w:t>в % к пред. году</w:t>
            </w:r>
          </w:p>
        </w:tc>
        <w:tc>
          <w:tcPr>
            <w:tcW w:w="1169" w:type="dxa"/>
            <w:gridSpan w:val="2"/>
          </w:tcPr>
          <w:p w:rsidR="007E27CB" w:rsidRDefault="008F141F">
            <w:pPr>
              <w:spacing w:after="0" w:line="240" w:lineRule="auto"/>
              <w:jc w:val="center"/>
              <w:rPr>
                <w:color w:val="C00000"/>
                <w:sz w:val="24"/>
                <w:szCs w:val="24"/>
              </w:rPr>
            </w:pPr>
            <w:r>
              <w:rPr>
                <w:sz w:val="24"/>
                <w:szCs w:val="24"/>
              </w:rPr>
              <w:t>87,1</w:t>
            </w:r>
          </w:p>
        </w:tc>
        <w:tc>
          <w:tcPr>
            <w:tcW w:w="1170" w:type="dxa"/>
          </w:tcPr>
          <w:p w:rsidR="007E27CB" w:rsidRDefault="008F141F">
            <w:pPr>
              <w:spacing w:after="0" w:line="240" w:lineRule="auto"/>
              <w:jc w:val="center"/>
              <w:rPr>
                <w:sz w:val="24"/>
                <w:szCs w:val="24"/>
              </w:rPr>
            </w:pPr>
            <w:r>
              <w:rPr>
                <w:sz w:val="24"/>
                <w:szCs w:val="24"/>
              </w:rPr>
              <w:t>91,8</w:t>
            </w:r>
          </w:p>
        </w:tc>
        <w:tc>
          <w:tcPr>
            <w:tcW w:w="1169" w:type="dxa"/>
          </w:tcPr>
          <w:p w:rsidR="007E27CB" w:rsidRDefault="008F141F">
            <w:pPr>
              <w:spacing w:after="0" w:line="240" w:lineRule="auto"/>
              <w:jc w:val="center"/>
              <w:rPr>
                <w:sz w:val="24"/>
                <w:szCs w:val="24"/>
              </w:rPr>
            </w:pPr>
            <w:r>
              <w:rPr>
                <w:sz w:val="24"/>
                <w:szCs w:val="24"/>
              </w:rPr>
              <w:t>96,8</w:t>
            </w:r>
          </w:p>
        </w:tc>
        <w:tc>
          <w:tcPr>
            <w:tcW w:w="1170" w:type="dxa"/>
            <w:vAlign w:val="center"/>
          </w:tcPr>
          <w:p w:rsidR="007E27CB" w:rsidRDefault="008F141F">
            <w:pPr>
              <w:tabs>
                <w:tab w:val="left" w:pos="1222"/>
              </w:tabs>
              <w:spacing w:after="0" w:line="240" w:lineRule="auto"/>
              <w:ind w:left="-38" w:right="-40" w:hanging="32"/>
              <w:jc w:val="center"/>
              <w:rPr>
                <w:sz w:val="24"/>
                <w:szCs w:val="24"/>
              </w:rPr>
            </w:pPr>
            <w:r>
              <w:rPr>
                <w:sz w:val="24"/>
                <w:szCs w:val="24"/>
              </w:rPr>
              <w:t>61,6</w:t>
            </w:r>
          </w:p>
        </w:tc>
      </w:tr>
      <w:tr w:rsidR="007E27CB">
        <w:trPr>
          <w:trHeight w:val="20"/>
        </w:trPr>
        <w:tc>
          <w:tcPr>
            <w:tcW w:w="4253" w:type="dxa"/>
            <w:shd w:val="clear" w:color="auto" w:fill="auto"/>
            <w:vAlign w:val="center"/>
          </w:tcPr>
          <w:p w:rsidR="007E27CB" w:rsidRDefault="008F141F">
            <w:pPr>
              <w:spacing w:after="0" w:line="240" w:lineRule="auto"/>
              <w:jc w:val="center"/>
              <w:rPr>
                <w:sz w:val="24"/>
                <w:szCs w:val="24"/>
              </w:rPr>
            </w:pPr>
            <w:r>
              <w:rPr>
                <w:sz w:val="24"/>
                <w:szCs w:val="24"/>
              </w:rPr>
              <w:t>СФО</w:t>
            </w:r>
          </w:p>
        </w:tc>
        <w:tc>
          <w:tcPr>
            <w:tcW w:w="1559" w:type="dxa"/>
            <w:vMerge/>
            <w:shd w:val="clear" w:color="auto" w:fill="auto"/>
            <w:vAlign w:val="center"/>
          </w:tcPr>
          <w:p w:rsidR="007E27CB" w:rsidRDefault="007E27CB">
            <w:pPr>
              <w:spacing w:after="0" w:line="240" w:lineRule="auto"/>
              <w:jc w:val="center"/>
              <w:rPr>
                <w:sz w:val="24"/>
                <w:szCs w:val="24"/>
                <w:vertAlign w:val="superscript"/>
              </w:rPr>
            </w:pPr>
          </w:p>
        </w:tc>
        <w:tc>
          <w:tcPr>
            <w:tcW w:w="1169" w:type="dxa"/>
            <w:gridSpan w:val="2"/>
          </w:tcPr>
          <w:p w:rsidR="007E27CB" w:rsidRDefault="008F141F">
            <w:pPr>
              <w:spacing w:after="0" w:line="240" w:lineRule="auto"/>
              <w:jc w:val="center"/>
              <w:rPr>
                <w:sz w:val="24"/>
                <w:szCs w:val="24"/>
              </w:rPr>
            </w:pPr>
            <w:r>
              <w:rPr>
                <w:sz w:val="24"/>
                <w:szCs w:val="24"/>
              </w:rPr>
              <w:t>102,3</w:t>
            </w:r>
          </w:p>
        </w:tc>
        <w:tc>
          <w:tcPr>
            <w:tcW w:w="1170" w:type="dxa"/>
          </w:tcPr>
          <w:p w:rsidR="007E27CB" w:rsidRDefault="008F141F">
            <w:pPr>
              <w:spacing w:after="0" w:line="240" w:lineRule="auto"/>
              <w:jc w:val="center"/>
              <w:rPr>
                <w:sz w:val="24"/>
                <w:szCs w:val="24"/>
              </w:rPr>
            </w:pPr>
            <w:r>
              <w:rPr>
                <w:sz w:val="24"/>
                <w:szCs w:val="24"/>
              </w:rPr>
              <w:t>105,4</w:t>
            </w:r>
          </w:p>
        </w:tc>
        <w:tc>
          <w:tcPr>
            <w:tcW w:w="1169" w:type="dxa"/>
            <w:shd w:val="clear" w:color="auto" w:fill="auto"/>
          </w:tcPr>
          <w:p w:rsidR="007E27CB" w:rsidRDefault="008F141F">
            <w:pPr>
              <w:spacing w:after="0" w:line="240" w:lineRule="auto"/>
              <w:jc w:val="center"/>
              <w:rPr>
                <w:i/>
                <w:color w:val="C00000"/>
                <w:sz w:val="24"/>
                <w:szCs w:val="24"/>
              </w:rPr>
            </w:pPr>
            <w:r>
              <w:rPr>
                <w:sz w:val="24"/>
                <w:szCs w:val="24"/>
              </w:rPr>
              <w:t>106,3</w:t>
            </w:r>
          </w:p>
        </w:tc>
        <w:tc>
          <w:tcPr>
            <w:tcW w:w="1170" w:type="dxa"/>
            <w:shd w:val="clear" w:color="auto" w:fill="auto"/>
            <w:vAlign w:val="center"/>
          </w:tcPr>
          <w:p w:rsidR="007E27CB" w:rsidRDefault="008F141F">
            <w:pPr>
              <w:spacing w:after="0" w:line="240" w:lineRule="auto"/>
              <w:jc w:val="center"/>
              <w:rPr>
                <w:i/>
                <w:sz w:val="24"/>
                <w:szCs w:val="24"/>
              </w:rPr>
            </w:pPr>
            <w:r>
              <w:rPr>
                <w:sz w:val="24"/>
                <w:szCs w:val="24"/>
              </w:rPr>
              <w:t>93,4</w:t>
            </w:r>
          </w:p>
        </w:tc>
      </w:tr>
      <w:tr w:rsidR="007E27CB">
        <w:trPr>
          <w:trHeight w:val="20"/>
        </w:trPr>
        <w:tc>
          <w:tcPr>
            <w:tcW w:w="4253" w:type="dxa"/>
            <w:tcBorders>
              <w:bottom w:val="single" w:sz="4" w:space="0" w:color="auto"/>
            </w:tcBorders>
            <w:shd w:val="clear" w:color="auto" w:fill="auto"/>
            <w:vAlign w:val="center"/>
          </w:tcPr>
          <w:p w:rsidR="007E27CB" w:rsidRDefault="008F141F">
            <w:pPr>
              <w:spacing w:after="0" w:line="240" w:lineRule="auto"/>
              <w:jc w:val="center"/>
              <w:rPr>
                <w:sz w:val="24"/>
                <w:szCs w:val="24"/>
              </w:rPr>
            </w:pPr>
            <w:r>
              <w:rPr>
                <w:sz w:val="24"/>
                <w:szCs w:val="24"/>
              </w:rPr>
              <w:t>Россия</w:t>
            </w:r>
          </w:p>
        </w:tc>
        <w:tc>
          <w:tcPr>
            <w:tcW w:w="1559" w:type="dxa"/>
            <w:vMerge/>
            <w:tcBorders>
              <w:bottom w:val="single" w:sz="4" w:space="0" w:color="auto"/>
            </w:tcBorders>
            <w:shd w:val="clear" w:color="auto" w:fill="auto"/>
            <w:vAlign w:val="center"/>
          </w:tcPr>
          <w:p w:rsidR="007E27CB" w:rsidRDefault="007E27CB">
            <w:pPr>
              <w:spacing w:after="0" w:line="240" w:lineRule="auto"/>
              <w:jc w:val="center"/>
              <w:rPr>
                <w:sz w:val="24"/>
                <w:szCs w:val="24"/>
                <w:vertAlign w:val="superscript"/>
              </w:rPr>
            </w:pPr>
          </w:p>
        </w:tc>
        <w:tc>
          <w:tcPr>
            <w:tcW w:w="1169" w:type="dxa"/>
            <w:gridSpan w:val="2"/>
            <w:tcBorders>
              <w:bottom w:val="single" w:sz="4" w:space="0" w:color="auto"/>
            </w:tcBorders>
          </w:tcPr>
          <w:p w:rsidR="007E27CB" w:rsidRDefault="008F141F">
            <w:pPr>
              <w:spacing w:after="0" w:line="240" w:lineRule="auto"/>
              <w:jc w:val="center"/>
              <w:rPr>
                <w:sz w:val="24"/>
                <w:szCs w:val="24"/>
              </w:rPr>
            </w:pPr>
            <w:r>
              <w:rPr>
                <w:sz w:val="24"/>
                <w:szCs w:val="24"/>
              </w:rPr>
              <w:t>104,8</w:t>
            </w:r>
          </w:p>
        </w:tc>
        <w:tc>
          <w:tcPr>
            <w:tcW w:w="1170" w:type="dxa"/>
            <w:tcBorders>
              <w:bottom w:val="single" w:sz="4" w:space="0" w:color="auto"/>
            </w:tcBorders>
          </w:tcPr>
          <w:p w:rsidR="007E27CB" w:rsidRDefault="008F141F">
            <w:pPr>
              <w:spacing w:after="0" w:line="240" w:lineRule="auto"/>
              <w:jc w:val="center"/>
              <w:rPr>
                <w:sz w:val="24"/>
                <w:szCs w:val="24"/>
              </w:rPr>
            </w:pPr>
            <w:r>
              <w:rPr>
                <w:sz w:val="24"/>
                <w:szCs w:val="24"/>
              </w:rPr>
              <w:t>105,4</w:t>
            </w:r>
          </w:p>
        </w:tc>
        <w:tc>
          <w:tcPr>
            <w:tcW w:w="1169" w:type="dxa"/>
            <w:tcBorders>
              <w:bottom w:val="single" w:sz="4" w:space="0" w:color="auto"/>
            </w:tcBorders>
            <w:shd w:val="clear" w:color="auto" w:fill="auto"/>
          </w:tcPr>
          <w:p w:rsidR="007E27CB" w:rsidRDefault="008F141F">
            <w:pPr>
              <w:spacing w:after="0" w:line="240" w:lineRule="auto"/>
              <w:jc w:val="center"/>
              <w:rPr>
                <w:i/>
                <w:color w:val="C00000"/>
                <w:sz w:val="24"/>
                <w:szCs w:val="24"/>
              </w:rPr>
            </w:pPr>
            <w:r>
              <w:rPr>
                <w:sz w:val="24"/>
                <w:szCs w:val="24"/>
              </w:rPr>
              <w:t>101,7</w:t>
            </w:r>
          </w:p>
        </w:tc>
        <w:tc>
          <w:tcPr>
            <w:tcW w:w="1170" w:type="dxa"/>
            <w:tcBorders>
              <w:bottom w:val="single" w:sz="4" w:space="0" w:color="auto"/>
            </w:tcBorders>
            <w:shd w:val="clear" w:color="auto" w:fill="auto"/>
            <w:vAlign w:val="center"/>
          </w:tcPr>
          <w:p w:rsidR="007E27CB" w:rsidRDefault="008F141F">
            <w:pPr>
              <w:tabs>
                <w:tab w:val="left" w:pos="1222"/>
              </w:tabs>
              <w:spacing w:after="0" w:line="240" w:lineRule="auto"/>
              <w:ind w:left="-38" w:right="-40" w:hanging="32"/>
              <w:jc w:val="center"/>
              <w:rPr>
                <w:i/>
                <w:color w:val="C00000"/>
                <w:sz w:val="24"/>
                <w:szCs w:val="24"/>
              </w:rPr>
            </w:pPr>
            <w:r>
              <w:rPr>
                <w:sz w:val="24"/>
                <w:szCs w:val="24"/>
              </w:rPr>
              <w:t>99,3</w:t>
            </w:r>
          </w:p>
        </w:tc>
      </w:tr>
      <w:tr w:rsidR="007E27CB">
        <w:trPr>
          <w:trHeight w:val="20"/>
        </w:trPr>
        <w:tc>
          <w:tcPr>
            <w:tcW w:w="10490" w:type="dxa"/>
            <w:gridSpan w:val="7"/>
            <w:shd w:val="clear" w:color="auto" w:fill="F2F2F2" w:themeFill="background1" w:themeFillShade="F2"/>
            <w:vAlign w:val="center"/>
          </w:tcPr>
          <w:p w:rsidR="007E27CB" w:rsidRDefault="008F141F">
            <w:pPr>
              <w:spacing w:after="0" w:line="240" w:lineRule="auto"/>
              <w:jc w:val="center"/>
              <w:rPr>
                <w:b/>
                <w:sz w:val="24"/>
                <w:szCs w:val="24"/>
              </w:rPr>
            </w:pPr>
            <w:r>
              <w:rPr>
                <w:b/>
                <w:sz w:val="24"/>
                <w:szCs w:val="24"/>
              </w:rPr>
              <w:t>Оборот розничной торговли</w:t>
            </w:r>
          </w:p>
        </w:tc>
      </w:tr>
      <w:tr w:rsidR="007E27CB">
        <w:trPr>
          <w:trHeight w:val="20"/>
        </w:trPr>
        <w:tc>
          <w:tcPr>
            <w:tcW w:w="4253" w:type="dxa"/>
            <w:vMerge w:val="restart"/>
            <w:shd w:val="clear" w:color="auto" w:fill="auto"/>
            <w:vAlign w:val="center"/>
          </w:tcPr>
          <w:p w:rsidR="007E27CB" w:rsidRDefault="008F141F">
            <w:pPr>
              <w:spacing w:after="0" w:line="240" w:lineRule="auto"/>
              <w:jc w:val="center"/>
              <w:rPr>
                <w:sz w:val="24"/>
                <w:szCs w:val="24"/>
              </w:rPr>
            </w:pPr>
            <w:r>
              <w:rPr>
                <w:sz w:val="24"/>
                <w:szCs w:val="24"/>
              </w:rPr>
              <w:t>Томская область</w:t>
            </w:r>
          </w:p>
        </w:tc>
        <w:tc>
          <w:tcPr>
            <w:tcW w:w="1559" w:type="dxa"/>
            <w:shd w:val="clear" w:color="auto" w:fill="auto"/>
            <w:vAlign w:val="center"/>
          </w:tcPr>
          <w:p w:rsidR="007E27CB" w:rsidRDefault="008F141F">
            <w:pPr>
              <w:spacing w:after="0" w:line="240" w:lineRule="auto"/>
              <w:jc w:val="center"/>
              <w:rPr>
                <w:i/>
                <w:sz w:val="24"/>
                <w:szCs w:val="24"/>
              </w:rPr>
            </w:pPr>
            <w:r>
              <w:rPr>
                <w:sz w:val="24"/>
                <w:szCs w:val="24"/>
              </w:rPr>
              <w:t>млрд. рублей</w:t>
            </w:r>
          </w:p>
        </w:tc>
        <w:tc>
          <w:tcPr>
            <w:tcW w:w="1134" w:type="dxa"/>
          </w:tcPr>
          <w:p w:rsidR="007E27CB" w:rsidRDefault="008F141F">
            <w:pPr>
              <w:spacing w:after="0" w:line="240" w:lineRule="auto"/>
              <w:jc w:val="center"/>
              <w:rPr>
                <w:sz w:val="24"/>
                <w:szCs w:val="24"/>
              </w:rPr>
            </w:pPr>
            <w:r>
              <w:rPr>
                <w:sz w:val="24"/>
                <w:szCs w:val="24"/>
              </w:rPr>
              <w:t>148,1</w:t>
            </w:r>
          </w:p>
        </w:tc>
        <w:tc>
          <w:tcPr>
            <w:tcW w:w="1205" w:type="dxa"/>
            <w:gridSpan w:val="2"/>
          </w:tcPr>
          <w:p w:rsidR="007E27CB" w:rsidRDefault="008F141F">
            <w:pPr>
              <w:spacing w:after="0" w:line="240" w:lineRule="auto"/>
              <w:jc w:val="center"/>
              <w:rPr>
                <w:sz w:val="24"/>
                <w:szCs w:val="24"/>
              </w:rPr>
            </w:pPr>
            <w:r>
              <w:rPr>
                <w:sz w:val="24"/>
                <w:szCs w:val="24"/>
              </w:rPr>
              <w:t>158,5</w:t>
            </w:r>
          </w:p>
        </w:tc>
        <w:tc>
          <w:tcPr>
            <w:tcW w:w="1169" w:type="dxa"/>
          </w:tcPr>
          <w:p w:rsidR="007E27CB" w:rsidRDefault="008F141F">
            <w:pPr>
              <w:spacing w:after="0" w:line="240" w:lineRule="auto"/>
              <w:jc w:val="center"/>
              <w:rPr>
                <w:sz w:val="24"/>
                <w:szCs w:val="24"/>
              </w:rPr>
            </w:pPr>
            <w:r>
              <w:rPr>
                <w:sz w:val="24"/>
                <w:szCs w:val="24"/>
              </w:rPr>
              <w:t>170,9</w:t>
            </w:r>
          </w:p>
        </w:tc>
        <w:tc>
          <w:tcPr>
            <w:tcW w:w="1170" w:type="dxa"/>
            <w:vAlign w:val="center"/>
          </w:tcPr>
          <w:p w:rsidR="007E27CB" w:rsidRDefault="008F141F">
            <w:pPr>
              <w:spacing w:after="0" w:line="240" w:lineRule="auto"/>
              <w:jc w:val="center"/>
              <w:rPr>
                <w:sz w:val="24"/>
                <w:szCs w:val="24"/>
              </w:rPr>
            </w:pPr>
            <w:r>
              <w:rPr>
                <w:sz w:val="24"/>
                <w:szCs w:val="24"/>
              </w:rPr>
              <w:t>144,8</w:t>
            </w:r>
          </w:p>
        </w:tc>
      </w:tr>
      <w:tr w:rsidR="007E27CB">
        <w:trPr>
          <w:trHeight w:val="20"/>
        </w:trPr>
        <w:tc>
          <w:tcPr>
            <w:tcW w:w="4253" w:type="dxa"/>
            <w:vMerge/>
            <w:shd w:val="clear" w:color="auto" w:fill="auto"/>
            <w:vAlign w:val="center"/>
          </w:tcPr>
          <w:p w:rsidR="007E27CB" w:rsidRDefault="007E27CB">
            <w:pPr>
              <w:spacing w:after="0" w:line="240" w:lineRule="auto"/>
              <w:jc w:val="center"/>
              <w:rPr>
                <w:sz w:val="24"/>
                <w:szCs w:val="24"/>
              </w:rPr>
            </w:pPr>
          </w:p>
        </w:tc>
        <w:tc>
          <w:tcPr>
            <w:tcW w:w="1559" w:type="dxa"/>
            <w:vMerge w:val="restart"/>
            <w:shd w:val="clear" w:color="auto" w:fill="auto"/>
            <w:vAlign w:val="center"/>
          </w:tcPr>
          <w:p w:rsidR="007E27CB" w:rsidRDefault="008F141F">
            <w:pPr>
              <w:spacing w:after="0" w:line="240" w:lineRule="auto"/>
              <w:jc w:val="center"/>
              <w:rPr>
                <w:sz w:val="24"/>
                <w:szCs w:val="24"/>
                <w:vertAlign w:val="superscript"/>
              </w:rPr>
            </w:pPr>
            <w:r>
              <w:rPr>
                <w:sz w:val="24"/>
                <w:szCs w:val="24"/>
              </w:rPr>
              <w:t>в % к пред. году</w:t>
            </w:r>
          </w:p>
        </w:tc>
        <w:tc>
          <w:tcPr>
            <w:tcW w:w="1134" w:type="dxa"/>
          </w:tcPr>
          <w:p w:rsidR="007E27CB" w:rsidRDefault="008F141F">
            <w:pPr>
              <w:spacing w:after="0" w:line="240" w:lineRule="auto"/>
              <w:jc w:val="center"/>
              <w:rPr>
                <w:sz w:val="24"/>
                <w:szCs w:val="24"/>
              </w:rPr>
            </w:pPr>
            <w:r>
              <w:rPr>
                <w:sz w:val="24"/>
                <w:szCs w:val="24"/>
              </w:rPr>
              <w:t>101,3</w:t>
            </w:r>
          </w:p>
        </w:tc>
        <w:tc>
          <w:tcPr>
            <w:tcW w:w="1205" w:type="dxa"/>
            <w:gridSpan w:val="2"/>
          </w:tcPr>
          <w:p w:rsidR="007E27CB" w:rsidRDefault="008F141F">
            <w:pPr>
              <w:spacing w:after="0" w:line="240" w:lineRule="auto"/>
              <w:jc w:val="center"/>
              <w:rPr>
                <w:sz w:val="24"/>
                <w:szCs w:val="24"/>
              </w:rPr>
            </w:pPr>
            <w:r>
              <w:rPr>
                <w:sz w:val="24"/>
                <w:szCs w:val="24"/>
              </w:rPr>
              <w:t>104,4</w:t>
            </w:r>
          </w:p>
        </w:tc>
        <w:tc>
          <w:tcPr>
            <w:tcW w:w="1169" w:type="dxa"/>
          </w:tcPr>
          <w:p w:rsidR="007E27CB" w:rsidRDefault="008F141F">
            <w:pPr>
              <w:spacing w:after="0" w:line="240" w:lineRule="auto"/>
              <w:jc w:val="center"/>
              <w:rPr>
                <w:color w:val="C00000"/>
                <w:sz w:val="24"/>
                <w:szCs w:val="24"/>
              </w:rPr>
            </w:pPr>
            <w:r>
              <w:rPr>
                <w:sz w:val="24"/>
                <w:szCs w:val="24"/>
              </w:rPr>
              <w:t>103,1</w:t>
            </w:r>
          </w:p>
        </w:tc>
        <w:tc>
          <w:tcPr>
            <w:tcW w:w="1170" w:type="dxa"/>
            <w:vAlign w:val="center"/>
          </w:tcPr>
          <w:p w:rsidR="007E27CB" w:rsidRDefault="008F141F">
            <w:pPr>
              <w:spacing w:after="0" w:line="240" w:lineRule="auto"/>
              <w:jc w:val="center"/>
              <w:rPr>
                <w:sz w:val="24"/>
                <w:szCs w:val="24"/>
              </w:rPr>
            </w:pPr>
            <w:r>
              <w:rPr>
                <w:sz w:val="24"/>
                <w:szCs w:val="24"/>
              </w:rPr>
              <w:t>98,7</w:t>
            </w:r>
          </w:p>
        </w:tc>
      </w:tr>
      <w:tr w:rsidR="007E27CB">
        <w:trPr>
          <w:trHeight w:val="347"/>
        </w:trPr>
        <w:tc>
          <w:tcPr>
            <w:tcW w:w="4253" w:type="dxa"/>
            <w:shd w:val="clear" w:color="auto" w:fill="auto"/>
            <w:vAlign w:val="center"/>
          </w:tcPr>
          <w:p w:rsidR="007E27CB" w:rsidRDefault="008F141F">
            <w:pPr>
              <w:spacing w:after="0" w:line="240" w:lineRule="auto"/>
              <w:jc w:val="center"/>
              <w:rPr>
                <w:sz w:val="24"/>
                <w:szCs w:val="24"/>
              </w:rPr>
            </w:pPr>
            <w:r>
              <w:rPr>
                <w:sz w:val="24"/>
                <w:szCs w:val="24"/>
              </w:rPr>
              <w:t>СФО</w:t>
            </w:r>
          </w:p>
        </w:tc>
        <w:tc>
          <w:tcPr>
            <w:tcW w:w="1559" w:type="dxa"/>
            <w:vMerge/>
            <w:shd w:val="clear" w:color="auto" w:fill="auto"/>
            <w:vAlign w:val="center"/>
          </w:tcPr>
          <w:p w:rsidR="007E27CB" w:rsidRDefault="007E27CB">
            <w:pPr>
              <w:spacing w:after="0" w:line="240" w:lineRule="auto"/>
              <w:jc w:val="center"/>
              <w:rPr>
                <w:sz w:val="24"/>
                <w:szCs w:val="24"/>
                <w:vertAlign w:val="superscript"/>
              </w:rPr>
            </w:pPr>
          </w:p>
        </w:tc>
        <w:tc>
          <w:tcPr>
            <w:tcW w:w="1134" w:type="dxa"/>
          </w:tcPr>
          <w:p w:rsidR="007E27CB" w:rsidRDefault="008F141F">
            <w:pPr>
              <w:spacing w:after="0" w:line="240" w:lineRule="auto"/>
              <w:jc w:val="center"/>
              <w:rPr>
                <w:sz w:val="24"/>
                <w:szCs w:val="24"/>
              </w:rPr>
            </w:pPr>
            <w:r>
              <w:rPr>
                <w:sz w:val="24"/>
                <w:szCs w:val="24"/>
              </w:rPr>
              <w:t>101,0</w:t>
            </w:r>
          </w:p>
        </w:tc>
        <w:tc>
          <w:tcPr>
            <w:tcW w:w="1205" w:type="dxa"/>
            <w:gridSpan w:val="2"/>
            <w:vAlign w:val="center"/>
          </w:tcPr>
          <w:p w:rsidR="007E27CB" w:rsidRDefault="008F141F">
            <w:pPr>
              <w:spacing w:after="0" w:line="240" w:lineRule="auto"/>
              <w:jc w:val="center"/>
              <w:rPr>
                <w:sz w:val="24"/>
                <w:szCs w:val="24"/>
              </w:rPr>
            </w:pPr>
            <w:r>
              <w:rPr>
                <w:sz w:val="24"/>
                <w:szCs w:val="24"/>
              </w:rPr>
              <w:t>103,1</w:t>
            </w:r>
          </w:p>
        </w:tc>
        <w:tc>
          <w:tcPr>
            <w:tcW w:w="1169" w:type="dxa"/>
            <w:vAlign w:val="center"/>
          </w:tcPr>
          <w:p w:rsidR="007E27CB" w:rsidRDefault="008F141F">
            <w:pPr>
              <w:spacing w:after="0" w:line="240" w:lineRule="auto"/>
              <w:jc w:val="center"/>
              <w:rPr>
                <w:sz w:val="24"/>
                <w:szCs w:val="24"/>
              </w:rPr>
            </w:pPr>
            <w:r>
              <w:rPr>
                <w:sz w:val="24"/>
                <w:szCs w:val="24"/>
              </w:rPr>
              <w:t>102,2</w:t>
            </w:r>
          </w:p>
        </w:tc>
        <w:tc>
          <w:tcPr>
            <w:tcW w:w="1170" w:type="dxa"/>
          </w:tcPr>
          <w:p w:rsidR="007E27CB" w:rsidRDefault="008F141F">
            <w:pPr>
              <w:spacing w:after="0" w:line="240" w:lineRule="auto"/>
              <w:jc w:val="center"/>
              <w:rPr>
                <w:sz w:val="24"/>
                <w:szCs w:val="24"/>
              </w:rPr>
            </w:pPr>
            <w:r>
              <w:rPr>
                <w:sz w:val="24"/>
                <w:szCs w:val="24"/>
              </w:rPr>
              <w:t>91,2</w:t>
            </w:r>
          </w:p>
        </w:tc>
      </w:tr>
      <w:tr w:rsidR="007E27CB">
        <w:trPr>
          <w:trHeight w:val="20"/>
        </w:trPr>
        <w:tc>
          <w:tcPr>
            <w:tcW w:w="4253" w:type="dxa"/>
            <w:tcBorders>
              <w:bottom w:val="single" w:sz="4" w:space="0" w:color="auto"/>
            </w:tcBorders>
            <w:shd w:val="clear" w:color="auto" w:fill="auto"/>
            <w:vAlign w:val="center"/>
          </w:tcPr>
          <w:p w:rsidR="007E27CB" w:rsidRDefault="008F141F">
            <w:pPr>
              <w:spacing w:after="0" w:line="240" w:lineRule="auto"/>
              <w:jc w:val="center"/>
              <w:rPr>
                <w:sz w:val="24"/>
                <w:szCs w:val="24"/>
              </w:rPr>
            </w:pPr>
            <w:r>
              <w:rPr>
                <w:sz w:val="24"/>
                <w:szCs w:val="24"/>
              </w:rPr>
              <w:t>Россия</w:t>
            </w:r>
          </w:p>
        </w:tc>
        <w:tc>
          <w:tcPr>
            <w:tcW w:w="1559" w:type="dxa"/>
            <w:vMerge/>
            <w:tcBorders>
              <w:bottom w:val="single" w:sz="4" w:space="0" w:color="auto"/>
            </w:tcBorders>
            <w:shd w:val="clear" w:color="auto" w:fill="auto"/>
            <w:vAlign w:val="center"/>
          </w:tcPr>
          <w:p w:rsidR="007E27CB" w:rsidRDefault="007E27CB">
            <w:pPr>
              <w:spacing w:after="0" w:line="240" w:lineRule="auto"/>
              <w:jc w:val="center"/>
              <w:rPr>
                <w:sz w:val="24"/>
                <w:szCs w:val="24"/>
                <w:vertAlign w:val="superscript"/>
              </w:rPr>
            </w:pPr>
          </w:p>
        </w:tc>
        <w:tc>
          <w:tcPr>
            <w:tcW w:w="1134" w:type="dxa"/>
            <w:tcBorders>
              <w:bottom w:val="single" w:sz="4" w:space="0" w:color="auto"/>
            </w:tcBorders>
          </w:tcPr>
          <w:p w:rsidR="007E27CB" w:rsidRDefault="008F141F">
            <w:pPr>
              <w:spacing w:after="0" w:line="240" w:lineRule="auto"/>
              <w:jc w:val="center"/>
              <w:rPr>
                <w:sz w:val="24"/>
                <w:szCs w:val="24"/>
              </w:rPr>
            </w:pPr>
            <w:r>
              <w:rPr>
                <w:sz w:val="24"/>
                <w:szCs w:val="24"/>
              </w:rPr>
              <w:t>101,3</w:t>
            </w:r>
          </w:p>
        </w:tc>
        <w:tc>
          <w:tcPr>
            <w:tcW w:w="1205" w:type="dxa"/>
            <w:gridSpan w:val="2"/>
            <w:tcBorders>
              <w:bottom w:val="single" w:sz="4" w:space="0" w:color="auto"/>
            </w:tcBorders>
          </w:tcPr>
          <w:p w:rsidR="007E27CB" w:rsidRDefault="008F141F">
            <w:pPr>
              <w:spacing w:after="0" w:line="240" w:lineRule="auto"/>
              <w:jc w:val="center"/>
              <w:rPr>
                <w:sz w:val="24"/>
                <w:szCs w:val="24"/>
              </w:rPr>
            </w:pPr>
            <w:r>
              <w:rPr>
                <w:sz w:val="24"/>
                <w:szCs w:val="24"/>
              </w:rPr>
              <w:t>102,8</w:t>
            </w:r>
          </w:p>
        </w:tc>
        <w:tc>
          <w:tcPr>
            <w:tcW w:w="1169" w:type="dxa"/>
            <w:tcBorders>
              <w:bottom w:val="single" w:sz="4" w:space="0" w:color="auto"/>
            </w:tcBorders>
          </w:tcPr>
          <w:p w:rsidR="007E27CB" w:rsidRDefault="008F141F">
            <w:pPr>
              <w:spacing w:after="0" w:line="240" w:lineRule="auto"/>
              <w:jc w:val="center"/>
              <w:rPr>
                <w:sz w:val="24"/>
                <w:szCs w:val="24"/>
              </w:rPr>
            </w:pPr>
            <w:r>
              <w:rPr>
                <w:sz w:val="24"/>
                <w:szCs w:val="24"/>
              </w:rPr>
              <w:t>101,6</w:t>
            </w:r>
          </w:p>
        </w:tc>
        <w:tc>
          <w:tcPr>
            <w:tcW w:w="1170" w:type="dxa"/>
            <w:tcBorders>
              <w:bottom w:val="single" w:sz="4" w:space="0" w:color="auto"/>
            </w:tcBorders>
            <w:vAlign w:val="center"/>
          </w:tcPr>
          <w:p w:rsidR="007E27CB" w:rsidRDefault="008F141F">
            <w:pPr>
              <w:spacing w:after="0" w:line="240" w:lineRule="auto"/>
              <w:jc w:val="center"/>
              <w:rPr>
                <w:sz w:val="24"/>
                <w:szCs w:val="24"/>
              </w:rPr>
            </w:pPr>
            <w:r>
              <w:rPr>
                <w:sz w:val="24"/>
                <w:szCs w:val="24"/>
              </w:rPr>
              <w:t>93,1</w:t>
            </w:r>
          </w:p>
        </w:tc>
      </w:tr>
      <w:tr w:rsidR="007E27CB">
        <w:trPr>
          <w:trHeight w:val="20"/>
        </w:trPr>
        <w:tc>
          <w:tcPr>
            <w:tcW w:w="10490" w:type="dxa"/>
            <w:gridSpan w:val="7"/>
            <w:shd w:val="clear" w:color="auto" w:fill="F2F2F2" w:themeFill="background1" w:themeFillShade="F2"/>
            <w:vAlign w:val="center"/>
          </w:tcPr>
          <w:p w:rsidR="007E27CB" w:rsidRDefault="008F141F">
            <w:pPr>
              <w:spacing w:after="0" w:line="240" w:lineRule="auto"/>
              <w:jc w:val="center"/>
              <w:rPr>
                <w:b/>
                <w:sz w:val="24"/>
                <w:szCs w:val="24"/>
              </w:rPr>
            </w:pPr>
            <w:r>
              <w:rPr>
                <w:b/>
                <w:sz w:val="24"/>
                <w:szCs w:val="24"/>
              </w:rPr>
              <w:t>Объем платных услуг</w:t>
            </w:r>
          </w:p>
        </w:tc>
      </w:tr>
      <w:tr w:rsidR="007E27CB">
        <w:trPr>
          <w:trHeight w:val="20"/>
        </w:trPr>
        <w:tc>
          <w:tcPr>
            <w:tcW w:w="4253" w:type="dxa"/>
            <w:vMerge w:val="restart"/>
            <w:shd w:val="clear" w:color="auto" w:fill="auto"/>
            <w:vAlign w:val="center"/>
          </w:tcPr>
          <w:p w:rsidR="007E27CB" w:rsidRDefault="008F141F">
            <w:pPr>
              <w:spacing w:after="0" w:line="240" w:lineRule="auto"/>
              <w:jc w:val="center"/>
              <w:rPr>
                <w:sz w:val="24"/>
                <w:szCs w:val="24"/>
              </w:rPr>
            </w:pPr>
            <w:r>
              <w:rPr>
                <w:sz w:val="24"/>
                <w:szCs w:val="24"/>
              </w:rPr>
              <w:t>Томская область</w:t>
            </w:r>
          </w:p>
        </w:tc>
        <w:tc>
          <w:tcPr>
            <w:tcW w:w="1559" w:type="dxa"/>
            <w:shd w:val="clear" w:color="auto" w:fill="auto"/>
            <w:vAlign w:val="center"/>
          </w:tcPr>
          <w:p w:rsidR="007E27CB" w:rsidRDefault="008F141F">
            <w:pPr>
              <w:spacing w:after="0" w:line="240" w:lineRule="auto"/>
              <w:jc w:val="center"/>
              <w:rPr>
                <w:i/>
                <w:sz w:val="24"/>
                <w:szCs w:val="24"/>
              </w:rPr>
            </w:pPr>
            <w:r>
              <w:rPr>
                <w:sz w:val="24"/>
                <w:szCs w:val="24"/>
              </w:rPr>
              <w:t>млрд. рублей</w:t>
            </w:r>
          </w:p>
        </w:tc>
        <w:tc>
          <w:tcPr>
            <w:tcW w:w="1169" w:type="dxa"/>
            <w:gridSpan w:val="2"/>
            <w:vAlign w:val="center"/>
          </w:tcPr>
          <w:p w:rsidR="007E27CB" w:rsidRDefault="008F141F">
            <w:pPr>
              <w:spacing w:after="0" w:line="240" w:lineRule="auto"/>
              <w:jc w:val="center"/>
              <w:rPr>
                <w:sz w:val="24"/>
                <w:szCs w:val="24"/>
              </w:rPr>
            </w:pPr>
            <w:r>
              <w:rPr>
                <w:sz w:val="24"/>
                <w:szCs w:val="24"/>
              </w:rPr>
              <w:t>49,4</w:t>
            </w:r>
          </w:p>
        </w:tc>
        <w:tc>
          <w:tcPr>
            <w:tcW w:w="1170" w:type="dxa"/>
            <w:vAlign w:val="center"/>
          </w:tcPr>
          <w:p w:rsidR="007E27CB" w:rsidRDefault="008F141F">
            <w:pPr>
              <w:spacing w:after="0" w:line="240" w:lineRule="auto"/>
              <w:jc w:val="center"/>
              <w:rPr>
                <w:sz w:val="24"/>
                <w:szCs w:val="24"/>
              </w:rPr>
            </w:pPr>
            <w:r>
              <w:rPr>
                <w:sz w:val="24"/>
                <w:szCs w:val="24"/>
              </w:rPr>
              <w:t>51,9</w:t>
            </w:r>
          </w:p>
        </w:tc>
        <w:tc>
          <w:tcPr>
            <w:tcW w:w="1169" w:type="dxa"/>
            <w:vAlign w:val="center"/>
          </w:tcPr>
          <w:p w:rsidR="007E27CB" w:rsidRDefault="008F141F">
            <w:pPr>
              <w:spacing w:after="0" w:line="240" w:lineRule="auto"/>
              <w:jc w:val="center"/>
              <w:rPr>
                <w:sz w:val="24"/>
                <w:szCs w:val="24"/>
              </w:rPr>
            </w:pPr>
            <w:r>
              <w:rPr>
                <w:sz w:val="24"/>
                <w:szCs w:val="24"/>
              </w:rPr>
              <w:t>54,9</w:t>
            </w:r>
          </w:p>
        </w:tc>
        <w:tc>
          <w:tcPr>
            <w:tcW w:w="1170" w:type="dxa"/>
            <w:vAlign w:val="center"/>
          </w:tcPr>
          <w:p w:rsidR="007E27CB" w:rsidRDefault="008F141F">
            <w:pPr>
              <w:spacing w:after="0" w:line="240" w:lineRule="auto"/>
              <w:jc w:val="center"/>
              <w:rPr>
                <w:sz w:val="24"/>
                <w:szCs w:val="24"/>
              </w:rPr>
            </w:pPr>
            <w:r>
              <w:rPr>
                <w:sz w:val="24"/>
                <w:szCs w:val="24"/>
              </w:rPr>
              <w:t>137,6</w:t>
            </w:r>
          </w:p>
        </w:tc>
      </w:tr>
      <w:tr w:rsidR="007E27CB">
        <w:trPr>
          <w:trHeight w:val="20"/>
        </w:trPr>
        <w:tc>
          <w:tcPr>
            <w:tcW w:w="4253" w:type="dxa"/>
            <w:vMerge/>
            <w:shd w:val="clear" w:color="auto" w:fill="auto"/>
            <w:vAlign w:val="center"/>
          </w:tcPr>
          <w:p w:rsidR="007E27CB" w:rsidRDefault="007E27CB">
            <w:pPr>
              <w:spacing w:after="0" w:line="240" w:lineRule="auto"/>
              <w:jc w:val="center"/>
              <w:rPr>
                <w:sz w:val="24"/>
                <w:szCs w:val="24"/>
              </w:rPr>
            </w:pPr>
          </w:p>
        </w:tc>
        <w:tc>
          <w:tcPr>
            <w:tcW w:w="1559" w:type="dxa"/>
            <w:vMerge w:val="restart"/>
            <w:shd w:val="clear" w:color="auto" w:fill="auto"/>
            <w:vAlign w:val="center"/>
          </w:tcPr>
          <w:p w:rsidR="007E27CB" w:rsidRDefault="008F141F">
            <w:pPr>
              <w:spacing w:after="0" w:line="240" w:lineRule="auto"/>
              <w:jc w:val="center"/>
              <w:rPr>
                <w:sz w:val="24"/>
                <w:szCs w:val="24"/>
                <w:vertAlign w:val="superscript"/>
              </w:rPr>
            </w:pPr>
            <w:r>
              <w:rPr>
                <w:sz w:val="24"/>
                <w:szCs w:val="24"/>
              </w:rPr>
              <w:t>в % к пред. году</w:t>
            </w:r>
          </w:p>
        </w:tc>
        <w:tc>
          <w:tcPr>
            <w:tcW w:w="1169" w:type="dxa"/>
            <w:gridSpan w:val="2"/>
          </w:tcPr>
          <w:p w:rsidR="007E27CB" w:rsidRDefault="008F141F">
            <w:pPr>
              <w:spacing w:after="0" w:line="240" w:lineRule="auto"/>
              <w:jc w:val="center"/>
              <w:rPr>
                <w:sz w:val="24"/>
                <w:szCs w:val="24"/>
              </w:rPr>
            </w:pPr>
            <w:r>
              <w:rPr>
                <w:sz w:val="24"/>
                <w:szCs w:val="24"/>
              </w:rPr>
              <w:t>100,6</w:t>
            </w:r>
          </w:p>
        </w:tc>
        <w:tc>
          <w:tcPr>
            <w:tcW w:w="1170" w:type="dxa"/>
          </w:tcPr>
          <w:p w:rsidR="007E27CB" w:rsidRDefault="008F141F">
            <w:pPr>
              <w:spacing w:after="0" w:line="240" w:lineRule="auto"/>
              <w:jc w:val="center"/>
              <w:rPr>
                <w:sz w:val="24"/>
                <w:szCs w:val="24"/>
              </w:rPr>
            </w:pPr>
            <w:r>
              <w:rPr>
                <w:sz w:val="24"/>
                <w:szCs w:val="24"/>
              </w:rPr>
              <w:t>100,3</w:t>
            </w:r>
          </w:p>
        </w:tc>
        <w:tc>
          <w:tcPr>
            <w:tcW w:w="1169" w:type="dxa"/>
          </w:tcPr>
          <w:p w:rsidR="007E27CB" w:rsidRDefault="008F141F">
            <w:pPr>
              <w:spacing w:after="0" w:line="240" w:lineRule="auto"/>
              <w:jc w:val="center"/>
              <w:rPr>
                <w:sz w:val="24"/>
                <w:szCs w:val="24"/>
              </w:rPr>
            </w:pPr>
            <w:r>
              <w:rPr>
                <w:sz w:val="24"/>
                <w:szCs w:val="24"/>
              </w:rPr>
              <w:t>99,6</w:t>
            </w:r>
          </w:p>
        </w:tc>
        <w:tc>
          <w:tcPr>
            <w:tcW w:w="1170" w:type="dxa"/>
            <w:vAlign w:val="center"/>
          </w:tcPr>
          <w:p w:rsidR="007E27CB" w:rsidRDefault="008F141F">
            <w:pPr>
              <w:spacing w:after="0" w:line="240" w:lineRule="auto"/>
              <w:jc w:val="center"/>
              <w:rPr>
                <w:sz w:val="24"/>
                <w:szCs w:val="24"/>
              </w:rPr>
            </w:pPr>
            <w:r>
              <w:rPr>
                <w:sz w:val="24"/>
                <w:szCs w:val="24"/>
              </w:rPr>
              <w:t>96,1</w:t>
            </w:r>
          </w:p>
        </w:tc>
      </w:tr>
      <w:tr w:rsidR="007E27CB">
        <w:trPr>
          <w:trHeight w:val="20"/>
        </w:trPr>
        <w:tc>
          <w:tcPr>
            <w:tcW w:w="4253" w:type="dxa"/>
            <w:shd w:val="clear" w:color="auto" w:fill="auto"/>
            <w:vAlign w:val="center"/>
          </w:tcPr>
          <w:p w:rsidR="007E27CB" w:rsidRDefault="008F141F">
            <w:pPr>
              <w:spacing w:after="0" w:line="240" w:lineRule="auto"/>
              <w:jc w:val="center"/>
              <w:rPr>
                <w:sz w:val="24"/>
                <w:szCs w:val="24"/>
              </w:rPr>
            </w:pPr>
            <w:r>
              <w:rPr>
                <w:sz w:val="24"/>
                <w:szCs w:val="24"/>
              </w:rPr>
              <w:t>СФО</w:t>
            </w:r>
          </w:p>
        </w:tc>
        <w:tc>
          <w:tcPr>
            <w:tcW w:w="1559" w:type="dxa"/>
            <w:vMerge/>
            <w:shd w:val="clear" w:color="auto" w:fill="auto"/>
            <w:vAlign w:val="center"/>
          </w:tcPr>
          <w:p w:rsidR="007E27CB" w:rsidRDefault="007E27CB">
            <w:pPr>
              <w:spacing w:after="0" w:line="240" w:lineRule="auto"/>
              <w:jc w:val="center"/>
              <w:rPr>
                <w:sz w:val="24"/>
                <w:szCs w:val="24"/>
                <w:vertAlign w:val="superscript"/>
              </w:rPr>
            </w:pPr>
          </w:p>
        </w:tc>
        <w:tc>
          <w:tcPr>
            <w:tcW w:w="1169" w:type="dxa"/>
            <w:gridSpan w:val="2"/>
          </w:tcPr>
          <w:p w:rsidR="007E27CB" w:rsidRDefault="008F141F">
            <w:pPr>
              <w:spacing w:after="0" w:line="240" w:lineRule="auto"/>
              <w:jc w:val="center"/>
              <w:rPr>
                <w:sz w:val="24"/>
                <w:szCs w:val="24"/>
              </w:rPr>
            </w:pPr>
            <w:r>
              <w:rPr>
                <w:sz w:val="24"/>
                <w:szCs w:val="24"/>
              </w:rPr>
              <w:t>102,4</w:t>
            </w:r>
          </w:p>
        </w:tc>
        <w:tc>
          <w:tcPr>
            <w:tcW w:w="1170" w:type="dxa"/>
            <w:vAlign w:val="center"/>
          </w:tcPr>
          <w:p w:rsidR="007E27CB" w:rsidRDefault="008F141F">
            <w:pPr>
              <w:spacing w:after="0" w:line="240" w:lineRule="auto"/>
              <w:jc w:val="center"/>
              <w:rPr>
                <w:sz w:val="24"/>
                <w:szCs w:val="24"/>
              </w:rPr>
            </w:pPr>
            <w:r>
              <w:rPr>
                <w:sz w:val="24"/>
                <w:szCs w:val="24"/>
              </w:rPr>
              <w:t>103,8</w:t>
            </w:r>
          </w:p>
        </w:tc>
        <w:tc>
          <w:tcPr>
            <w:tcW w:w="1169" w:type="dxa"/>
            <w:vAlign w:val="center"/>
          </w:tcPr>
          <w:p w:rsidR="007E27CB" w:rsidRDefault="008F141F">
            <w:pPr>
              <w:spacing w:after="0" w:line="240" w:lineRule="auto"/>
              <w:jc w:val="center"/>
              <w:rPr>
                <w:sz w:val="24"/>
                <w:szCs w:val="24"/>
              </w:rPr>
            </w:pPr>
            <w:r>
              <w:rPr>
                <w:sz w:val="24"/>
                <w:szCs w:val="24"/>
              </w:rPr>
              <w:t>99,3</w:t>
            </w:r>
          </w:p>
        </w:tc>
        <w:tc>
          <w:tcPr>
            <w:tcW w:w="1170" w:type="dxa"/>
          </w:tcPr>
          <w:p w:rsidR="007E27CB" w:rsidRDefault="008F141F">
            <w:pPr>
              <w:spacing w:after="0" w:line="240" w:lineRule="auto"/>
              <w:jc w:val="center"/>
              <w:rPr>
                <w:sz w:val="24"/>
                <w:szCs w:val="24"/>
              </w:rPr>
            </w:pPr>
            <w:r>
              <w:rPr>
                <w:sz w:val="24"/>
                <w:szCs w:val="24"/>
              </w:rPr>
              <w:t>95,2</w:t>
            </w:r>
          </w:p>
        </w:tc>
      </w:tr>
      <w:tr w:rsidR="007E27CB">
        <w:trPr>
          <w:trHeight w:val="20"/>
        </w:trPr>
        <w:tc>
          <w:tcPr>
            <w:tcW w:w="4253" w:type="dxa"/>
            <w:tcBorders>
              <w:bottom w:val="single" w:sz="4" w:space="0" w:color="auto"/>
            </w:tcBorders>
            <w:shd w:val="clear" w:color="auto" w:fill="auto"/>
            <w:vAlign w:val="center"/>
          </w:tcPr>
          <w:p w:rsidR="007E27CB" w:rsidRDefault="008F141F">
            <w:pPr>
              <w:spacing w:after="0" w:line="240" w:lineRule="auto"/>
              <w:jc w:val="center"/>
              <w:rPr>
                <w:sz w:val="24"/>
                <w:szCs w:val="24"/>
              </w:rPr>
            </w:pPr>
            <w:r>
              <w:rPr>
                <w:sz w:val="24"/>
                <w:szCs w:val="24"/>
              </w:rPr>
              <w:t>Россия</w:t>
            </w:r>
          </w:p>
        </w:tc>
        <w:tc>
          <w:tcPr>
            <w:tcW w:w="1559" w:type="dxa"/>
            <w:vMerge/>
            <w:tcBorders>
              <w:bottom w:val="single" w:sz="4" w:space="0" w:color="auto"/>
            </w:tcBorders>
            <w:shd w:val="clear" w:color="auto" w:fill="auto"/>
            <w:vAlign w:val="center"/>
          </w:tcPr>
          <w:p w:rsidR="007E27CB" w:rsidRDefault="007E27CB">
            <w:pPr>
              <w:spacing w:after="0" w:line="240" w:lineRule="auto"/>
              <w:jc w:val="center"/>
              <w:rPr>
                <w:sz w:val="24"/>
                <w:szCs w:val="24"/>
                <w:vertAlign w:val="superscript"/>
              </w:rPr>
            </w:pPr>
          </w:p>
        </w:tc>
        <w:tc>
          <w:tcPr>
            <w:tcW w:w="1169" w:type="dxa"/>
            <w:gridSpan w:val="2"/>
            <w:tcBorders>
              <w:bottom w:val="single" w:sz="4" w:space="0" w:color="auto"/>
            </w:tcBorders>
          </w:tcPr>
          <w:p w:rsidR="007E27CB" w:rsidRDefault="008F141F">
            <w:pPr>
              <w:spacing w:after="0" w:line="240" w:lineRule="auto"/>
              <w:jc w:val="center"/>
              <w:rPr>
                <w:sz w:val="24"/>
                <w:szCs w:val="24"/>
              </w:rPr>
            </w:pPr>
            <w:r>
              <w:rPr>
                <w:sz w:val="24"/>
                <w:szCs w:val="24"/>
              </w:rPr>
              <w:t>101,4</w:t>
            </w:r>
          </w:p>
        </w:tc>
        <w:tc>
          <w:tcPr>
            <w:tcW w:w="1170" w:type="dxa"/>
            <w:tcBorders>
              <w:bottom w:val="single" w:sz="4" w:space="0" w:color="auto"/>
            </w:tcBorders>
          </w:tcPr>
          <w:p w:rsidR="007E27CB" w:rsidRDefault="008F141F">
            <w:pPr>
              <w:spacing w:after="0" w:line="240" w:lineRule="auto"/>
              <w:jc w:val="center"/>
              <w:rPr>
                <w:sz w:val="24"/>
                <w:szCs w:val="24"/>
              </w:rPr>
            </w:pPr>
            <w:r>
              <w:rPr>
                <w:sz w:val="24"/>
                <w:szCs w:val="24"/>
              </w:rPr>
              <w:t>102,5</w:t>
            </w:r>
          </w:p>
        </w:tc>
        <w:tc>
          <w:tcPr>
            <w:tcW w:w="1169" w:type="dxa"/>
            <w:tcBorders>
              <w:bottom w:val="single" w:sz="4" w:space="0" w:color="auto"/>
            </w:tcBorders>
          </w:tcPr>
          <w:p w:rsidR="007E27CB" w:rsidRDefault="008F141F">
            <w:pPr>
              <w:spacing w:after="0" w:line="240" w:lineRule="auto"/>
              <w:jc w:val="center"/>
              <w:rPr>
                <w:sz w:val="24"/>
                <w:szCs w:val="24"/>
              </w:rPr>
            </w:pPr>
            <w:r>
              <w:rPr>
                <w:sz w:val="24"/>
                <w:szCs w:val="24"/>
              </w:rPr>
              <w:t>99,1</w:t>
            </w:r>
          </w:p>
        </w:tc>
        <w:tc>
          <w:tcPr>
            <w:tcW w:w="1170" w:type="dxa"/>
            <w:tcBorders>
              <w:bottom w:val="single" w:sz="4" w:space="0" w:color="auto"/>
            </w:tcBorders>
            <w:vAlign w:val="center"/>
          </w:tcPr>
          <w:p w:rsidR="007E27CB" w:rsidRDefault="008F141F">
            <w:pPr>
              <w:spacing w:after="0" w:line="240" w:lineRule="auto"/>
              <w:jc w:val="center"/>
              <w:rPr>
                <w:sz w:val="24"/>
                <w:szCs w:val="24"/>
              </w:rPr>
            </w:pPr>
            <w:r>
              <w:rPr>
                <w:sz w:val="24"/>
                <w:szCs w:val="24"/>
              </w:rPr>
              <w:t>101,6</w:t>
            </w:r>
          </w:p>
        </w:tc>
      </w:tr>
      <w:tr w:rsidR="007E27CB">
        <w:trPr>
          <w:trHeight w:val="20"/>
        </w:trPr>
        <w:tc>
          <w:tcPr>
            <w:tcW w:w="10490" w:type="dxa"/>
            <w:gridSpan w:val="7"/>
            <w:shd w:val="clear" w:color="auto" w:fill="F2F2F2" w:themeFill="background1" w:themeFillShade="F2"/>
            <w:vAlign w:val="center"/>
          </w:tcPr>
          <w:p w:rsidR="007E27CB" w:rsidRDefault="008F141F">
            <w:pPr>
              <w:spacing w:after="0" w:line="240" w:lineRule="auto"/>
              <w:jc w:val="center"/>
              <w:rPr>
                <w:b/>
                <w:sz w:val="24"/>
                <w:szCs w:val="24"/>
              </w:rPr>
            </w:pPr>
            <w:r>
              <w:rPr>
                <w:b/>
                <w:sz w:val="24"/>
                <w:szCs w:val="24"/>
              </w:rPr>
              <w:t>Сводный индекс потребительских цен</w:t>
            </w:r>
          </w:p>
        </w:tc>
      </w:tr>
      <w:tr w:rsidR="007E27CB">
        <w:trPr>
          <w:trHeight w:val="20"/>
        </w:trPr>
        <w:tc>
          <w:tcPr>
            <w:tcW w:w="4253" w:type="dxa"/>
            <w:shd w:val="clear" w:color="auto" w:fill="auto"/>
            <w:vAlign w:val="center"/>
          </w:tcPr>
          <w:p w:rsidR="007E27CB" w:rsidRDefault="008F141F">
            <w:pPr>
              <w:spacing w:after="0" w:line="240" w:lineRule="auto"/>
              <w:jc w:val="center"/>
              <w:rPr>
                <w:sz w:val="24"/>
                <w:szCs w:val="24"/>
              </w:rPr>
            </w:pPr>
            <w:r>
              <w:rPr>
                <w:sz w:val="24"/>
                <w:szCs w:val="24"/>
              </w:rPr>
              <w:t>Томская область</w:t>
            </w:r>
          </w:p>
        </w:tc>
        <w:tc>
          <w:tcPr>
            <w:tcW w:w="1559" w:type="dxa"/>
            <w:vMerge w:val="restart"/>
            <w:shd w:val="clear" w:color="auto" w:fill="auto"/>
            <w:vAlign w:val="center"/>
          </w:tcPr>
          <w:p w:rsidR="007E27CB" w:rsidRDefault="008F141F">
            <w:pPr>
              <w:spacing w:after="0" w:line="240" w:lineRule="auto"/>
              <w:jc w:val="center"/>
              <w:rPr>
                <w:sz w:val="24"/>
                <w:szCs w:val="24"/>
              </w:rPr>
            </w:pPr>
            <w:r>
              <w:rPr>
                <w:sz w:val="24"/>
                <w:szCs w:val="24"/>
              </w:rPr>
              <w:t>декабрь к декабрю предыдуще-го года</w:t>
            </w:r>
          </w:p>
        </w:tc>
        <w:tc>
          <w:tcPr>
            <w:tcW w:w="1169" w:type="dxa"/>
            <w:gridSpan w:val="2"/>
          </w:tcPr>
          <w:p w:rsidR="007E27CB" w:rsidRDefault="008F141F">
            <w:pPr>
              <w:spacing w:after="0" w:line="240" w:lineRule="auto"/>
              <w:jc w:val="center"/>
              <w:rPr>
                <w:sz w:val="24"/>
                <w:szCs w:val="24"/>
              </w:rPr>
            </w:pPr>
            <w:r>
              <w:rPr>
                <w:sz w:val="24"/>
                <w:szCs w:val="24"/>
              </w:rPr>
              <w:t>102,8</w:t>
            </w:r>
          </w:p>
        </w:tc>
        <w:tc>
          <w:tcPr>
            <w:tcW w:w="1170" w:type="dxa"/>
          </w:tcPr>
          <w:p w:rsidR="007E27CB" w:rsidRDefault="008F141F">
            <w:pPr>
              <w:spacing w:after="0" w:line="240" w:lineRule="auto"/>
              <w:jc w:val="center"/>
              <w:rPr>
                <w:sz w:val="24"/>
                <w:szCs w:val="24"/>
              </w:rPr>
            </w:pPr>
            <w:r>
              <w:rPr>
                <w:sz w:val="24"/>
                <w:szCs w:val="24"/>
              </w:rPr>
              <w:t>104,5</w:t>
            </w:r>
          </w:p>
        </w:tc>
        <w:tc>
          <w:tcPr>
            <w:tcW w:w="1169" w:type="dxa"/>
          </w:tcPr>
          <w:p w:rsidR="007E27CB" w:rsidRDefault="008F141F">
            <w:pPr>
              <w:spacing w:after="0" w:line="240" w:lineRule="auto"/>
              <w:jc w:val="center"/>
              <w:rPr>
                <w:sz w:val="24"/>
                <w:szCs w:val="24"/>
              </w:rPr>
            </w:pPr>
            <w:r>
              <w:rPr>
                <w:sz w:val="24"/>
                <w:szCs w:val="24"/>
              </w:rPr>
              <w:t>103,8</w:t>
            </w:r>
          </w:p>
        </w:tc>
        <w:tc>
          <w:tcPr>
            <w:tcW w:w="1170" w:type="dxa"/>
            <w:vAlign w:val="center"/>
          </w:tcPr>
          <w:p w:rsidR="007E27CB" w:rsidRDefault="008F141F">
            <w:pPr>
              <w:spacing w:after="0" w:line="240" w:lineRule="auto"/>
              <w:jc w:val="center"/>
              <w:rPr>
                <w:sz w:val="24"/>
                <w:szCs w:val="24"/>
              </w:rPr>
            </w:pPr>
            <w:r>
              <w:rPr>
                <w:sz w:val="24"/>
                <w:szCs w:val="24"/>
              </w:rPr>
              <w:t>146,1</w:t>
            </w:r>
          </w:p>
        </w:tc>
      </w:tr>
      <w:tr w:rsidR="007E27CB">
        <w:trPr>
          <w:trHeight w:val="152"/>
        </w:trPr>
        <w:tc>
          <w:tcPr>
            <w:tcW w:w="4253" w:type="dxa"/>
            <w:shd w:val="clear" w:color="auto" w:fill="auto"/>
            <w:vAlign w:val="center"/>
          </w:tcPr>
          <w:p w:rsidR="007E27CB" w:rsidRDefault="008F141F">
            <w:pPr>
              <w:spacing w:after="0" w:line="240" w:lineRule="auto"/>
              <w:jc w:val="center"/>
              <w:rPr>
                <w:sz w:val="24"/>
                <w:szCs w:val="24"/>
              </w:rPr>
            </w:pPr>
            <w:r>
              <w:rPr>
                <w:sz w:val="24"/>
                <w:szCs w:val="24"/>
              </w:rPr>
              <w:t>СФО</w:t>
            </w:r>
          </w:p>
        </w:tc>
        <w:tc>
          <w:tcPr>
            <w:tcW w:w="1559" w:type="dxa"/>
            <w:vMerge/>
            <w:shd w:val="clear" w:color="auto" w:fill="auto"/>
          </w:tcPr>
          <w:p w:rsidR="007E27CB" w:rsidRDefault="007E27CB">
            <w:pPr>
              <w:spacing w:after="0" w:line="240" w:lineRule="auto"/>
              <w:jc w:val="center"/>
              <w:rPr>
                <w:sz w:val="24"/>
                <w:szCs w:val="24"/>
              </w:rPr>
            </w:pPr>
          </w:p>
        </w:tc>
        <w:tc>
          <w:tcPr>
            <w:tcW w:w="1169" w:type="dxa"/>
            <w:gridSpan w:val="2"/>
          </w:tcPr>
          <w:p w:rsidR="007E27CB" w:rsidRDefault="008F141F">
            <w:pPr>
              <w:spacing w:after="0" w:line="240" w:lineRule="auto"/>
              <w:jc w:val="center"/>
              <w:rPr>
                <w:sz w:val="24"/>
                <w:szCs w:val="24"/>
              </w:rPr>
            </w:pPr>
            <w:r>
              <w:rPr>
                <w:sz w:val="24"/>
                <w:szCs w:val="24"/>
              </w:rPr>
              <w:t>102,0</w:t>
            </w:r>
          </w:p>
        </w:tc>
        <w:tc>
          <w:tcPr>
            <w:tcW w:w="1170" w:type="dxa"/>
            <w:vAlign w:val="center"/>
          </w:tcPr>
          <w:p w:rsidR="007E27CB" w:rsidRDefault="008F141F">
            <w:pPr>
              <w:spacing w:after="0" w:line="240" w:lineRule="auto"/>
              <w:jc w:val="center"/>
              <w:rPr>
                <w:sz w:val="24"/>
                <w:szCs w:val="24"/>
              </w:rPr>
            </w:pPr>
            <w:r>
              <w:rPr>
                <w:sz w:val="24"/>
                <w:szCs w:val="24"/>
              </w:rPr>
              <w:t>104,3</w:t>
            </w:r>
          </w:p>
        </w:tc>
        <w:tc>
          <w:tcPr>
            <w:tcW w:w="1169" w:type="dxa"/>
            <w:vAlign w:val="center"/>
          </w:tcPr>
          <w:p w:rsidR="007E27CB" w:rsidRDefault="008F141F">
            <w:pPr>
              <w:spacing w:after="0" w:line="240" w:lineRule="auto"/>
              <w:jc w:val="center"/>
              <w:rPr>
                <w:sz w:val="24"/>
                <w:szCs w:val="24"/>
              </w:rPr>
            </w:pPr>
            <w:r>
              <w:rPr>
                <w:sz w:val="24"/>
                <w:szCs w:val="24"/>
              </w:rPr>
              <w:t>103,6</w:t>
            </w:r>
          </w:p>
        </w:tc>
        <w:tc>
          <w:tcPr>
            <w:tcW w:w="1170" w:type="dxa"/>
          </w:tcPr>
          <w:p w:rsidR="007E27CB" w:rsidRDefault="008F141F">
            <w:pPr>
              <w:spacing w:after="0" w:line="240" w:lineRule="auto"/>
              <w:jc w:val="center"/>
              <w:rPr>
                <w:sz w:val="24"/>
                <w:szCs w:val="24"/>
              </w:rPr>
            </w:pPr>
            <w:r>
              <w:rPr>
                <w:sz w:val="24"/>
                <w:szCs w:val="24"/>
              </w:rPr>
              <w:t>143,1</w:t>
            </w:r>
          </w:p>
        </w:tc>
      </w:tr>
      <w:tr w:rsidR="007E27CB">
        <w:trPr>
          <w:trHeight w:val="20"/>
        </w:trPr>
        <w:tc>
          <w:tcPr>
            <w:tcW w:w="4253" w:type="dxa"/>
            <w:tcBorders>
              <w:bottom w:val="single" w:sz="4" w:space="0" w:color="auto"/>
            </w:tcBorders>
            <w:shd w:val="clear" w:color="auto" w:fill="auto"/>
            <w:vAlign w:val="center"/>
          </w:tcPr>
          <w:p w:rsidR="007E27CB" w:rsidRDefault="008F141F">
            <w:pPr>
              <w:spacing w:after="0" w:line="240" w:lineRule="auto"/>
              <w:jc w:val="center"/>
              <w:rPr>
                <w:sz w:val="24"/>
                <w:szCs w:val="24"/>
              </w:rPr>
            </w:pPr>
            <w:r>
              <w:rPr>
                <w:sz w:val="24"/>
                <w:szCs w:val="24"/>
              </w:rPr>
              <w:t>Россия</w:t>
            </w:r>
          </w:p>
        </w:tc>
        <w:tc>
          <w:tcPr>
            <w:tcW w:w="1559" w:type="dxa"/>
            <w:vMerge/>
            <w:tcBorders>
              <w:bottom w:val="single" w:sz="4" w:space="0" w:color="auto"/>
            </w:tcBorders>
            <w:shd w:val="clear" w:color="auto" w:fill="auto"/>
          </w:tcPr>
          <w:p w:rsidR="007E27CB" w:rsidRDefault="007E27CB">
            <w:pPr>
              <w:spacing w:after="0" w:line="240" w:lineRule="auto"/>
              <w:jc w:val="center"/>
              <w:rPr>
                <w:sz w:val="24"/>
                <w:szCs w:val="24"/>
              </w:rPr>
            </w:pPr>
          </w:p>
        </w:tc>
        <w:tc>
          <w:tcPr>
            <w:tcW w:w="1169" w:type="dxa"/>
            <w:gridSpan w:val="2"/>
            <w:tcBorders>
              <w:bottom w:val="single" w:sz="4" w:space="0" w:color="auto"/>
            </w:tcBorders>
          </w:tcPr>
          <w:p w:rsidR="007E27CB" w:rsidRDefault="008F141F">
            <w:pPr>
              <w:spacing w:after="0" w:line="240" w:lineRule="auto"/>
              <w:jc w:val="center"/>
              <w:rPr>
                <w:sz w:val="24"/>
                <w:szCs w:val="24"/>
              </w:rPr>
            </w:pPr>
            <w:r>
              <w:rPr>
                <w:sz w:val="24"/>
                <w:szCs w:val="24"/>
              </w:rPr>
              <w:t>102,5</w:t>
            </w:r>
          </w:p>
        </w:tc>
        <w:tc>
          <w:tcPr>
            <w:tcW w:w="1170" w:type="dxa"/>
            <w:tcBorders>
              <w:bottom w:val="single" w:sz="4" w:space="0" w:color="auto"/>
            </w:tcBorders>
          </w:tcPr>
          <w:p w:rsidR="007E27CB" w:rsidRDefault="008F141F">
            <w:pPr>
              <w:spacing w:after="0" w:line="240" w:lineRule="auto"/>
              <w:jc w:val="center"/>
              <w:rPr>
                <w:sz w:val="24"/>
                <w:szCs w:val="24"/>
              </w:rPr>
            </w:pPr>
            <w:r>
              <w:rPr>
                <w:sz w:val="24"/>
                <w:szCs w:val="24"/>
              </w:rPr>
              <w:t>104,3</w:t>
            </w:r>
          </w:p>
        </w:tc>
        <w:tc>
          <w:tcPr>
            <w:tcW w:w="1169" w:type="dxa"/>
            <w:tcBorders>
              <w:bottom w:val="single" w:sz="4" w:space="0" w:color="auto"/>
            </w:tcBorders>
          </w:tcPr>
          <w:p w:rsidR="007E27CB" w:rsidRDefault="008F141F">
            <w:pPr>
              <w:spacing w:after="0" w:line="240" w:lineRule="auto"/>
              <w:jc w:val="center"/>
              <w:rPr>
                <w:sz w:val="24"/>
                <w:szCs w:val="24"/>
              </w:rPr>
            </w:pPr>
            <w:r>
              <w:rPr>
                <w:sz w:val="24"/>
                <w:szCs w:val="24"/>
              </w:rPr>
              <w:t>103,0</w:t>
            </w:r>
          </w:p>
        </w:tc>
        <w:tc>
          <w:tcPr>
            <w:tcW w:w="1170" w:type="dxa"/>
            <w:tcBorders>
              <w:bottom w:val="single" w:sz="4" w:space="0" w:color="auto"/>
            </w:tcBorders>
            <w:vAlign w:val="center"/>
          </w:tcPr>
          <w:p w:rsidR="007E27CB" w:rsidRDefault="008F141F">
            <w:pPr>
              <w:spacing w:after="0" w:line="240" w:lineRule="auto"/>
              <w:jc w:val="center"/>
              <w:rPr>
                <w:sz w:val="24"/>
                <w:szCs w:val="24"/>
              </w:rPr>
            </w:pPr>
            <w:r>
              <w:rPr>
                <w:sz w:val="24"/>
                <w:szCs w:val="24"/>
              </w:rPr>
              <w:t>145,9</w:t>
            </w:r>
          </w:p>
        </w:tc>
      </w:tr>
      <w:tr w:rsidR="007E27CB">
        <w:trPr>
          <w:trHeight w:val="20"/>
        </w:trPr>
        <w:tc>
          <w:tcPr>
            <w:tcW w:w="10490" w:type="dxa"/>
            <w:gridSpan w:val="7"/>
            <w:shd w:val="clear" w:color="auto" w:fill="F2F2F2" w:themeFill="background1" w:themeFillShade="F2"/>
            <w:vAlign w:val="center"/>
          </w:tcPr>
          <w:p w:rsidR="007E27CB" w:rsidRDefault="008F141F">
            <w:pPr>
              <w:spacing w:after="0" w:line="240" w:lineRule="auto"/>
              <w:jc w:val="center"/>
              <w:rPr>
                <w:b/>
                <w:sz w:val="24"/>
                <w:szCs w:val="24"/>
              </w:rPr>
            </w:pPr>
            <w:r>
              <w:rPr>
                <w:b/>
                <w:sz w:val="24"/>
                <w:szCs w:val="24"/>
              </w:rPr>
              <w:t>Денежные доходы в расчете на душу населения в месяц</w:t>
            </w:r>
          </w:p>
        </w:tc>
      </w:tr>
      <w:tr w:rsidR="007E27CB">
        <w:trPr>
          <w:trHeight w:val="20"/>
        </w:trPr>
        <w:tc>
          <w:tcPr>
            <w:tcW w:w="4253" w:type="dxa"/>
            <w:shd w:val="clear" w:color="auto" w:fill="auto"/>
            <w:vAlign w:val="center"/>
          </w:tcPr>
          <w:p w:rsidR="007E27CB" w:rsidRDefault="008F141F">
            <w:pPr>
              <w:spacing w:after="0" w:line="240" w:lineRule="auto"/>
              <w:jc w:val="center"/>
              <w:rPr>
                <w:sz w:val="24"/>
                <w:szCs w:val="24"/>
              </w:rPr>
            </w:pPr>
            <w:r>
              <w:rPr>
                <w:sz w:val="24"/>
                <w:szCs w:val="24"/>
              </w:rPr>
              <w:t>Томская область</w:t>
            </w:r>
          </w:p>
        </w:tc>
        <w:tc>
          <w:tcPr>
            <w:tcW w:w="1559" w:type="dxa"/>
            <w:vMerge w:val="restart"/>
            <w:shd w:val="clear" w:color="auto" w:fill="auto"/>
            <w:vAlign w:val="center"/>
          </w:tcPr>
          <w:p w:rsidR="007E27CB" w:rsidRDefault="008F141F">
            <w:pPr>
              <w:spacing w:after="0" w:line="240" w:lineRule="auto"/>
              <w:jc w:val="center"/>
              <w:rPr>
                <w:sz w:val="24"/>
                <w:szCs w:val="24"/>
              </w:rPr>
            </w:pPr>
            <w:r>
              <w:rPr>
                <w:sz w:val="24"/>
                <w:szCs w:val="24"/>
              </w:rPr>
              <w:t>рублей</w:t>
            </w:r>
          </w:p>
        </w:tc>
        <w:tc>
          <w:tcPr>
            <w:tcW w:w="1169" w:type="dxa"/>
            <w:gridSpan w:val="2"/>
            <w:vAlign w:val="bottom"/>
          </w:tcPr>
          <w:p w:rsidR="007E27CB" w:rsidRDefault="008F141F">
            <w:pPr>
              <w:spacing w:after="0" w:line="240" w:lineRule="auto"/>
              <w:jc w:val="center"/>
              <w:rPr>
                <w:bCs/>
                <w:sz w:val="24"/>
                <w:szCs w:val="24"/>
              </w:rPr>
            </w:pPr>
            <w:r>
              <w:rPr>
                <w:bCs/>
                <w:sz w:val="24"/>
                <w:szCs w:val="24"/>
              </w:rPr>
              <w:t>26 697</w:t>
            </w:r>
          </w:p>
        </w:tc>
        <w:tc>
          <w:tcPr>
            <w:tcW w:w="1170" w:type="dxa"/>
            <w:vAlign w:val="center"/>
          </w:tcPr>
          <w:p w:rsidR="007E27CB" w:rsidRDefault="008F141F">
            <w:pPr>
              <w:spacing w:after="0" w:line="240" w:lineRule="auto"/>
              <w:jc w:val="center"/>
              <w:rPr>
                <w:bCs/>
                <w:sz w:val="24"/>
                <w:szCs w:val="24"/>
              </w:rPr>
            </w:pPr>
            <w:r>
              <w:rPr>
                <w:bCs/>
                <w:sz w:val="24"/>
                <w:szCs w:val="24"/>
              </w:rPr>
              <w:t>27 296</w:t>
            </w:r>
          </w:p>
        </w:tc>
        <w:tc>
          <w:tcPr>
            <w:tcW w:w="1169" w:type="dxa"/>
            <w:vAlign w:val="center"/>
          </w:tcPr>
          <w:p w:rsidR="007E27CB" w:rsidRDefault="008F141F">
            <w:pPr>
              <w:spacing w:after="0" w:line="240" w:lineRule="auto"/>
              <w:jc w:val="center"/>
              <w:rPr>
                <w:bCs/>
                <w:sz w:val="24"/>
                <w:szCs w:val="24"/>
              </w:rPr>
            </w:pPr>
            <w:r>
              <w:rPr>
                <w:bCs/>
                <w:sz w:val="24"/>
                <w:szCs w:val="24"/>
              </w:rPr>
              <w:t>28 378</w:t>
            </w:r>
          </w:p>
        </w:tc>
        <w:tc>
          <w:tcPr>
            <w:tcW w:w="1170" w:type="dxa"/>
            <w:shd w:val="clear" w:color="auto" w:fill="auto"/>
          </w:tcPr>
          <w:p w:rsidR="007E27CB" w:rsidRDefault="008F141F">
            <w:pPr>
              <w:spacing w:after="0" w:line="240" w:lineRule="auto"/>
              <w:jc w:val="center"/>
              <w:rPr>
                <w:i/>
                <w:sz w:val="24"/>
                <w:szCs w:val="24"/>
              </w:rPr>
            </w:pPr>
            <w:r>
              <w:rPr>
                <w:bCs/>
                <w:sz w:val="24"/>
                <w:szCs w:val="24"/>
              </w:rPr>
              <w:t>124,1</w:t>
            </w:r>
          </w:p>
        </w:tc>
      </w:tr>
      <w:tr w:rsidR="007E27CB">
        <w:trPr>
          <w:trHeight w:val="20"/>
        </w:trPr>
        <w:tc>
          <w:tcPr>
            <w:tcW w:w="4253" w:type="dxa"/>
            <w:shd w:val="clear" w:color="auto" w:fill="auto"/>
            <w:vAlign w:val="center"/>
          </w:tcPr>
          <w:p w:rsidR="007E27CB" w:rsidRDefault="008F141F">
            <w:pPr>
              <w:spacing w:after="0" w:line="240" w:lineRule="auto"/>
              <w:jc w:val="center"/>
              <w:rPr>
                <w:sz w:val="24"/>
                <w:szCs w:val="24"/>
              </w:rPr>
            </w:pPr>
            <w:r>
              <w:rPr>
                <w:sz w:val="24"/>
                <w:szCs w:val="24"/>
              </w:rPr>
              <w:t>СФО</w:t>
            </w:r>
          </w:p>
        </w:tc>
        <w:tc>
          <w:tcPr>
            <w:tcW w:w="1559" w:type="dxa"/>
            <w:vMerge/>
            <w:shd w:val="clear" w:color="auto" w:fill="auto"/>
          </w:tcPr>
          <w:p w:rsidR="007E27CB" w:rsidRDefault="007E27CB">
            <w:pPr>
              <w:spacing w:after="0" w:line="240" w:lineRule="auto"/>
              <w:jc w:val="center"/>
              <w:rPr>
                <w:sz w:val="24"/>
                <w:szCs w:val="24"/>
              </w:rPr>
            </w:pPr>
          </w:p>
        </w:tc>
        <w:tc>
          <w:tcPr>
            <w:tcW w:w="1169" w:type="dxa"/>
            <w:gridSpan w:val="2"/>
          </w:tcPr>
          <w:p w:rsidR="007E27CB" w:rsidRDefault="008F141F">
            <w:pPr>
              <w:spacing w:after="0" w:line="240" w:lineRule="auto"/>
              <w:jc w:val="center"/>
              <w:rPr>
                <w:sz w:val="24"/>
                <w:szCs w:val="24"/>
              </w:rPr>
            </w:pPr>
            <w:r>
              <w:rPr>
                <w:sz w:val="24"/>
                <w:szCs w:val="24"/>
              </w:rPr>
              <w:t xml:space="preserve">24 532 </w:t>
            </w:r>
          </w:p>
        </w:tc>
        <w:tc>
          <w:tcPr>
            <w:tcW w:w="1170" w:type="dxa"/>
          </w:tcPr>
          <w:p w:rsidR="007E27CB" w:rsidRDefault="008F141F">
            <w:pPr>
              <w:spacing w:after="0" w:line="240" w:lineRule="auto"/>
              <w:jc w:val="center"/>
              <w:rPr>
                <w:sz w:val="24"/>
                <w:szCs w:val="24"/>
              </w:rPr>
            </w:pPr>
            <w:r>
              <w:rPr>
                <w:sz w:val="24"/>
                <w:szCs w:val="24"/>
              </w:rPr>
              <w:t>25 471</w:t>
            </w:r>
          </w:p>
        </w:tc>
        <w:tc>
          <w:tcPr>
            <w:tcW w:w="1169" w:type="dxa"/>
          </w:tcPr>
          <w:p w:rsidR="007E27CB" w:rsidRDefault="008F141F">
            <w:pPr>
              <w:spacing w:after="0" w:line="240" w:lineRule="auto"/>
              <w:jc w:val="center"/>
              <w:rPr>
                <w:sz w:val="24"/>
                <w:szCs w:val="24"/>
              </w:rPr>
            </w:pPr>
            <w:r>
              <w:rPr>
                <w:sz w:val="24"/>
                <w:szCs w:val="24"/>
              </w:rPr>
              <w:t>26 889</w:t>
            </w:r>
          </w:p>
        </w:tc>
        <w:tc>
          <w:tcPr>
            <w:tcW w:w="1170" w:type="dxa"/>
            <w:shd w:val="clear" w:color="auto" w:fill="auto"/>
          </w:tcPr>
          <w:p w:rsidR="007E27CB" w:rsidRDefault="008F141F">
            <w:pPr>
              <w:spacing w:after="0" w:line="240" w:lineRule="auto"/>
              <w:jc w:val="center"/>
              <w:rPr>
                <w:bCs/>
                <w:sz w:val="24"/>
                <w:szCs w:val="24"/>
              </w:rPr>
            </w:pPr>
            <w:r>
              <w:rPr>
                <w:bCs/>
                <w:sz w:val="24"/>
                <w:szCs w:val="24"/>
              </w:rPr>
              <w:t>133,7</w:t>
            </w:r>
          </w:p>
        </w:tc>
      </w:tr>
      <w:tr w:rsidR="007E27CB">
        <w:trPr>
          <w:trHeight w:val="20"/>
        </w:trPr>
        <w:tc>
          <w:tcPr>
            <w:tcW w:w="4253" w:type="dxa"/>
            <w:tcBorders>
              <w:bottom w:val="single" w:sz="4" w:space="0" w:color="auto"/>
            </w:tcBorders>
            <w:shd w:val="clear" w:color="auto" w:fill="auto"/>
            <w:vAlign w:val="center"/>
          </w:tcPr>
          <w:p w:rsidR="007E27CB" w:rsidRDefault="008F141F">
            <w:pPr>
              <w:spacing w:after="0" w:line="240" w:lineRule="auto"/>
              <w:jc w:val="center"/>
              <w:rPr>
                <w:sz w:val="24"/>
                <w:szCs w:val="24"/>
              </w:rPr>
            </w:pPr>
            <w:r>
              <w:rPr>
                <w:sz w:val="24"/>
                <w:szCs w:val="24"/>
              </w:rPr>
              <w:t>Россия</w:t>
            </w:r>
          </w:p>
        </w:tc>
        <w:tc>
          <w:tcPr>
            <w:tcW w:w="1559" w:type="dxa"/>
            <w:vMerge/>
            <w:tcBorders>
              <w:bottom w:val="single" w:sz="4" w:space="0" w:color="auto"/>
            </w:tcBorders>
            <w:shd w:val="clear" w:color="auto" w:fill="auto"/>
          </w:tcPr>
          <w:p w:rsidR="007E27CB" w:rsidRDefault="007E27CB">
            <w:pPr>
              <w:spacing w:after="0" w:line="240" w:lineRule="auto"/>
              <w:jc w:val="center"/>
              <w:rPr>
                <w:sz w:val="24"/>
                <w:szCs w:val="24"/>
              </w:rPr>
            </w:pPr>
          </w:p>
        </w:tc>
        <w:tc>
          <w:tcPr>
            <w:tcW w:w="1169" w:type="dxa"/>
            <w:gridSpan w:val="2"/>
            <w:tcBorders>
              <w:bottom w:val="single" w:sz="4" w:space="0" w:color="auto"/>
            </w:tcBorders>
            <w:vAlign w:val="bottom"/>
          </w:tcPr>
          <w:p w:rsidR="007E27CB" w:rsidRDefault="008F141F">
            <w:pPr>
              <w:spacing w:after="0" w:line="240" w:lineRule="auto"/>
              <w:jc w:val="center"/>
              <w:rPr>
                <w:bCs/>
                <w:sz w:val="24"/>
                <w:szCs w:val="24"/>
              </w:rPr>
            </w:pPr>
            <w:r>
              <w:rPr>
                <w:bCs/>
                <w:sz w:val="24"/>
                <w:szCs w:val="24"/>
              </w:rPr>
              <w:t>31 897</w:t>
            </w:r>
          </w:p>
        </w:tc>
        <w:tc>
          <w:tcPr>
            <w:tcW w:w="1170" w:type="dxa"/>
            <w:tcBorders>
              <w:bottom w:val="single" w:sz="4" w:space="0" w:color="auto"/>
            </w:tcBorders>
            <w:vAlign w:val="bottom"/>
          </w:tcPr>
          <w:p w:rsidR="007E27CB" w:rsidRDefault="008F141F">
            <w:pPr>
              <w:spacing w:after="0" w:line="240" w:lineRule="auto"/>
              <w:jc w:val="center"/>
              <w:rPr>
                <w:bCs/>
                <w:sz w:val="24"/>
                <w:szCs w:val="24"/>
              </w:rPr>
            </w:pPr>
            <w:r>
              <w:rPr>
                <w:bCs/>
                <w:sz w:val="24"/>
                <w:szCs w:val="24"/>
              </w:rPr>
              <w:t>33 178</w:t>
            </w:r>
          </w:p>
        </w:tc>
        <w:tc>
          <w:tcPr>
            <w:tcW w:w="1169" w:type="dxa"/>
            <w:tcBorders>
              <w:bottom w:val="single" w:sz="4" w:space="0" w:color="auto"/>
            </w:tcBorders>
            <w:vAlign w:val="bottom"/>
          </w:tcPr>
          <w:p w:rsidR="007E27CB" w:rsidRDefault="008F141F">
            <w:pPr>
              <w:spacing w:after="0" w:line="240" w:lineRule="auto"/>
              <w:jc w:val="center"/>
              <w:rPr>
                <w:bCs/>
                <w:sz w:val="24"/>
                <w:szCs w:val="24"/>
              </w:rPr>
            </w:pPr>
            <w:r>
              <w:rPr>
                <w:bCs/>
                <w:sz w:val="24"/>
                <w:szCs w:val="24"/>
              </w:rPr>
              <w:t>35 188</w:t>
            </w:r>
          </w:p>
        </w:tc>
        <w:tc>
          <w:tcPr>
            <w:tcW w:w="1170" w:type="dxa"/>
            <w:tcBorders>
              <w:bottom w:val="single" w:sz="4" w:space="0" w:color="auto"/>
            </w:tcBorders>
            <w:shd w:val="clear" w:color="auto" w:fill="auto"/>
          </w:tcPr>
          <w:p w:rsidR="007E27CB" w:rsidRDefault="008F141F">
            <w:pPr>
              <w:spacing w:after="0" w:line="240" w:lineRule="auto"/>
              <w:jc w:val="center"/>
              <w:rPr>
                <w:bCs/>
                <w:sz w:val="24"/>
                <w:szCs w:val="24"/>
              </w:rPr>
            </w:pPr>
            <w:r>
              <w:rPr>
                <w:bCs/>
                <w:sz w:val="24"/>
                <w:szCs w:val="24"/>
              </w:rPr>
              <w:t>137,0</w:t>
            </w:r>
          </w:p>
        </w:tc>
      </w:tr>
      <w:tr w:rsidR="007E27CB">
        <w:trPr>
          <w:trHeight w:val="20"/>
        </w:trPr>
        <w:tc>
          <w:tcPr>
            <w:tcW w:w="10490" w:type="dxa"/>
            <w:gridSpan w:val="7"/>
            <w:shd w:val="clear" w:color="auto" w:fill="F2F2F2" w:themeFill="background1" w:themeFillShade="F2"/>
            <w:vAlign w:val="center"/>
          </w:tcPr>
          <w:p w:rsidR="007E27CB" w:rsidRDefault="008F141F">
            <w:pPr>
              <w:spacing w:after="0" w:line="240" w:lineRule="auto"/>
              <w:jc w:val="center"/>
              <w:rPr>
                <w:b/>
                <w:sz w:val="24"/>
                <w:szCs w:val="24"/>
              </w:rPr>
            </w:pPr>
            <w:r>
              <w:rPr>
                <w:b/>
                <w:sz w:val="24"/>
                <w:szCs w:val="24"/>
              </w:rPr>
              <w:t>Среднемесячная номинальная начисленная заработная плата</w:t>
            </w:r>
          </w:p>
        </w:tc>
      </w:tr>
      <w:tr w:rsidR="007E27CB">
        <w:trPr>
          <w:trHeight w:val="20"/>
        </w:trPr>
        <w:tc>
          <w:tcPr>
            <w:tcW w:w="4253" w:type="dxa"/>
            <w:shd w:val="clear" w:color="auto" w:fill="auto"/>
            <w:vAlign w:val="center"/>
          </w:tcPr>
          <w:p w:rsidR="007E27CB" w:rsidRDefault="008F141F">
            <w:pPr>
              <w:spacing w:after="0" w:line="240" w:lineRule="auto"/>
              <w:jc w:val="center"/>
              <w:rPr>
                <w:sz w:val="24"/>
                <w:szCs w:val="24"/>
              </w:rPr>
            </w:pPr>
            <w:r>
              <w:rPr>
                <w:sz w:val="24"/>
                <w:szCs w:val="24"/>
              </w:rPr>
              <w:t>Томская область</w:t>
            </w:r>
          </w:p>
        </w:tc>
        <w:tc>
          <w:tcPr>
            <w:tcW w:w="1559" w:type="dxa"/>
            <w:vMerge w:val="restart"/>
            <w:shd w:val="clear" w:color="auto" w:fill="auto"/>
            <w:vAlign w:val="center"/>
          </w:tcPr>
          <w:p w:rsidR="007E27CB" w:rsidRDefault="008F141F">
            <w:pPr>
              <w:spacing w:after="0" w:line="240" w:lineRule="auto"/>
              <w:jc w:val="center"/>
              <w:rPr>
                <w:sz w:val="24"/>
                <w:szCs w:val="24"/>
              </w:rPr>
            </w:pPr>
            <w:r>
              <w:rPr>
                <w:sz w:val="24"/>
                <w:szCs w:val="24"/>
              </w:rPr>
              <w:t>рублей</w:t>
            </w:r>
          </w:p>
        </w:tc>
        <w:tc>
          <w:tcPr>
            <w:tcW w:w="1169" w:type="dxa"/>
            <w:gridSpan w:val="2"/>
            <w:vAlign w:val="center"/>
          </w:tcPr>
          <w:p w:rsidR="007E27CB" w:rsidRDefault="008F141F">
            <w:pPr>
              <w:spacing w:after="0" w:line="240" w:lineRule="auto"/>
              <w:jc w:val="center"/>
              <w:rPr>
                <w:bCs/>
                <w:sz w:val="24"/>
                <w:szCs w:val="24"/>
              </w:rPr>
            </w:pPr>
            <w:r>
              <w:rPr>
                <w:bCs/>
                <w:sz w:val="24"/>
                <w:szCs w:val="24"/>
              </w:rPr>
              <w:t>37 518</w:t>
            </w:r>
          </w:p>
        </w:tc>
        <w:tc>
          <w:tcPr>
            <w:tcW w:w="1170" w:type="dxa"/>
          </w:tcPr>
          <w:p w:rsidR="007E27CB" w:rsidRDefault="008F141F">
            <w:pPr>
              <w:spacing w:after="0" w:line="240" w:lineRule="auto"/>
              <w:jc w:val="center"/>
              <w:rPr>
                <w:i/>
                <w:sz w:val="24"/>
                <w:szCs w:val="24"/>
              </w:rPr>
            </w:pPr>
            <w:r>
              <w:rPr>
                <w:sz w:val="24"/>
                <w:szCs w:val="24"/>
              </w:rPr>
              <w:t>41 901</w:t>
            </w:r>
          </w:p>
        </w:tc>
        <w:tc>
          <w:tcPr>
            <w:tcW w:w="1169" w:type="dxa"/>
          </w:tcPr>
          <w:p w:rsidR="007E27CB" w:rsidRDefault="008F141F">
            <w:pPr>
              <w:spacing w:after="0" w:line="240" w:lineRule="auto"/>
              <w:jc w:val="center"/>
              <w:rPr>
                <w:sz w:val="24"/>
                <w:szCs w:val="24"/>
              </w:rPr>
            </w:pPr>
            <w:r>
              <w:rPr>
                <w:sz w:val="24"/>
                <w:szCs w:val="24"/>
              </w:rPr>
              <w:t>43 718</w:t>
            </w:r>
          </w:p>
        </w:tc>
        <w:tc>
          <w:tcPr>
            <w:tcW w:w="1170" w:type="dxa"/>
          </w:tcPr>
          <w:p w:rsidR="007E27CB" w:rsidRDefault="008F141F">
            <w:pPr>
              <w:spacing w:after="0" w:line="240" w:lineRule="auto"/>
              <w:jc w:val="center"/>
              <w:rPr>
                <w:bCs/>
                <w:sz w:val="24"/>
                <w:szCs w:val="24"/>
              </w:rPr>
            </w:pPr>
            <w:r>
              <w:rPr>
                <w:bCs/>
                <w:sz w:val="24"/>
                <w:szCs w:val="24"/>
              </w:rPr>
              <w:t>146,6</w:t>
            </w:r>
          </w:p>
        </w:tc>
      </w:tr>
      <w:tr w:rsidR="007E27CB">
        <w:trPr>
          <w:trHeight w:val="20"/>
        </w:trPr>
        <w:tc>
          <w:tcPr>
            <w:tcW w:w="4253" w:type="dxa"/>
            <w:shd w:val="clear" w:color="auto" w:fill="auto"/>
            <w:vAlign w:val="center"/>
          </w:tcPr>
          <w:p w:rsidR="007E27CB" w:rsidRDefault="008F141F">
            <w:pPr>
              <w:spacing w:after="0" w:line="240" w:lineRule="auto"/>
              <w:jc w:val="center"/>
              <w:rPr>
                <w:sz w:val="24"/>
                <w:szCs w:val="24"/>
              </w:rPr>
            </w:pPr>
            <w:r>
              <w:rPr>
                <w:sz w:val="24"/>
                <w:szCs w:val="24"/>
              </w:rPr>
              <w:t>СФО</w:t>
            </w:r>
          </w:p>
        </w:tc>
        <w:tc>
          <w:tcPr>
            <w:tcW w:w="1559" w:type="dxa"/>
            <w:vMerge/>
            <w:shd w:val="clear" w:color="auto" w:fill="auto"/>
          </w:tcPr>
          <w:p w:rsidR="007E27CB" w:rsidRDefault="007E27CB">
            <w:pPr>
              <w:spacing w:after="0" w:line="240" w:lineRule="auto"/>
              <w:jc w:val="center"/>
              <w:rPr>
                <w:sz w:val="24"/>
                <w:szCs w:val="24"/>
              </w:rPr>
            </w:pPr>
          </w:p>
        </w:tc>
        <w:tc>
          <w:tcPr>
            <w:tcW w:w="1169" w:type="dxa"/>
            <w:gridSpan w:val="2"/>
          </w:tcPr>
          <w:p w:rsidR="007E27CB" w:rsidRDefault="008F141F">
            <w:pPr>
              <w:spacing w:after="0" w:line="240" w:lineRule="auto"/>
              <w:jc w:val="center"/>
              <w:rPr>
                <w:sz w:val="24"/>
                <w:szCs w:val="24"/>
              </w:rPr>
            </w:pPr>
            <w:r>
              <w:rPr>
                <w:sz w:val="24"/>
                <w:szCs w:val="24"/>
              </w:rPr>
              <w:t>33 718</w:t>
            </w:r>
          </w:p>
        </w:tc>
        <w:tc>
          <w:tcPr>
            <w:tcW w:w="1170" w:type="dxa"/>
            <w:shd w:val="clear" w:color="auto" w:fill="auto"/>
          </w:tcPr>
          <w:p w:rsidR="007E27CB" w:rsidRDefault="008F141F">
            <w:pPr>
              <w:spacing w:after="0" w:line="240" w:lineRule="auto"/>
              <w:jc w:val="center"/>
              <w:rPr>
                <w:sz w:val="24"/>
                <w:szCs w:val="24"/>
              </w:rPr>
            </w:pPr>
            <w:r>
              <w:rPr>
                <w:sz w:val="24"/>
                <w:szCs w:val="24"/>
              </w:rPr>
              <w:t>37 807</w:t>
            </w:r>
          </w:p>
        </w:tc>
        <w:tc>
          <w:tcPr>
            <w:tcW w:w="1169" w:type="dxa"/>
            <w:shd w:val="clear" w:color="auto" w:fill="auto"/>
          </w:tcPr>
          <w:p w:rsidR="007E27CB" w:rsidRDefault="008F141F">
            <w:pPr>
              <w:spacing w:after="0" w:line="240" w:lineRule="auto"/>
              <w:jc w:val="center"/>
              <w:rPr>
                <w:sz w:val="24"/>
                <w:szCs w:val="24"/>
              </w:rPr>
            </w:pPr>
            <w:r>
              <w:rPr>
                <w:sz w:val="24"/>
                <w:szCs w:val="24"/>
              </w:rPr>
              <w:t>40 880</w:t>
            </w:r>
          </w:p>
        </w:tc>
        <w:tc>
          <w:tcPr>
            <w:tcW w:w="1170" w:type="dxa"/>
          </w:tcPr>
          <w:p w:rsidR="007E27CB" w:rsidRDefault="008F141F">
            <w:pPr>
              <w:spacing w:after="0" w:line="240" w:lineRule="auto"/>
              <w:jc w:val="center"/>
              <w:rPr>
                <w:bCs/>
                <w:sz w:val="24"/>
                <w:szCs w:val="24"/>
              </w:rPr>
            </w:pPr>
            <w:r>
              <w:rPr>
                <w:bCs/>
                <w:sz w:val="24"/>
                <w:szCs w:val="24"/>
              </w:rPr>
              <w:t>154,9</w:t>
            </w:r>
          </w:p>
        </w:tc>
      </w:tr>
      <w:tr w:rsidR="007E27CB">
        <w:trPr>
          <w:trHeight w:val="20"/>
        </w:trPr>
        <w:tc>
          <w:tcPr>
            <w:tcW w:w="4253" w:type="dxa"/>
            <w:tcBorders>
              <w:bottom w:val="single" w:sz="4" w:space="0" w:color="auto"/>
            </w:tcBorders>
            <w:shd w:val="clear" w:color="auto" w:fill="auto"/>
            <w:vAlign w:val="center"/>
          </w:tcPr>
          <w:p w:rsidR="007E27CB" w:rsidRDefault="008F141F">
            <w:pPr>
              <w:spacing w:after="0" w:line="240" w:lineRule="auto"/>
              <w:jc w:val="center"/>
              <w:rPr>
                <w:sz w:val="24"/>
                <w:szCs w:val="24"/>
              </w:rPr>
            </w:pPr>
            <w:r>
              <w:rPr>
                <w:sz w:val="24"/>
                <w:szCs w:val="24"/>
              </w:rPr>
              <w:t>Россия</w:t>
            </w:r>
          </w:p>
        </w:tc>
        <w:tc>
          <w:tcPr>
            <w:tcW w:w="1559" w:type="dxa"/>
            <w:vMerge/>
            <w:tcBorders>
              <w:bottom w:val="single" w:sz="4" w:space="0" w:color="auto"/>
            </w:tcBorders>
            <w:shd w:val="clear" w:color="auto" w:fill="auto"/>
          </w:tcPr>
          <w:p w:rsidR="007E27CB" w:rsidRDefault="007E27CB">
            <w:pPr>
              <w:spacing w:after="0" w:line="240" w:lineRule="auto"/>
              <w:jc w:val="center"/>
              <w:rPr>
                <w:sz w:val="24"/>
                <w:szCs w:val="24"/>
              </w:rPr>
            </w:pPr>
          </w:p>
        </w:tc>
        <w:tc>
          <w:tcPr>
            <w:tcW w:w="1169" w:type="dxa"/>
            <w:gridSpan w:val="2"/>
            <w:tcBorders>
              <w:bottom w:val="single" w:sz="4" w:space="0" w:color="auto"/>
            </w:tcBorders>
            <w:vAlign w:val="center"/>
          </w:tcPr>
          <w:p w:rsidR="007E27CB" w:rsidRDefault="008F141F">
            <w:pPr>
              <w:spacing w:after="0" w:line="240" w:lineRule="auto"/>
              <w:jc w:val="center"/>
              <w:rPr>
                <w:bCs/>
                <w:sz w:val="24"/>
                <w:szCs w:val="24"/>
              </w:rPr>
            </w:pPr>
            <w:r>
              <w:rPr>
                <w:bCs/>
                <w:sz w:val="24"/>
                <w:szCs w:val="24"/>
              </w:rPr>
              <w:t>39 167</w:t>
            </w:r>
          </w:p>
        </w:tc>
        <w:tc>
          <w:tcPr>
            <w:tcW w:w="1170" w:type="dxa"/>
            <w:tcBorders>
              <w:bottom w:val="single" w:sz="4" w:space="0" w:color="auto"/>
            </w:tcBorders>
          </w:tcPr>
          <w:p w:rsidR="007E27CB" w:rsidRDefault="008F141F">
            <w:pPr>
              <w:spacing w:after="0" w:line="240" w:lineRule="auto"/>
              <w:jc w:val="center"/>
              <w:rPr>
                <w:sz w:val="24"/>
                <w:szCs w:val="24"/>
              </w:rPr>
            </w:pPr>
            <w:r>
              <w:rPr>
                <w:sz w:val="24"/>
                <w:szCs w:val="24"/>
              </w:rPr>
              <w:t>43 724</w:t>
            </w:r>
          </w:p>
        </w:tc>
        <w:tc>
          <w:tcPr>
            <w:tcW w:w="1169" w:type="dxa"/>
            <w:tcBorders>
              <w:bottom w:val="single" w:sz="4" w:space="0" w:color="auto"/>
            </w:tcBorders>
          </w:tcPr>
          <w:p w:rsidR="007E27CB" w:rsidRDefault="008F141F">
            <w:pPr>
              <w:spacing w:after="0" w:line="240" w:lineRule="auto"/>
              <w:jc w:val="center"/>
              <w:rPr>
                <w:sz w:val="24"/>
                <w:szCs w:val="24"/>
              </w:rPr>
            </w:pPr>
            <w:r>
              <w:rPr>
                <w:sz w:val="24"/>
                <w:szCs w:val="24"/>
              </w:rPr>
              <w:t>47 468</w:t>
            </w:r>
          </w:p>
        </w:tc>
        <w:tc>
          <w:tcPr>
            <w:tcW w:w="1170" w:type="dxa"/>
            <w:tcBorders>
              <w:bottom w:val="single" w:sz="4" w:space="0" w:color="auto"/>
            </w:tcBorders>
          </w:tcPr>
          <w:p w:rsidR="007E27CB" w:rsidRDefault="008F141F">
            <w:pPr>
              <w:spacing w:after="0" w:line="240" w:lineRule="auto"/>
              <w:jc w:val="center"/>
              <w:rPr>
                <w:bCs/>
                <w:sz w:val="24"/>
                <w:szCs w:val="24"/>
              </w:rPr>
            </w:pPr>
            <w:r>
              <w:rPr>
                <w:bCs/>
                <w:sz w:val="24"/>
                <w:szCs w:val="24"/>
              </w:rPr>
              <w:t>159,3</w:t>
            </w:r>
          </w:p>
        </w:tc>
      </w:tr>
      <w:tr w:rsidR="007E27CB">
        <w:trPr>
          <w:trHeight w:val="20"/>
        </w:trPr>
        <w:tc>
          <w:tcPr>
            <w:tcW w:w="10490" w:type="dxa"/>
            <w:gridSpan w:val="7"/>
            <w:shd w:val="clear" w:color="auto" w:fill="F2F2F2" w:themeFill="background1" w:themeFillShade="F2"/>
            <w:vAlign w:val="center"/>
          </w:tcPr>
          <w:p w:rsidR="007E27CB" w:rsidRDefault="008F141F">
            <w:pPr>
              <w:spacing w:after="0" w:line="240" w:lineRule="auto"/>
              <w:jc w:val="center"/>
              <w:rPr>
                <w:b/>
                <w:sz w:val="24"/>
                <w:szCs w:val="24"/>
              </w:rPr>
            </w:pPr>
            <w:r>
              <w:rPr>
                <w:b/>
                <w:sz w:val="24"/>
                <w:szCs w:val="24"/>
              </w:rPr>
              <w:t>Коэффициент естественного прироста</w:t>
            </w:r>
          </w:p>
        </w:tc>
      </w:tr>
      <w:tr w:rsidR="007E27CB">
        <w:trPr>
          <w:trHeight w:val="20"/>
        </w:trPr>
        <w:tc>
          <w:tcPr>
            <w:tcW w:w="4253" w:type="dxa"/>
            <w:shd w:val="clear" w:color="auto" w:fill="auto"/>
            <w:vAlign w:val="center"/>
          </w:tcPr>
          <w:p w:rsidR="007E27CB" w:rsidRDefault="008F141F">
            <w:pPr>
              <w:spacing w:after="0" w:line="240" w:lineRule="auto"/>
              <w:jc w:val="center"/>
              <w:rPr>
                <w:sz w:val="24"/>
                <w:szCs w:val="24"/>
              </w:rPr>
            </w:pPr>
            <w:r>
              <w:rPr>
                <w:sz w:val="24"/>
                <w:szCs w:val="24"/>
              </w:rPr>
              <w:t>Томская область</w:t>
            </w:r>
          </w:p>
        </w:tc>
        <w:tc>
          <w:tcPr>
            <w:tcW w:w="1559" w:type="dxa"/>
            <w:vMerge w:val="restart"/>
            <w:shd w:val="clear" w:color="auto" w:fill="auto"/>
            <w:vAlign w:val="center"/>
          </w:tcPr>
          <w:p w:rsidR="007E27CB" w:rsidRDefault="008F141F">
            <w:pPr>
              <w:spacing w:after="0" w:line="240" w:lineRule="auto"/>
              <w:jc w:val="center"/>
              <w:rPr>
                <w:sz w:val="24"/>
                <w:szCs w:val="24"/>
              </w:rPr>
            </w:pPr>
            <w:r>
              <w:rPr>
                <w:sz w:val="24"/>
                <w:szCs w:val="24"/>
              </w:rPr>
              <w:t>человек на 1000 населения</w:t>
            </w:r>
          </w:p>
        </w:tc>
        <w:tc>
          <w:tcPr>
            <w:tcW w:w="1169" w:type="dxa"/>
            <w:gridSpan w:val="2"/>
          </w:tcPr>
          <w:p w:rsidR="007E27CB" w:rsidRDefault="008F141F">
            <w:pPr>
              <w:spacing w:after="0" w:line="240" w:lineRule="auto"/>
              <w:jc w:val="center"/>
              <w:rPr>
                <w:sz w:val="24"/>
                <w:szCs w:val="24"/>
              </w:rPr>
            </w:pPr>
            <w:r>
              <w:rPr>
                <w:sz w:val="24"/>
                <w:szCs w:val="24"/>
              </w:rPr>
              <w:t>0,5</w:t>
            </w:r>
          </w:p>
        </w:tc>
        <w:tc>
          <w:tcPr>
            <w:tcW w:w="1170" w:type="dxa"/>
          </w:tcPr>
          <w:p w:rsidR="007E27CB" w:rsidRDefault="008F141F">
            <w:pPr>
              <w:spacing w:after="0" w:line="240" w:lineRule="auto"/>
              <w:jc w:val="center"/>
              <w:rPr>
                <w:sz w:val="24"/>
                <w:szCs w:val="24"/>
              </w:rPr>
            </w:pPr>
            <w:r>
              <w:rPr>
                <w:sz w:val="24"/>
                <w:szCs w:val="24"/>
              </w:rPr>
              <w:t>-0,2</w:t>
            </w:r>
          </w:p>
        </w:tc>
        <w:tc>
          <w:tcPr>
            <w:tcW w:w="1169" w:type="dxa"/>
          </w:tcPr>
          <w:p w:rsidR="007E27CB" w:rsidRDefault="008F141F">
            <w:pPr>
              <w:spacing w:after="0" w:line="240" w:lineRule="auto"/>
              <w:jc w:val="center"/>
              <w:rPr>
                <w:sz w:val="24"/>
                <w:szCs w:val="24"/>
              </w:rPr>
            </w:pPr>
            <w:r>
              <w:rPr>
                <w:sz w:val="24"/>
                <w:szCs w:val="24"/>
              </w:rPr>
              <w:t>-1,5</w:t>
            </w:r>
          </w:p>
        </w:tc>
        <w:tc>
          <w:tcPr>
            <w:tcW w:w="1170" w:type="dxa"/>
            <w:vAlign w:val="center"/>
          </w:tcPr>
          <w:p w:rsidR="007E27CB" w:rsidRDefault="008F141F">
            <w:pPr>
              <w:spacing w:after="0" w:line="240" w:lineRule="auto"/>
              <w:jc w:val="center"/>
              <w:rPr>
                <w:sz w:val="24"/>
                <w:szCs w:val="24"/>
              </w:rPr>
            </w:pPr>
            <w:r>
              <w:rPr>
                <w:sz w:val="24"/>
                <w:szCs w:val="24"/>
              </w:rPr>
              <w:t>Х</w:t>
            </w:r>
          </w:p>
        </w:tc>
      </w:tr>
      <w:tr w:rsidR="007E27CB">
        <w:trPr>
          <w:trHeight w:val="20"/>
        </w:trPr>
        <w:tc>
          <w:tcPr>
            <w:tcW w:w="4253" w:type="dxa"/>
            <w:shd w:val="clear" w:color="auto" w:fill="auto"/>
          </w:tcPr>
          <w:p w:rsidR="007E27CB" w:rsidRDefault="008F141F">
            <w:pPr>
              <w:spacing w:after="0" w:line="240" w:lineRule="auto"/>
              <w:jc w:val="center"/>
              <w:rPr>
                <w:sz w:val="24"/>
                <w:szCs w:val="24"/>
              </w:rPr>
            </w:pPr>
            <w:r>
              <w:rPr>
                <w:sz w:val="24"/>
                <w:szCs w:val="24"/>
              </w:rPr>
              <w:t>СФО</w:t>
            </w:r>
          </w:p>
        </w:tc>
        <w:tc>
          <w:tcPr>
            <w:tcW w:w="1559" w:type="dxa"/>
            <w:vMerge/>
            <w:shd w:val="clear" w:color="auto" w:fill="auto"/>
          </w:tcPr>
          <w:p w:rsidR="007E27CB" w:rsidRDefault="007E27CB">
            <w:pPr>
              <w:spacing w:after="0" w:line="240" w:lineRule="auto"/>
              <w:jc w:val="center"/>
              <w:rPr>
                <w:sz w:val="24"/>
                <w:szCs w:val="24"/>
              </w:rPr>
            </w:pPr>
          </w:p>
        </w:tc>
        <w:tc>
          <w:tcPr>
            <w:tcW w:w="1169" w:type="dxa"/>
            <w:gridSpan w:val="2"/>
          </w:tcPr>
          <w:p w:rsidR="007E27CB" w:rsidRDefault="008F141F">
            <w:pPr>
              <w:spacing w:after="0" w:line="240" w:lineRule="auto"/>
              <w:jc w:val="center"/>
              <w:rPr>
                <w:sz w:val="24"/>
                <w:szCs w:val="24"/>
              </w:rPr>
            </w:pPr>
            <w:r>
              <w:rPr>
                <w:sz w:val="24"/>
                <w:szCs w:val="24"/>
              </w:rPr>
              <w:t>-0,6</w:t>
            </w:r>
          </w:p>
        </w:tc>
        <w:tc>
          <w:tcPr>
            <w:tcW w:w="1170" w:type="dxa"/>
          </w:tcPr>
          <w:p w:rsidR="007E27CB" w:rsidRDefault="008F141F">
            <w:pPr>
              <w:spacing w:after="0" w:line="240" w:lineRule="auto"/>
              <w:jc w:val="center"/>
              <w:rPr>
                <w:sz w:val="24"/>
                <w:szCs w:val="24"/>
              </w:rPr>
            </w:pPr>
            <w:r>
              <w:rPr>
                <w:sz w:val="24"/>
                <w:szCs w:val="24"/>
              </w:rPr>
              <w:t>-1,5</w:t>
            </w:r>
          </w:p>
        </w:tc>
        <w:tc>
          <w:tcPr>
            <w:tcW w:w="1169" w:type="dxa"/>
          </w:tcPr>
          <w:p w:rsidR="007E27CB" w:rsidRDefault="008F141F">
            <w:pPr>
              <w:spacing w:after="0" w:line="240" w:lineRule="auto"/>
              <w:jc w:val="center"/>
              <w:rPr>
                <w:sz w:val="24"/>
                <w:szCs w:val="24"/>
              </w:rPr>
            </w:pPr>
            <w:r>
              <w:rPr>
                <w:sz w:val="24"/>
                <w:szCs w:val="24"/>
              </w:rPr>
              <w:t>-2,5</w:t>
            </w:r>
          </w:p>
        </w:tc>
        <w:tc>
          <w:tcPr>
            <w:tcW w:w="1170" w:type="dxa"/>
            <w:vAlign w:val="center"/>
          </w:tcPr>
          <w:p w:rsidR="007E27CB" w:rsidRDefault="008F141F">
            <w:pPr>
              <w:spacing w:after="0" w:line="240" w:lineRule="auto"/>
              <w:jc w:val="center"/>
              <w:rPr>
                <w:sz w:val="24"/>
                <w:szCs w:val="24"/>
              </w:rPr>
            </w:pPr>
            <w:r>
              <w:rPr>
                <w:sz w:val="24"/>
                <w:szCs w:val="24"/>
              </w:rPr>
              <w:t>Х</w:t>
            </w:r>
          </w:p>
        </w:tc>
      </w:tr>
      <w:tr w:rsidR="007E27CB">
        <w:trPr>
          <w:trHeight w:val="20"/>
        </w:trPr>
        <w:tc>
          <w:tcPr>
            <w:tcW w:w="4253" w:type="dxa"/>
            <w:shd w:val="clear" w:color="auto" w:fill="auto"/>
          </w:tcPr>
          <w:p w:rsidR="007E27CB" w:rsidRDefault="008F141F">
            <w:pPr>
              <w:spacing w:after="0" w:line="240" w:lineRule="auto"/>
              <w:jc w:val="center"/>
              <w:rPr>
                <w:sz w:val="24"/>
                <w:szCs w:val="24"/>
              </w:rPr>
            </w:pPr>
            <w:r>
              <w:rPr>
                <w:sz w:val="24"/>
                <w:szCs w:val="24"/>
              </w:rPr>
              <w:t>Россия</w:t>
            </w:r>
          </w:p>
        </w:tc>
        <w:tc>
          <w:tcPr>
            <w:tcW w:w="1559" w:type="dxa"/>
            <w:vMerge/>
            <w:shd w:val="clear" w:color="auto" w:fill="auto"/>
          </w:tcPr>
          <w:p w:rsidR="007E27CB" w:rsidRDefault="007E27CB">
            <w:pPr>
              <w:spacing w:after="0" w:line="240" w:lineRule="auto"/>
              <w:jc w:val="center"/>
              <w:rPr>
                <w:sz w:val="24"/>
                <w:szCs w:val="24"/>
              </w:rPr>
            </w:pPr>
          </w:p>
        </w:tc>
        <w:tc>
          <w:tcPr>
            <w:tcW w:w="1169" w:type="dxa"/>
            <w:gridSpan w:val="2"/>
          </w:tcPr>
          <w:p w:rsidR="007E27CB" w:rsidRDefault="008F141F">
            <w:pPr>
              <w:spacing w:after="0" w:line="240" w:lineRule="auto"/>
              <w:jc w:val="center"/>
              <w:rPr>
                <w:sz w:val="24"/>
                <w:szCs w:val="24"/>
              </w:rPr>
            </w:pPr>
            <w:r>
              <w:rPr>
                <w:sz w:val="24"/>
                <w:szCs w:val="24"/>
              </w:rPr>
              <w:t>-0,9</w:t>
            </w:r>
          </w:p>
        </w:tc>
        <w:tc>
          <w:tcPr>
            <w:tcW w:w="1170" w:type="dxa"/>
          </w:tcPr>
          <w:p w:rsidR="007E27CB" w:rsidRDefault="008F141F">
            <w:pPr>
              <w:spacing w:after="0" w:line="240" w:lineRule="auto"/>
              <w:jc w:val="center"/>
              <w:rPr>
                <w:sz w:val="24"/>
                <w:szCs w:val="24"/>
              </w:rPr>
            </w:pPr>
            <w:r>
              <w:rPr>
                <w:sz w:val="24"/>
                <w:szCs w:val="24"/>
              </w:rPr>
              <w:t>-1,5</w:t>
            </w:r>
          </w:p>
        </w:tc>
        <w:tc>
          <w:tcPr>
            <w:tcW w:w="1169" w:type="dxa"/>
          </w:tcPr>
          <w:p w:rsidR="007E27CB" w:rsidRDefault="008F141F">
            <w:pPr>
              <w:spacing w:after="0" w:line="240" w:lineRule="auto"/>
              <w:jc w:val="center"/>
              <w:rPr>
                <w:sz w:val="24"/>
                <w:szCs w:val="24"/>
              </w:rPr>
            </w:pPr>
            <w:r>
              <w:rPr>
                <w:sz w:val="24"/>
                <w:szCs w:val="24"/>
              </w:rPr>
              <w:t>-2,2</w:t>
            </w:r>
          </w:p>
        </w:tc>
        <w:tc>
          <w:tcPr>
            <w:tcW w:w="1170" w:type="dxa"/>
            <w:vAlign w:val="center"/>
          </w:tcPr>
          <w:p w:rsidR="007E27CB" w:rsidRDefault="008F141F">
            <w:pPr>
              <w:spacing w:after="0" w:line="240" w:lineRule="auto"/>
              <w:jc w:val="center"/>
              <w:rPr>
                <w:sz w:val="24"/>
                <w:szCs w:val="24"/>
              </w:rPr>
            </w:pPr>
            <w:r>
              <w:rPr>
                <w:sz w:val="24"/>
                <w:szCs w:val="24"/>
              </w:rPr>
              <w:t>Х</w:t>
            </w:r>
          </w:p>
        </w:tc>
      </w:tr>
    </w:tbl>
    <w:p w:rsidR="007E27CB" w:rsidRDefault="007E27CB">
      <w:pPr>
        <w:tabs>
          <w:tab w:val="left" w:pos="4962"/>
        </w:tabs>
        <w:spacing w:after="0" w:line="240" w:lineRule="auto"/>
        <w:ind w:left="-720"/>
        <w:jc w:val="both"/>
        <w:rPr>
          <w:rFonts w:eastAsia="Calibri"/>
          <w:sz w:val="24"/>
          <w:szCs w:val="24"/>
          <w:vertAlign w:val="superscript"/>
        </w:rPr>
      </w:pPr>
    </w:p>
    <w:p w:rsidR="007E27CB" w:rsidRDefault="008F141F">
      <w:pPr>
        <w:pStyle w:val="a6"/>
        <w:numPr>
          <w:ilvl w:val="0"/>
          <w:numId w:val="101"/>
        </w:numPr>
        <w:tabs>
          <w:tab w:val="left" w:pos="284"/>
        </w:tabs>
        <w:spacing w:after="0" w:line="240" w:lineRule="auto"/>
        <w:ind w:left="0" w:firstLine="0"/>
        <w:jc w:val="both"/>
        <w:rPr>
          <w:rFonts w:ascii="Times New Roman" w:hAnsi="Times New Roman"/>
          <w:sz w:val="24"/>
          <w:szCs w:val="24"/>
        </w:rPr>
      </w:pPr>
      <w:r>
        <w:rPr>
          <w:rFonts w:ascii="Times New Roman" w:hAnsi="Times New Roman"/>
          <w:sz w:val="24"/>
          <w:szCs w:val="24"/>
        </w:rPr>
        <w:t>- Оценка Департамента экономики Администрации Томской области</w:t>
      </w:r>
    </w:p>
    <w:p w:rsidR="007E27CB" w:rsidRDefault="008F141F">
      <w:pPr>
        <w:pStyle w:val="a6"/>
        <w:numPr>
          <w:ilvl w:val="0"/>
          <w:numId w:val="101"/>
        </w:numPr>
        <w:tabs>
          <w:tab w:val="left" w:pos="284"/>
        </w:tabs>
        <w:spacing w:line="240" w:lineRule="auto"/>
        <w:ind w:left="0" w:firstLine="0"/>
        <w:jc w:val="both"/>
        <w:rPr>
          <w:rFonts w:ascii="Times New Roman" w:hAnsi="Times New Roman"/>
          <w:b/>
          <w:bCs/>
          <w:sz w:val="24"/>
          <w:szCs w:val="24"/>
          <w:lang w:eastAsia="x-none"/>
        </w:rPr>
      </w:pPr>
      <w:r>
        <w:rPr>
          <w:rFonts w:ascii="Times New Roman" w:hAnsi="Times New Roman"/>
          <w:bCs/>
          <w:sz w:val="24"/>
          <w:szCs w:val="24"/>
          <w:lang w:eastAsia="x-none"/>
        </w:rPr>
        <w:t>- Без учета жилых домов, построенных на земельных участках, предназначенных для ведения гражданами садоводства</w:t>
      </w:r>
    </w:p>
    <w:p w:rsidR="007E27CB" w:rsidRDefault="007E27CB">
      <w:pPr>
        <w:pStyle w:val="a6"/>
        <w:tabs>
          <w:tab w:val="left" w:pos="4962"/>
        </w:tabs>
        <w:spacing w:after="0" w:line="240" w:lineRule="auto"/>
        <w:ind w:left="-360"/>
        <w:jc w:val="both"/>
        <w:rPr>
          <w:rFonts w:ascii="Times New Roman" w:hAnsi="Times New Roman"/>
          <w:color w:val="FF0000"/>
          <w:sz w:val="24"/>
          <w:szCs w:val="24"/>
        </w:rPr>
      </w:pPr>
    </w:p>
    <w:p w:rsidR="007E27CB" w:rsidRDefault="007E27CB">
      <w:pPr>
        <w:tabs>
          <w:tab w:val="left" w:pos="4962"/>
        </w:tabs>
        <w:spacing w:after="0" w:line="240" w:lineRule="auto"/>
        <w:ind w:firstLine="567"/>
        <w:jc w:val="both"/>
        <w:rPr>
          <w:b/>
          <w:color w:val="FF0000"/>
          <w:sz w:val="24"/>
          <w:szCs w:val="24"/>
        </w:rPr>
      </w:pPr>
    </w:p>
    <w:p w:rsidR="007E27CB" w:rsidRDefault="007E27CB">
      <w:pPr>
        <w:tabs>
          <w:tab w:val="left" w:pos="4962"/>
        </w:tabs>
        <w:spacing w:after="0" w:line="240" w:lineRule="auto"/>
        <w:jc w:val="both"/>
        <w:rPr>
          <w:b/>
          <w:color w:val="FF0000"/>
          <w:sz w:val="24"/>
          <w:szCs w:val="24"/>
        </w:rPr>
        <w:sectPr w:rsidR="007E27CB">
          <w:footerReference w:type="default" r:id="rId36"/>
          <w:pgSz w:w="11906" w:h="16838" w:code="9"/>
          <w:pgMar w:top="1134" w:right="851" w:bottom="1134" w:left="1701" w:header="709" w:footer="709" w:gutter="0"/>
          <w:cols w:space="708"/>
          <w:titlePg/>
          <w:docGrid w:linePitch="360"/>
        </w:sectPr>
      </w:pPr>
    </w:p>
    <w:p w:rsidR="007E27CB" w:rsidRDefault="008F141F">
      <w:pPr>
        <w:tabs>
          <w:tab w:val="left" w:pos="993"/>
          <w:tab w:val="left" w:pos="4962"/>
        </w:tabs>
        <w:spacing w:after="0" w:line="240" w:lineRule="auto"/>
        <w:jc w:val="center"/>
        <w:rPr>
          <w:rFonts w:eastAsia="Calibri"/>
          <w:b/>
          <w:sz w:val="24"/>
          <w:szCs w:val="24"/>
        </w:rPr>
      </w:pPr>
      <w:r>
        <w:rPr>
          <w:rFonts w:eastAsia="Calibri"/>
          <w:b/>
          <w:sz w:val="24"/>
          <w:szCs w:val="24"/>
        </w:rPr>
        <w:t>Приложение №2. Мониторинг исполнения основных показателей Стратегии социально-экономического развития Томской области до 2030 года в 2019 году</w:t>
      </w:r>
    </w:p>
    <w:p w:rsidR="007E27CB" w:rsidRDefault="007E27CB">
      <w:pPr>
        <w:tabs>
          <w:tab w:val="left" w:pos="993"/>
          <w:tab w:val="left" w:pos="4962"/>
        </w:tabs>
        <w:spacing w:after="0" w:line="240" w:lineRule="auto"/>
        <w:ind w:firstLine="709"/>
        <w:jc w:val="right"/>
        <w:rPr>
          <w:rFonts w:eastAsia="Calibri"/>
          <w:b/>
          <w:sz w:val="24"/>
          <w:szCs w:val="24"/>
        </w:rPr>
      </w:pPr>
    </w:p>
    <w:tbl>
      <w:tblPr>
        <w:tblStyle w:val="afd"/>
        <w:tblW w:w="15877" w:type="dxa"/>
        <w:tblInd w:w="-318" w:type="dxa"/>
        <w:tblLayout w:type="fixed"/>
        <w:tblLook w:val="04A0" w:firstRow="1" w:lastRow="0" w:firstColumn="1" w:lastColumn="0" w:noHBand="0" w:noVBand="1"/>
      </w:tblPr>
      <w:tblGrid>
        <w:gridCol w:w="4786"/>
        <w:gridCol w:w="1594"/>
        <w:gridCol w:w="1417"/>
        <w:gridCol w:w="1418"/>
        <w:gridCol w:w="6662"/>
      </w:tblGrid>
      <w:tr w:rsidR="007E27CB">
        <w:trPr>
          <w:tblHeader/>
        </w:trPr>
        <w:tc>
          <w:tcPr>
            <w:tcW w:w="4786" w:type="dxa"/>
          </w:tcPr>
          <w:p w:rsidR="007E27CB" w:rsidRDefault="008F141F">
            <w:pPr>
              <w:tabs>
                <w:tab w:val="left" w:pos="4962"/>
              </w:tabs>
              <w:jc w:val="center"/>
              <w:rPr>
                <w:rFonts w:ascii="Times New Roman" w:hAnsi="Times New Roman" w:cs="Times New Roman"/>
                <w:sz w:val="24"/>
                <w:szCs w:val="24"/>
              </w:rPr>
            </w:pPr>
            <w:r>
              <w:rPr>
                <w:rFonts w:ascii="Times New Roman" w:eastAsia="Times New Roman" w:hAnsi="Times New Roman" w:cs="Times New Roman"/>
                <w:sz w:val="24"/>
                <w:szCs w:val="24"/>
              </w:rPr>
              <w:t>Наименование показателя достижения целей и задач социально-экономического развития</w:t>
            </w:r>
          </w:p>
        </w:tc>
        <w:tc>
          <w:tcPr>
            <w:tcW w:w="1594" w:type="dxa"/>
          </w:tcPr>
          <w:p w:rsidR="007E27CB" w:rsidRDefault="008F141F">
            <w:pPr>
              <w:tabs>
                <w:tab w:val="left" w:pos="4962"/>
              </w:tabs>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Фактическое значение показателя за 2019 год</w:t>
            </w:r>
          </w:p>
        </w:tc>
        <w:tc>
          <w:tcPr>
            <w:tcW w:w="1417" w:type="dxa"/>
          </w:tcPr>
          <w:p w:rsidR="007E27CB" w:rsidRDefault="008F141F">
            <w:pPr>
              <w:tabs>
                <w:tab w:val="left" w:pos="4962"/>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Оценка значения показателя в 2020 году</w:t>
            </w:r>
          </w:p>
        </w:tc>
        <w:tc>
          <w:tcPr>
            <w:tcW w:w="1418" w:type="dxa"/>
          </w:tcPr>
          <w:p w:rsidR="007E27CB" w:rsidRDefault="008F141F">
            <w:pPr>
              <w:tabs>
                <w:tab w:val="left" w:pos="4962"/>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Целевое значение показателя на 2020 год</w:t>
            </w:r>
          </w:p>
        </w:tc>
        <w:tc>
          <w:tcPr>
            <w:tcW w:w="6662" w:type="dxa"/>
          </w:tcPr>
          <w:p w:rsidR="007E27CB" w:rsidRDefault="008F141F">
            <w:pPr>
              <w:tabs>
                <w:tab w:val="left" w:pos="4962"/>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Краткое описание достигнутых значений показателей в 2019 году и оценка достижения в 2020 году </w:t>
            </w:r>
          </w:p>
        </w:tc>
      </w:tr>
      <w:tr w:rsidR="007E27CB">
        <w:tc>
          <w:tcPr>
            <w:tcW w:w="15877" w:type="dxa"/>
            <w:gridSpan w:val="5"/>
          </w:tcPr>
          <w:p w:rsidR="007E27CB" w:rsidRDefault="008F141F">
            <w:pPr>
              <w:tabs>
                <w:tab w:val="left" w:pos="4962"/>
              </w:tabs>
              <w:jc w:val="center"/>
              <w:rPr>
                <w:rFonts w:ascii="Times New Roman" w:hAnsi="Times New Roman" w:cs="Times New Roman"/>
                <w:sz w:val="24"/>
                <w:szCs w:val="24"/>
              </w:rPr>
            </w:pPr>
            <w:r>
              <w:rPr>
                <w:rFonts w:ascii="Times New Roman" w:eastAsia="Times New Roman" w:hAnsi="Times New Roman" w:cs="Times New Roman"/>
                <w:sz w:val="24"/>
                <w:szCs w:val="24"/>
              </w:rPr>
              <w:t xml:space="preserve">Цель 1. </w:t>
            </w:r>
            <w:r>
              <w:rPr>
                <w:rFonts w:ascii="Times New Roman" w:hAnsi="Times New Roman" w:cs="Times New Roman"/>
                <w:sz w:val="24"/>
                <w:szCs w:val="24"/>
              </w:rPr>
              <w:t>Реализация модели интенсивного развития, включая развитие высокотехнологичных производств на основе потенциала научно-образовательного комплекса, создание условий для инвестиций, развитие предпринимательства</w:t>
            </w:r>
          </w:p>
        </w:tc>
      </w:tr>
      <w:tr w:rsidR="007E27CB">
        <w:tc>
          <w:tcPr>
            <w:tcW w:w="4786" w:type="dxa"/>
          </w:tcPr>
          <w:p w:rsidR="007E27CB" w:rsidRDefault="008F141F">
            <w:pPr>
              <w:pStyle w:val="ConsPlusNormal"/>
              <w:tabs>
                <w:tab w:val="left" w:pos="4962"/>
              </w:tabs>
              <w:rPr>
                <w:rFonts w:ascii="Times New Roman" w:hAnsi="Times New Roman" w:cs="Times New Roman"/>
                <w:b w:val="0"/>
                <w:sz w:val="24"/>
                <w:szCs w:val="24"/>
              </w:rPr>
            </w:pPr>
            <w:r>
              <w:rPr>
                <w:rFonts w:ascii="Times New Roman" w:hAnsi="Times New Roman" w:cs="Times New Roman"/>
                <w:b w:val="0"/>
                <w:sz w:val="24"/>
                <w:szCs w:val="24"/>
              </w:rPr>
              <w:t>Прирост объема производства по виду экономической деятельности «</w:t>
            </w:r>
            <w:r>
              <w:rPr>
                <w:rFonts w:ascii="Times New Roman" w:hAnsi="Times New Roman" w:cs="Times New Roman"/>
                <w:b w:val="0"/>
                <w:color w:val="000000"/>
                <w:sz w:val="24"/>
                <w:szCs w:val="24"/>
              </w:rPr>
              <w:t>Обрабатывающие</w:t>
            </w:r>
            <w:r>
              <w:rPr>
                <w:rFonts w:ascii="Times New Roman" w:hAnsi="Times New Roman" w:cs="Times New Roman"/>
                <w:b w:val="0"/>
                <w:sz w:val="24"/>
                <w:szCs w:val="24"/>
              </w:rPr>
              <w:t xml:space="preserve"> производства» (в сопоставимых ценах) по отношению к 2013 году, %</w:t>
            </w:r>
          </w:p>
        </w:tc>
        <w:tc>
          <w:tcPr>
            <w:tcW w:w="1594"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43,9</w:t>
            </w:r>
          </w:p>
        </w:tc>
        <w:tc>
          <w:tcPr>
            <w:tcW w:w="1417"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47,5</w:t>
            </w:r>
          </w:p>
        </w:tc>
        <w:tc>
          <w:tcPr>
            <w:tcW w:w="1418"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30,1</w:t>
            </w:r>
          </w:p>
        </w:tc>
        <w:tc>
          <w:tcPr>
            <w:tcW w:w="6662" w:type="dxa"/>
          </w:tcPr>
          <w:p w:rsidR="007E27CB" w:rsidRDefault="008F141F">
            <w:pPr>
              <w:pStyle w:val="Pa20"/>
              <w:spacing w:after="40"/>
              <w:jc w:val="both"/>
              <w:rPr>
                <w:rFonts w:ascii="Times New Roman" w:hAnsi="Times New Roman" w:cs="Times New Roman"/>
                <w:color w:val="000000"/>
              </w:rPr>
            </w:pPr>
            <w:r>
              <w:rPr>
                <w:rFonts w:ascii="Times New Roman" w:hAnsi="Times New Roman" w:cs="Times New Roman"/>
                <w:color w:val="000000"/>
              </w:rPr>
              <w:t>Превышение целевого значения показателя обусловлено увеличением объема производства в нефтеперера</w:t>
            </w:r>
            <w:r>
              <w:rPr>
                <w:rFonts w:ascii="Times New Roman" w:hAnsi="Times New Roman" w:cs="Times New Roman"/>
                <w:color w:val="000000"/>
              </w:rPr>
              <w:softHyphen/>
              <w:t xml:space="preserve">батывающей,  пищевой, деревообрабатывающей промышленности, химическом производстве, машиностроении. </w:t>
            </w:r>
          </w:p>
          <w:p w:rsidR="007E27CB" w:rsidRDefault="008F141F">
            <w:pPr>
              <w:pStyle w:val="Pa20"/>
              <w:spacing w:after="40"/>
              <w:jc w:val="both"/>
              <w:rPr>
                <w:rFonts w:ascii="Times New Roman" w:hAnsi="Times New Roman" w:cs="Times New Roman"/>
                <w:color w:val="000000"/>
              </w:rPr>
            </w:pPr>
            <w:r>
              <w:rPr>
                <w:rFonts w:ascii="Times New Roman" w:hAnsi="Times New Roman" w:cs="Times New Roman"/>
                <w:color w:val="000000"/>
              </w:rPr>
              <w:t>Положительной динамике показателя способствовала реализация мероприятий: дорожных карт по расширению использования про</w:t>
            </w:r>
            <w:r>
              <w:rPr>
                <w:rFonts w:ascii="Times New Roman" w:hAnsi="Times New Roman" w:cs="Times New Roman"/>
                <w:color w:val="000000"/>
              </w:rPr>
              <w:softHyphen/>
              <w:t>дукции и технологий предприятий Томской области для крупных российских компаний</w:t>
            </w:r>
            <w:r>
              <w:rPr>
                <w:rFonts w:ascii="Times New Roman" w:hAnsi="Times New Roman" w:cs="Times New Roman"/>
              </w:rPr>
              <w:t xml:space="preserve">, Стратегии развития нефтехимического кластера Томской области на период до 2030 года, планов развития радиоэлектронной промышленности </w:t>
            </w:r>
          </w:p>
        </w:tc>
      </w:tr>
      <w:tr w:rsidR="007E27CB">
        <w:tc>
          <w:tcPr>
            <w:tcW w:w="4786" w:type="dxa"/>
          </w:tcPr>
          <w:p w:rsidR="007E27CB" w:rsidRDefault="008F141F">
            <w:pPr>
              <w:tabs>
                <w:tab w:val="left" w:pos="4962"/>
              </w:tabs>
              <w:autoSpaceDE w:val="0"/>
              <w:autoSpaceDN w:val="0"/>
              <w:adjustRightInd w:val="0"/>
              <w:rPr>
                <w:rFonts w:ascii="Times New Roman" w:eastAsia="Times New Roman" w:hAnsi="Times New Roman" w:cs="Times New Roman"/>
                <w:sz w:val="24"/>
                <w:szCs w:val="24"/>
              </w:rPr>
            </w:pPr>
            <w:r>
              <w:rPr>
                <w:rFonts w:ascii="Times New Roman" w:hAnsi="Times New Roman" w:cs="Times New Roman"/>
                <w:sz w:val="24"/>
                <w:szCs w:val="24"/>
              </w:rPr>
              <w:t>Число созданных и модернизированных высокопроизводительных рабочих мест (ВПРМ), тыс. единиц</w:t>
            </w:r>
          </w:p>
        </w:tc>
        <w:tc>
          <w:tcPr>
            <w:tcW w:w="1594" w:type="dxa"/>
            <w:vAlign w:val="center"/>
          </w:tcPr>
          <w:p w:rsidR="007E27CB" w:rsidRDefault="007E27CB">
            <w:pPr>
              <w:pStyle w:val="ConsPlusNormal"/>
              <w:tabs>
                <w:tab w:val="left" w:pos="4962"/>
              </w:tabs>
              <w:jc w:val="center"/>
              <w:rPr>
                <w:rFonts w:ascii="Times New Roman" w:hAnsi="Times New Roman" w:cs="Times New Roman"/>
                <w:b w:val="0"/>
                <w:sz w:val="24"/>
                <w:szCs w:val="24"/>
              </w:rPr>
            </w:pPr>
          </w:p>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143,6</w:t>
            </w:r>
          </w:p>
          <w:p w:rsidR="007E27CB" w:rsidRDefault="007E27CB">
            <w:pPr>
              <w:pStyle w:val="ConsPlusNormal"/>
              <w:tabs>
                <w:tab w:val="left" w:pos="4962"/>
              </w:tabs>
              <w:jc w:val="center"/>
              <w:rPr>
                <w:rFonts w:ascii="Times New Roman" w:hAnsi="Times New Roman" w:cs="Times New Roman"/>
                <w:b w:val="0"/>
                <w:sz w:val="24"/>
                <w:szCs w:val="24"/>
              </w:rPr>
            </w:pPr>
          </w:p>
        </w:tc>
        <w:tc>
          <w:tcPr>
            <w:tcW w:w="1417"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160</w:t>
            </w:r>
          </w:p>
        </w:tc>
        <w:tc>
          <w:tcPr>
            <w:tcW w:w="1418"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160</w:t>
            </w:r>
          </w:p>
        </w:tc>
        <w:tc>
          <w:tcPr>
            <w:tcW w:w="6662" w:type="dxa"/>
            <w:vAlign w:val="center"/>
          </w:tcPr>
          <w:p w:rsidR="007E27CB" w:rsidRDefault="008F141F">
            <w:pPr>
              <w:pStyle w:val="af"/>
              <w:jc w:val="both"/>
              <w:rPr>
                <w:rFonts w:ascii="Times New Roman" w:hAnsi="Times New Roman" w:cs="Times New Roman"/>
              </w:rPr>
            </w:pPr>
            <w:r>
              <w:rPr>
                <w:rFonts w:ascii="Times New Roman" w:hAnsi="Times New Roman" w:cs="Times New Roman"/>
              </w:rPr>
              <w:t>По итогам 2019 года в целом по Томской области произошло увеличение количества высокопроизводительных рабочих мест на 3,7 тыс. единиц к уровню 2018 года. Прирост показателя в основном обусловлен увеличением числа ВПРМ по следующим видам экономической деятельности: строительство (+24,7%), транспортировка и хранение (+21,7%), деятельность в области информации и связи (+19%), обрабатывающие производства (+5,5%), добыча полезных ископаемых (+3,5%).</w:t>
            </w:r>
          </w:p>
          <w:p w:rsidR="007E27CB" w:rsidRDefault="008F141F">
            <w:pPr>
              <w:jc w:val="both"/>
              <w:rPr>
                <w:rFonts w:ascii="Times New Roman" w:hAnsi="Times New Roman" w:cs="Times New Roman"/>
                <w:sz w:val="24"/>
                <w:szCs w:val="24"/>
              </w:rPr>
            </w:pPr>
            <w:r>
              <w:rPr>
                <w:rFonts w:ascii="Times New Roman" w:hAnsi="Times New Roman" w:cs="Times New Roman"/>
                <w:sz w:val="24"/>
                <w:szCs w:val="24"/>
              </w:rPr>
              <w:t xml:space="preserve"> На положительный прогноз повлияли следующие факторы:</w:t>
            </w:r>
          </w:p>
          <w:p w:rsidR="007E27CB" w:rsidRDefault="008F141F">
            <w:pPr>
              <w:jc w:val="both"/>
              <w:rPr>
                <w:rFonts w:ascii="Times New Roman" w:hAnsi="Times New Roman" w:cs="Times New Roman"/>
                <w:sz w:val="24"/>
                <w:szCs w:val="24"/>
              </w:rPr>
            </w:pPr>
            <w:r>
              <w:rPr>
                <w:rFonts w:ascii="Times New Roman" w:hAnsi="Times New Roman" w:cs="Times New Roman"/>
                <w:sz w:val="24"/>
                <w:szCs w:val="24"/>
              </w:rPr>
              <w:t>- открытие АО «Томскнефть» ВНК в Каргасокском районе Томской области нефтяного месторождения имени Ю.А. Чикишева,</w:t>
            </w:r>
          </w:p>
          <w:p w:rsidR="007E27CB" w:rsidRDefault="008F141F">
            <w:pPr>
              <w:jc w:val="both"/>
              <w:rPr>
                <w:rFonts w:ascii="Times New Roman" w:hAnsi="Times New Roman" w:cs="Times New Roman"/>
                <w:sz w:val="24"/>
                <w:szCs w:val="24"/>
              </w:rPr>
            </w:pPr>
            <w:r>
              <w:rPr>
                <w:rFonts w:ascii="Times New Roman" w:hAnsi="Times New Roman" w:cs="Times New Roman"/>
                <w:sz w:val="24"/>
                <w:szCs w:val="24"/>
              </w:rPr>
              <w:t>- реализация проектов по модернизации действующих производств (на ООО «Руслед» создана высокотехнологическая линия производства светодиодных ламп нового поколения, на ООО «Континент-сервис» проведена реконструкция цеха № 2),</w:t>
            </w:r>
          </w:p>
          <w:p w:rsidR="007E27CB" w:rsidRDefault="008F141F">
            <w:pPr>
              <w:jc w:val="both"/>
              <w:rPr>
                <w:rFonts w:ascii="Times New Roman" w:hAnsi="Times New Roman" w:cs="Times New Roman"/>
                <w:color w:val="1F497D"/>
                <w:sz w:val="24"/>
                <w:szCs w:val="24"/>
              </w:rPr>
            </w:pPr>
            <w:r>
              <w:rPr>
                <w:rFonts w:ascii="Times New Roman" w:hAnsi="Times New Roman" w:cs="Times New Roman"/>
                <w:sz w:val="24"/>
                <w:szCs w:val="24"/>
              </w:rPr>
              <w:t>- запуск новых производств (на ООО «Межениновская птицефабрика» и ООО «Сибирская олива» начато производство рапсового масла, на ООО «Артлайф» введены новые мощности по производству желатиновых капсул на производственно-складской площадке</w:t>
            </w:r>
          </w:p>
        </w:tc>
      </w:tr>
      <w:tr w:rsidR="007E27CB">
        <w:tc>
          <w:tcPr>
            <w:tcW w:w="4786" w:type="dxa"/>
          </w:tcPr>
          <w:p w:rsidR="007E27CB" w:rsidRDefault="008F141F">
            <w:pPr>
              <w:tabs>
                <w:tab w:val="left" w:pos="4962"/>
              </w:tabs>
              <w:autoSpaceDE w:val="0"/>
              <w:autoSpaceDN w:val="0"/>
              <w:adjustRightInd w:val="0"/>
              <w:rPr>
                <w:rFonts w:ascii="Times New Roman" w:eastAsia="Times New Roman" w:hAnsi="Times New Roman" w:cs="Times New Roman"/>
                <w:sz w:val="24"/>
                <w:szCs w:val="24"/>
              </w:rPr>
            </w:pPr>
            <w:r>
              <w:rPr>
                <w:rFonts w:ascii="Times New Roman" w:hAnsi="Times New Roman" w:cs="Times New Roman"/>
                <w:sz w:val="24"/>
                <w:szCs w:val="24"/>
              </w:rPr>
              <w:t>Доля инвестиций в основной капитал в ВРП, %</w:t>
            </w:r>
          </w:p>
        </w:tc>
        <w:tc>
          <w:tcPr>
            <w:tcW w:w="1594" w:type="dxa"/>
            <w:vAlign w:val="center"/>
          </w:tcPr>
          <w:p w:rsidR="007E27CB" w:rsidRDefault="007E27CB">
            <w:pPr>
              <w:pStyle w:val="ConsPlusNormal"/>
              <w:tabs>
                <w:tab w:val="left" w:pos="4962"/>
              </w:tabs>
              <w:jc w:val="center"/>
              <w:rPr>
                <w:rFonts w:ascii="Times New Roman" w:hAnsi="Times New Roman" w:cs="Times New Roman"/>
                <w:b w:val="0"/>
                <w:sz w:val="24"/>
                <w:szCs w:val="24"/>
              </w:rPr>
            </w:pPr>
          </w:p>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15,8</w:t>
            </w:r>
          </w:p>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(оценка)</w:t>
            </w:r>
          </w:p>
        </w:tc>
        <w:tc>
          <w:tcPr>
            <w:tcW w:w="1417"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17,3</w:t>
            </w:r>
          </w:p>
        </w:tc>
        <w:tc>
          <w:tcPr>
            <w:tcW w:w="1418"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28,8</w:t>
            </w:r>
          </w:p>
        </w:tc>
        <w:tc>
          <w:tcPr>
            <w:tcW w:w="6662" w:type="dxa"/>
          </w:tcPr>
          <w:p w:rsidR="007E27CB" w:rsidRDefault="008F141F">
            <w:pPr>
              <w:widowControl w:val="0"/>
              <w:jc w:val="both"/>
              <w:rPr>
                <w:rFonts w:ascii="Times New Roman" w:hAnsi="Times New Roman" w:cs="Times New Roman"/>
                <w:sz w:val="24"/>
                <w:szCs w:val="24"/>
              </w:rPr>
            </w:pPr>
            <w:r>
              <w:rPr>
                <w:rFonts w:ascii="Times New Roman" w:hAnsi="Times New Roman" w:cs="Times New Roman"/>
                <w:sz w:val="24"/>
                <w:szCs w:val="24"/>
              </w:rPr>
              <w:t>Достигнутое значение показателя в 2019 году отражает недостаточную инвестиционную активность при опережающем росте ВРП Томской области.</w:t>
            </w:r>
          </w:p>
          <w:p w:rsidR="007E27CB" w:rsidRDefault="008F141F">
            <w:pPr>
              <w:widowControl w:val="0"/>
              <w:jc w:val="both"/>
              <w:rPr>
                <w:rFonts w:ascii="Times New Roman" w:hAnsi="Times New Roman" w:cs="Times New Roman"/>
                <w:sz w:val="24"/>
                <w:szCs w:val="24"/>
              </w:rPr>
            </w:pPr>
            <w:r>
              <w:rPr>
                <w:rFonts w:ascii="Times New Roman" w:hAnsi="Times New Roman" w:cs="Times New Roman"/>
                <w:sz w:val="24"/>
                <w:szCs w:val="24"/>
              </w:rPr>
              <w:t>В 2019 году сохранились макроэкономические параметры осуществления инвестиционной деятельности прошлых периодов, в том числе: низкий уровень потребительского и инвестиционного спросов, нехватка собственных и заемных средств организаций для долгосрочного инвестирования, сокращение объемов государственной поддержки субъектов малого и среднего предпринимательства, а также сохранение санкционного режима, высокая волатильность цен на нефть и негативные ожидания инвесторов относительно роста цен и тарифов.</w:t>
            </w:r>
          </w:p>
          <w:p w:rsidR="007E27CB" w:rsidRDefault="008F141F">
            <w:pPr>
              <w:rPr>
                <w:rFonts w:ascii="Times New Roman" w:hAnsi="Times New Roman" w:cs="Times New Roman"/>
                <w:sz w:val="24"/>
                <w:szCs w:val="24"/>
                <w:lang w:eastAsia="ru-RU"/>
              </w:rPr>
            </w:pPr>
            <w:r>
              <w:rPr>
                <w:rFonts w:ascii="Times New Roman" w:hAnsi="Times New Roman" w:cs="Times New Roman"/>
                <w:sz w:val="24"/>
                <w:szCs w:val="24"/>
              </w:rPr>
              <w:t>Данные факторы создают риски недостижения целевого значения показателя к 2020 году</w:t>
            </w:r>
          </w:p>
        </w:tc>
      </w:tr>
      <w:tr w:rsidR="007E27CB">
        <w:tc>
          <w:tcPr>
            <w:tcW w:w="15877" w:type="dxa"/>
            <w:gridSpan w:val="5"/>
          </w:tcPr>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Задача 1.1. Обеспечить развитие промышленности и предпринимательства в Томской области</w:t>
            </w:r>
          </w:p>
        </w:tc>
      </w:tr>
      <w:tr w:rsidR="007E27CB">
        <w:tc>
          <w:tcPr>
            <w:tcW w:w="4786" w:type="dxa"/>
          </w:tcPr>
          <w:p w:rsidR="007E27CB" w:rsidRDefault="008F141F">
            <w:pPr>
              <w:pStyle w:val="ConsPlusNormal"/>
              <w:tabs>
                <w:tab w:val="left" w:pos="4962"/>
              </w:tabs>
              <w:rPr>
                <w:rFonts w:ascii="Times New Roman" w:hAnsi="Times New Roman" w:cs="Times New Roman"/>
                <w:b w:val="0"/>
                <w:sz w:val="24"/>
                <w:szCs w:val="24"/>
              </w:rPr>
            </w:pPr>
            <w:r>
              <w:rPr>
                <w:rFonts w:ascii="Times New Roman" w:hAnsi="Times New Roman" w:cs="Times New Roman"/>
                <w:b w:val="0"/>
                <w:sz w:val="24"/>
                <w:szCs w:val="24"/>
              </w:rPr>
              <w:t>Прирост объема производства по виду экономической деятельности «Добыча полезных ископаемых» (в сопоставимых ценах) по отношению к уровню 2013 года, %</w:t>
            </w:r>
          </w:p>
        </w:tc>
        <w:tc>
          <w:tcPr>
            <w:tcW w:w="1594"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-20,3</w:t>
            </w:r>
          </w:p>
        </w:tc>
        <w:tc>
          <w:tcPr>
            <w:tcW w:w="1417"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-20,8</w:t>
            </w:r>
          </w:p>
        </w:tc>
        <w:tc>
          <w:tcPr>
            <w:tcW w:w="1418"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-2,0</w:t>
            </w:r>
          </w:p>
        </w:tc>
        <w:tc>
          <w:tcPr>
            <w:tcW w:w="6662" w:type="dxa"/>
          </w:tcPr>
          <w:p w:rsidR="007E27CB" w:rsidRDefault="008F141F">
            <w:pPr>
              <w:jc w:val="both"/>
              <w:rPr>
                <w:rFonts w:ascii="Times New Roman" w:hAnsi="Times New Roman" w:cs="Times New Roman"/>
                <w:sz w:val="24"/>
                <w:szCs w:val="24"/>
              </w:rPr>
            </w:pPr>
            <w:r>
              <w:rPr>
                <w:rFonts w:ascii="Times New Roman" w:hAnsi="Times New Roman" w:cs="Times New Roman"/>
                <w:sz w:val="24"/>
                <w:szCs w:val="24"/>
              </w:rPr>
              <w:t>Учитывая ежегодные отрицательные темпы роста в добывающей промышленности региона с 2013 года в связи с выработкой высокопродуктивных зон и естественным истощением нефтяных и газовых месторождений, не обеспечивается достижение целевых показателей по данному виду деятельности, заложенных Стратегией развития</w:t>
            </w:r>
          </w:p>
        </w:tc>
      </w:tr>
      <w:tr w:rsidR="007E27CB">
        <w:tc>
          <w:tcPr>
            <w:tcW w:w="4786" w:type="dxa"/>
          </w:tcPr>
          <w:p w:rsidR="007E27CB" w:rsidRDefault="008F141F">
            <w:pPr>
              <w:pStyle w:val="ConsPlusNormal"/>
              <w:tabs>
                <w:tab w:val="left" w:pos="4962"/>
              </w:tabs>
              <w:rPr>
                <w:rFonts w:ascii="Times New Roman" w:hAnsi="Times New Roman" w:cs="Times New Roman"/>
                <w:b w:val="0"/>
                <w:sz w:val="24"/>
                <w:szCs w:val="24"/>
              </w:rPr>
            </w:pPr>
            <w:r>
              <w:rPr>
                <w:rFonts w:ascii="Times New Roman" w:hAnsi="Times New Roman" w:cs="Times New Roman"/>
                <w:b w:val="0"/>
                <w:sz w:val="24"/>
                <w:szCs w:val="24"/>
              </w:rPr>
              <w:t>Оборот продукции (услуг), производимой малыми предприятиями (включая микропредприятия и индивидуальных предпринимателей), млрд. рублей</w:t>
            </w:r>
          </w:p>
        </w:tc>
        <w:tc>
          <w:tcPr>
            <w:tcW w:w="1594" w:type="dxa"/>
            <w:vAlign w:val="center"/>
          </w:tcPr>
          <w:p w:rsidR="007E27CB" w:rsidRDefault="007E27CB">
            <w:pPr>
              <w:pStyle w:val="ConsPlusNormal"/>
              <w:tabs>
                <w:tab w:val="left" w:pos="4962"/>
              </w:tabs>
              <w:jc w:val="center"/>
              <w:rPr>
                <w:rFonts w:ascii="Times New Roman" w:hAnsi="Times New Roman" w:cs="Times New Roman"/>
                <w:b w:val="0"/>
                <w:sz w:val="24"/>
                <w:szCs w:val="24"/>
              </w:rPr>
            </w:pPr>
          </w:p>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379,3</w:t>
            </w:r>
          </w:p>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(оценка)</w:t>
            </w:r>
          </w:p>
        </w:tc>
        <w:tc>
          <w:tcPr>
            <w:tcW w:w="1417"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407,3</w:t>
            </w:r>
          </w:p>
        </w:tc>
        <w:tc>
          <w:tcPr>
            <w:tcW w:w="1418" w:type="dxa"/>
            <w:vAlign w:val="center"/>
          </w:tcPr>
          <w:p w:rsidR="007E27CB" w:rsidRDefault="008F141F">
            <w:pPr>
              <w:pStyle w:val="ConsPlusNormal"/>
              <w:tabs>
                <w:tab w:val="left" w:pos="4962"/>
              </w:tabs>
              <w:jc w:val="center"/>
              <w:rPr>
                <w:rFonts w:ascii="Times New Roman" w:hAnsi="Times New Roman" w:cs="Times New Roman"/>
                <w:b w:val="0"/>
                <w:bCs w:val="0"/>
                <w:sz w:val="24"/>
                <w:szCs w:val="24"/>
              </w:rPr>
            </w:pPr>
            <w:r>
              <w:rPr>
                <w:rFonts w:ascii="Times New Roman" w:hAnsi="Times New Roman" w:cs="Times New Roman"/>
                <w:b w:val="0"/>
                <w:bCs w:val="0"/>
                <w:sz w:val="24"/>
                <w:szCs w:val="24"/>
              </w:rPr>
              <w:t>296,4</w:t>
            </w:r>
          </w:p>
        </w:tc>
        <w:tc>
          <w:tcPr>
            <w:tcW w:w="6662" w:type="dxa"/>
            <w:tcBorders>
              <w:bottom w:val="single" w:sz="4" w:space="0" w:color="auto"/>
            </w:tcBorders>
            <w:shd w:val="clear" w:color="auto" w:fill="auto"/>
          </w:tcPr>
          <w:p w:rsidR="007E27CB" w:rsidRDefault="008F141F">
            <w:pPr>
              <w:pStyle w:val="Pa11"/>
              <w:spacing w:line="240" w:lineRule="auto"/>
              <w:jc w:val="both"/>
              <w:rPr>
                <w:rFonts w:ascii="Times New Roman" w:hAnsi="Times New Roman" w:cs="Times New Roman"/>
              </w:rPr>
            </w:pPr>
            <w:r>
              <w:rPr>
                <w:rFonts w:ascii="Times New Roman" w:hAnsi="Times New Roman" w:cs="Times New Roman"/>
              </w:rPr>
              <w:t>Реализация государственной под</w:t>
            </w:r>
            <w:r>
              <w:rPr>
                <w:rFonts w:ascii="Times New Roman" w:hAnsi="Times New Roman" w:cs="Times New Roman"/>
              </w:rPr>
              <w:softHyphen/>
              <w:t>держки малого и среднего предпринимательства, создание благоприятных условий для их развития обеспечит перевыполнение запланированного зна</w:t>
            </w:r>
            <w:r>
              <w:rPr>
                <w:rFonts w:ascii="Times New Roman" w:hAnsi="Times New Roman" w:cs="Times New Roman"/>
              </w:rPr>
              <w:softHyphen/>
              <w:t>чения показателя на 2020 год</w:t>
            </w:r>
          </w:p>
        </w:tc>
      </w:tr>
      <w:tr w:rsidR="007E27CB">
        <w:tc>
          <w:tcPr>
            <w:tcW w:w="4786" w:type="dxa"/>
          </w:tcPr>
          <w:p w:rsidR="007E27CB" w:rsidRDefault="008F141F">
            <w:pPr>
              <w:pStyle w:val="ConsPlusNormal"/>
              <w:tabs>
                <w:tab w:val="left" w:pos="4962"/>
              </w:tabs>
              <w:rPr>
                <w:rFonts w:ascii="Times New Roman" w:hAnsi="Times New Roman" w:cs="Times New Roman"/>
                <w:b w:val="0"/>
                <w:sz w:val="24"/>
                <w:szCs w:val="24"/>
              </w:rPr>
            </w:pPr>
            <w:r>
              <w:rPr>
                <w:rFonts w:ascii="Times New Roman" w:hAnsi="Times New Roman" w:cs="Times New Roman"/>
                <w:b w:val="0"/>
                <w:sz w:val="24"/>
                <w:szCs w:val="24"/>
              </w:rPr>
              <w:t>Доля занятых в малом (в том числе на микропредприятиях) и среднем предпринимательстве в общем числе занятых Томской области, %</w:t>
            </w:r>
          </w:p>
        </w:tc>
        <w:tc>
          <w:tcPr>
            <w:tcW w:w="1594" w:type="dxa"/>
            <w:vAlign w:val="center"/>
          </w:tcPr>
          <w:p w:rsidR="007E27CB" w:rsidRDefault="007E27CB">
            <w:pPr>
              <w:pStyle w:val="ConsPlusNormal"/>
              <w:tabs>
                <w:tab w:val="left" w:pos="4962"/>
              </w:tabs>
              <w:jc w:val="center"/>
              <w:rPr>
                <w:rFonts w:ascii="Times New Roman" w:hAnsi="Times New Roman" w:cs="Times New Roman"/>
                <w:b w:val="0"/>
                <w:sz w:val="24"/>
                <w:szCs w:val="24"/>
              </w:rPr>
            </w:pPr>
          </w:p>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17,0</w:t>
            </w:r>
          </w:p>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(оценка)</w:t>
            </w:r>
          </w:p>
        </w:tc>
        <w:tc>
          <w:tcPr>
            <w:tcW w:w="1417"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17,6</w:t>
            </w:r>
          </w:p>
        </w:tc>
        <w:tc>
          <w:tcPr>
            <w:tcW w:w="1418"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20,1</w:t>
            </w:r>
          </w:p>
        </w:tc>
        <w:tc>
          <w:tcPr>
            <w:tcW w:w="6662" w:type="dxa"/>
            <w:shd w:val="clear" w:color="auto" w:fill="FFFFFF" w:themeFill="background1"/>
          </w:tcPr>
          <w:p w:rsidR="007E27CB" w:rsidRDefault="008F141F">
            <w:pPr>
              <w:pStyle w:val="Pa11"/>
              <w:spacing w:line="240" w:lineRule="auto"/>
              <w:jc w:val="both"/>
              <w:rPr>
                <w:rFonts w:ascii="Times New Roman" w:hAnsi="Times New Roman" w:cs="Times New Roman"/>
              </w:rPr>
            </w:pPr>
            <w:r>
              <w:rPr>
                <w:rFonts w:ascii="Times New Roman" w:hAnsi="Times New Roman" w:cs="Times New Roman"/>
              </w:rPr>
              <w:t>Сокращение количества предприятий и оптимизация штатной численности отрицательно отразились на количестве занятых в секторе МСП. При этом рост общего числа занятых в экономике Томской области дополнительно усугубил достижение запланированного значения показателя.</w:t>
            </w:r>
          </w:p>
          <w:p w:rsidR="007E27CB" w:rsidRDefault="008F141F">
            <w:pPr>
              <w:shd w:val="clear" w:color="auto" w:fill="FFFFFF" w:themeFill="background1"/>
              <w:jc w:val="both"/>
              <w:rPr>
                <w:rFonts w:ascii="Times New Roman" w:hAnsi="Times New Roman" w:cs="Times New Roman"/>
                <w:sz w:val="24"/>
                <w:szCs w:val="24"/>
              </w:rPr>
            </w:pPr>
            <w:r>
              <w:rPr>
                <w:rFonts w:ascii="Times New Roman" w:hAnsi="Times New Roman" w:cs="Times New Roman"/>
                <w:sz w:val="24"/>
                <w:szCs w:val="24"/>
              </w:rPr>
              <w:t>Среднегодовая численность занятых в экономике в 2018 году выросла с 496,1 тыс. чел. до 508,7 тыс. чел. При этом среднесписочная численность работников на предприятиях МСП сократилась с 88,4 тыс. чел. до 85,0 тыс. чел. Таким образом, доля занятых в МСП сократилась с 17,8% в 2017 году до 16,7% в 2018 году. Основными причинами снижения среднесписочной численности работников МСП являются исключение из единого государственного реестра  организаций, фактически не осуществляющих деятельность, рост фискальной нагрузки, ослабление спроса в связи со снижением доходов населения при росте цен на товары и услуги, а также снижением заказов от крупного бизнеса</w:t>
            </w:r>
          </w:p>
        </w:tc>
      </w:tr>
      <w:tr w:rsidR="007E27CB">
        <w:tc>
          <w:tcPr>
            <w:tcW w:w="4786" w:type="dxa"/>
          </w:tcPr>
          <w:p w:rsidR="007E27CB" w:rsidRDefault="008F141F">
            <w:pPr>
              <w:pStyle w:val="ConsPlusNormal"/>
              <w:tabs>
                <w:tab w:val="left" w:pos="4962"/>
              </w:tabs>
              <w:rPr>
                <w:rFonts w:ascii="Times New Roman" w:hAnsi="Times New Roman" w:cs="Times New Roman"/>
                <w:b w:val="0"/>
                <w:sz w:val="24"/>
                <w:szCs w:val="24"/>
              </w:rPr>
            </w:pPr>
            <w:r>
              <w:rPr>
                <w:rFonts w:ascii="Times New Roman" w:hAnsi="Times New Roman" w:cs="Times New Roman"/>
                <w:b w:val="0"/>
                <w:sz w:val="24"/>
                <w:szCs w:val="24"/>
              </w:rPr>
              <w:t>Норматив минимальной обеспеченности населения торговыми площадями на 1000 человек, кв. метров</w:t>
            </w:r>
          </w:p>
        </w:tc>
        <w:tc>
          <w:tcPr>
            <w:tcW w:w="1594" w:type="dxa"/>
            <w:vAlign w:val="center"/>
          </w:tcPr>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444,31</w:t>
            </w:r>
          </w:p>
        </w:tc>
        <w:tc>
          <w:tcPr>
            <w:tcW w:w="1417"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444,31</w:t>
            </w:r>
          </w:p>
        </w:tc>
        <w:tc>
          <w:tcPr>
            <w:tcW w:w="1418"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487,0</w:t>
            </w:r>
          </w:p>
        </w:tc>
        <w:tc>
          <w:tcPr>
            <w:tcW w:w="6662" w:type="dxa"/>
          </w:tcPr>
          <w:p w:rsidR="007E27CB" w:rsidRDefault="008F141F">
            <w:pPr>
              <w:pStyle w:val="Pa11"/>
              <w:spacing w:line="240" w:lineRule="auto"/>
              <w:jc w:val="both"/>
              <w:rPr>
                <w:rFonts w:ascii="Times New Roman" w:hAnsi="Times New Roman" w:cs="Times New Roman"/>
              </w:rPr>
            </w:pPr>
            <w:r>
              <w:rPr>
                <w:rFonts w:ascii="Times New Roman" w:hAnsi="Times New Roman" w:cs="Times New Roman"/>
              </w:rPr>
              <w:t>Постановлением Администрации Томской области от 25.01.2017 № 15а «Об утверждении нормативов минимальной обеспеченности населения площадью торговых объектов для Томской области»  утвержден норматив в размере 444,31  кв. м на 1 000 человек</w:t>
            </w:r>
          </w:p>
        </w:tc>
      </w:tr>
      <w:tr w:rsidR="007E27CB">
        <w:tc>
          <w:tcPr>
            <w:tcW w:w="15877" w:type="dxa"/>
            <w:gridSpan w:val="5"/>
          </w:tcPr>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Задача 1.2. Повысить научно-образовательную и научно-практическую отдачу сектора образования, исследований и разработок, обеспечить развитие высокотехнологичных кластеров и инновационной инфраструктуры</w:t>
            </w:r>
          </w:p>
          <w:p w:rsidR="007E27CB" w:rsidRDefault="007E27CB">
            <w:pPr>
              <w:tabs>
                <w:tab w:val="left" w:pos="4962"/>
              </w:tabs>
              <w:jc w:val="center"/>
              <w:rPr>
                <w:rFonts w:ascii="Times New Roman" w:hAnsi="Times New Roman" w:cs="Times New Roman"/>
                <w:sz w:val="24"/>
                <w:szCs w:val="24"/>
              </w:rPr>
            </w:pPr>
          </w:p>
        </w:tc>
      </w:tr>
      <w:tr w:rsidR="007E27CB">
        <w:tc>
          <w:tcPr>
            <w:tcW w:w="4786" w:type="dxa"/>
          </w:tcPr>
          <w:p w:rsidR="007E27CB" w:rsidRDefault="008F141F">
            <w:pPr>
              <w:pStyle w:val="ConsPlusNormal"/>
              <w:tabs>
                <w:tab w:val="left" w:pos="4962"/>
              </w:tabs>
              <w:rPr>
                <w:rFonts w:ascii="Times New Roman" w:hAnsi="Times New Roman" w:cs="Times New Roman"/>
                <w:b w:val="0"/>
                <w:sz w:val="24"/>
                <w:szCs w:val="24"/>
              </w:rPr>
            </w:pPr>
            <w:r>
              <w:rPr>
                <w:rFonts w:ascii="Times New Roman" w:hAnsi="Times New Roman" w:cs="Times New Roman"/>
                <w:b w:val="0"/>
                <w:sz w:val="24"/>
                <w:szCs w:val="24"/>
              </w:rPr>
              <w:t>Доля продукции высокотехнологичных и наукоемких отраслей экономики в валовом региональном продукте, %</w:t>
            </w:r>
          </w:p>
        </w:tc>
        <w:tc>
          <w:tcPr>
            <w:tcW w:w="1594" w:type="dxa"/>
            <w:vAlign w:val="center"/>
          </w:tcPr>
          <w:p w:rsidR="007E27CB" w:rsidRDefault="007E27CB">
            <w:pPr>
              <w:tabs>
                <w:tab w:val="left" w:pos="4962"/>
              </w:tabs>
              <w:autoSpaceDE w:val="0"/>
              <w:autoSpaceDN w:val="0"/>
              <w:adjustRightInd w:val="0"/>
              <w:jc w:val="center"/>
              <w:rPr>
                <w:rFonts w:ascii="Times New Roman" w:eastAsia="Times New Roman" w:hAnsi="Times New Roman" w:cs="Times New Roman"/>
                <w:sz w:val="24"/>
                <w:szCs w:val="24"/>
              </w:rPr>
            </w:pPr>
          </w:p>
          <w:p w:rsidR="007E27CB" w:rsidRDefault="008F141F">
            <w:pPr>
              <w:tabs>
                <w:tab w:val="left" w:pos="4962"/>
              </w:tabs>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26,3</w:t>
            </w:r>
          </w:p>
          <w:p w:rsidR="007E27CB" w:rsidRDefault="008F141F">
            <w:pPr>
              <w:tabs>
                <w:tab w:val="left" w:pos="4962"/>
              </w:tabs>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(оценка)</w:t>
            </w:r>
          </w:p>
        </w:tc>
        <w:tc>
          <w:tcPr>
            <w:tcW w:w="1417"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27,0</w:t>
            </w:r>
          </w:p>
        </w:tc>
        <w:tc>
          <w:tcPr>
            <w:tcW w:w="1418"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27,0</w:t>
            </w:r>
          </w:p>
        </w:tc>
        <w:tc>
          <w:tcPr>
            <w:tcW w:w="6662" w:type="dxa"/>
          </w:tcPr>
          <w:p w:rsidR="007E27CB" w:rsidRDefault="008F141F">
            <w:pPr>
              <w:tabs>
                <w:tab w:val="left" w:pos="4962"/>
              </w:tabs>
              <w:jc w:val="both"/>
              <w:rPr>
                <w:rFonts w:ascii="Times New Roman" w:hAnsi="Times New Roman" w:cs="Times New Roman"/>
                <w:sz w:val="24"/>
                <w:szCs w:val="24"/>
              </w:rPr>
            </w:pPr>
            <w:r>
              <w:rPr>
                <w:rFonts w:ascii="Times New Roman" w:hAnsi="Times New Roman" w:cs="Times New Roman"/>
                <w:sz w:val="24"/>
                <w:szCs w:val="24"/>
              </w:rPr>
              <w:t>Достижение показателей прогнозируется благодаря  превышению темпов роста продукции высокотехнологичных отраслей над темпами роста ВРП Томской области</w:t>
            </w:r>
          </w:p>
        </w:tc>
      </w:tr>
      <w:tr w:rsidR="007E27CB">
        <w:tc>
          <w:tcPr>
            <w:tcW w:w="4786" w:type="dxa"/>
          </w:tcPr>
          <w:p w:rsidR="007E27CB" w:rsidRDefault="008F141F">
            <w:pPr>
              <w:pStyle w:val="ConsPlusNormal"/>
              <w:tabs>
                <w:tab w:val="left" w:pos="4962"/>
              </w:tabs>
              <w:rPr>
                <w:rFonts w:ascii="Times New Roman" w:hAnsi="Times New Roman" w:cs="Times New Roman"/>
                <w:b w:val="0"/>
                <w:sz w:val="24"/>
                <w:szCs w:val="24"/>
              </w:rPr>
            </w:pPr>
            <w:r>
              <w:rPr>
                <w:rFonts w:ascii="Times New Roman" w:hAnsi="Times New Roman" w:cs="Times New Roman"/>
                <w:b w:val="0"/>
                <w:sz w:val="24"/>
                <w:szCs w:val="24"/>
              </w:rPr>
              <w:t>Доля внутренних затрат на исследования и разработки в валовом региональном продукте, %</w:t>
            </w:r>
          </w:p>
        </w:tc>
        <w:tc>
          <w:tcPr>
            <w:tcW w:w="1594" w:type="dxa"/>
            <w:vAlign w:val="center"/>
          </w:tcPr>
          <w:p w:rsidR="007E27CB" w:rsidRDefault="007E27CB">
            <w:pPr>
              <w:tabs>
                <w:tab w:val="left" w:pos="4962"/>
              </w:tabs>
              <w:autoSpaceDE w:val="0"/>
              <w:autoSpaceDN w:val="0"/>
              <w:adjustRightInd w:val="0"/>
              <w:jc w:val="center"/>
              <w:rPr>
                <w:rFonts w:ascii="Times New Roman" w:eastAsia="Times New Roman" w:hAnsi="Times New Roman" w:cs="Times New Roman"/>
                <w:sz w:val="24"/>
                <w:szCs w:val="24"/>
              </w:rPr>
            </w:pPr>
          </w:p>
          <w:p w:rsidR="007E27CB" w:rsidRDefault="008F141F">
            <w:pPr>
              <w:tabs>
                <w:tab w:val="left" w:pos="4962"/>
              </w:tabs>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2,82</w:t>
            </w:r>
          </w:p>
          <w:p w:rsidR="007E27CB" w:rsidRDefault="008F141F">
            <w:pPr>
              <w:tabs>
                <w:tab w:val="left" w:pos="4962"/>
              </w:tabs>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(оценка)</w:t>
            </w:r>
          </w:p>
        </w:tc>
        <w:tc>
          <w:tcPr>
            <w:tcW w:w="1417"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2,59</w:t>
            </w:r>
          </w:p>
        </w:tc>
        <w:tc>
          <w:tcPr>
            <w:tcW w:w="1418"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2,59</w:t>
            </w:r>
          </w:p>
        </w:tc>
        <w:tc>
          <w:tcPr>
            <w:tcW w:w="6662" w:type="dxa"/>
          </w:tcPr>
          <w:p w:rsidR="007E27CB" w:rsidRDefault="008F141F">
            <w:pPr>
              <w:tabs>
                <w:tab w:val="left" w:pos="4962"/>
              </w:tabs>
              <w:jc w:val="both"/>
              <w:rPr>
                <w:rFonts w:ascii="Times New Roman" w:hAnsi="Times New Roman" w:cs="Times New Roman"/>
                <w:sz w:val="24"/>
                <w:szCs w:val="24"/>
              </w:rPr>
            </w:pPr>
            <w:r>
              <w:rPr>
                <w:rFonts w:ascii="Times New Roman" w:hAnsi="Times New Roman" w:cs="Times New Roman"/>
                <w:sz w:val="24"/>
                <w:szCs w:val="24"/>
              </w:rPr>
              <w:t>Превышение целевого значения показателя связано с увеличением финансирования университетов и научных организаций по программам развития науки; ростом объема вложений предприятий в НИОКР, с выполнением мероприятий государственной программы «Развитие инновационной деятельности и науки Томской области» и регионального проекта «Цифровые технологии»</w:t>
            </w:r>
          </w:p>
        </w:tc>
      </w:tr>
      <w:tr w:rsidR="007E27CB">
        <w:tc>
          <w:tcPr>
            <w:tcW w:w="15877" w:type="dxa"/>
            <w:gridSpan w:val="5"/>
          </w:tcPr>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Задача 1.3. Обеспечить улучшение инвестиционного климата и повышение качества государственного регулирования, содействовать укреплению международных и межрегиональных связей в Томской области</w:t>
            </w:r>
          </w:p>
        </w:tc>
      </w:tr>
      <w:tr w:rsidR="007E27CB">
        <w:tc>
          <w:tcPr>
            <w:tcW w:w="4786" w:type="dxa"/>
          </w:tcPr>
          <w:p w:rsidR="007E27CB" w:rsidRDefault="008F141F">
            <w:pPr>
              <w:pStyle w:val="ConsPlusNormal"/>
              <w:tabs>
                <w:tab w:val="left" w:pos="4962"/>
              </w:tabs>
              <w:rPr>
                <w:rFonts w:ascii="Times New Roman" w:hAnsi="Times New Roman" w:cs="Times New Roman"/>
                <w:b w:val="0"/>
                <w:sz w:val="24"/>
                <w:szCs w:val="24"/>
              </w:rPr>
            </w:pPr>
            <w:r>
              <w:rPr>
                <w:rFonts w:ascii="Times New Roman" w:hAnsi="Times New Roman" w:cs="Times New Roman"/>
                <w:b w:val="0"/>
                <w:sz w:val="24"/>
                <w:szCs w:val="24"/>
              </w:rPr>
              <w:t>Объем экспорта, млн. долларов США</w:t>
            </w:r>
          </w:p>
        </w:tc>
        <w:tc>
          <w:tcPr>
            <w:tcW w:w="1594" w:type="dxa"/>
            <w:vAlign w:val="center"/>
          </w:tcPr>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314,0</w:t>
            </w:r>
          </w:p>
        </w:tc>
        <w:tc>
          <w:tcPr>
            <w:tcW w:w="1417" w:type="dxa"/>
            <w:vAlign w:val="center"/>
          </w:tcPr>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336,4</w:t>
            </w:r>
          </w:p>
        </w:tc>
        <w:tc>
          <w:tcPr>
            <w:tcW w:w="1418" w:type="dxa"/>
            <w:vAlign w:val="center"/>
          </w:tcPr>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490,0</w:t>
            </w:r>
          </w:p>
        </w:tc>
        <w:tc>
          <w:tcPr>
            <w:tcW w:w="6662" w:type="dxa"/>
          </w:tcPr>
          <w:p w:rsidR="007E27CB" w:rsidRDefault="008F141F">
            <w:pPr>
              <w:rPr>
                <w:rFonts w:ascii="Times New Roman" w:hAnsi="Times New Roman" w:cs="Times New Roman"/>
                <w:sz w:val="24"/>
                <w:szCs w:val="24"/>
              </w:rPr>
            </w:pPr>
            <w:r>
              <w:rPr>
                <w:rFonts w:ascii="Times New Roman" w:hAnsi="Times New Roman" w:cs="Times New Roman"/>
                <w:sz w:val="24"/>
                <w:szCs w:val="24"/>
              </w:rPr>
              <w:t>Причина недостижения целевого показателя в 2020 году – завершение поставок продуктов неорганической химии крупнейшим экспортером Томской области – ОАО «СХК» по программе ВОУ-НОУ в 2013 году, а также падение цены на нефть и физических поставок данного экспортного товара Томской области.</w:t>
            </w:r>
          </w:p>
          <w:p w:rsidR="007E27CB" w:rsidRDefault="008F141F">
            <w:pPr>
              <w:rPr>
                <w:rFonts w:ascii="Times New Roman" w:hAnsi="Times New Roman" w:cs="Times New Roman"/>
                <w:sz w:val="24"/>
                <w:szCs w:val="24"/>
              </w:rPr>
            </w:pPr>
            <w:r>
              <w:rPr>
                <w:rFonts w:ascii="Times New Roman" w:hAnsi="Times New Roman" w:cs="Times New Roman"/>
                <w:sz w:val="24"/>
                <w:szCs w:val="24"/>
              </w:rPr>
              <w:t>Вместе с тем с 2013 года в 1,6 раза вырос экспорт древесины, в 4,7 раза экспорт продовольственных товаров и сельхозсырья</w:t>
            </w:r>
          </w:p>
        </w:tc>
      </w:tr>
      <w:tr w:rsidR="007E27CB">
        <w:tc>
          <w:tcPr>
            <w:tcW w:w="4786" w:type="dxa"/>
          </w:tcPr>
          <w:p w:rsidR="007E27CB" w:rsidRDefault="008F141F">
            <w:pPr>
              <w:pStyle w:val="ConsPlusNormal"/>
              <w:tabs>
                <w:tab w:val="left" w:pos="4962"/>
              </w:tabs>
              <w:rPr>
                <w:rFonts w:ascii="Times New Roman" w:hAnsi="Times New Roman" w:cs="Times New Roman"/>
                <w:b w:val="0"/>
                <w:sz w:val="24"/>
                <w:szCs w:val="24"/>
              </w:rPr>
            </w:pPr>
            <w:r>
              <w:rPr>
                <w:rFonts w:ascii="Times New Roman" w:hAnsi="Times New Roman" w:cs="Times New Roman"/>
                <w:b w:val="0"/>
                <w:sz w:val="24"/>
                <w:szCs w:val="24"/>
              </w:rPr>
              <w:t>Позиция Томской области (города Томска) в рейтинге легкости ведения бизнеса (DoingBusiness) Всемирного Банка среди регионов (городов) Российской Федерации (место среди 30 городов)</w:t>
            </w:r>
          </w:p>
        </w:tc>
        <w:tc>
          <w:tcPr>
            <w:tcW w:w="1594" w:type="dxa"/>
            <w:vAlign w:val="center"/>
          </w:tcPr>
          <w:p w:rsidR="007E27CB" w:rsidRDefault="008F141F">
            <w:pPr>
              <w:tabs>
                <w:tab w:val="left" w:pos="4962"/>
              </w:tabs>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417"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w:t>
            </w:r>
          </w:p>
        </w:tc>
        <w:tc>
          <w:tcPr>
            <w:tcW w:w="1418"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14</w:t>
            </w:r>
          </w:p>
        </w:tc>
        <w:tc>
          <w:tcPr>
            <w:tcW w:w="6662" w:type="dxa"/>
          </w:tcPr>
          <w:p w:rsidR="007E27CB" w:rsidRDefault="008F141F">
            <w:pPr>
              <w:tabs>
                <w:tab w:val="left" w:pos="4962"/>
              </w:tabs>
              <w:jc w:val="both"/>
              <w:rPr>
                <w:rFonts w:ascii="Times New Roman" w:hAnsi="Times New Roman" w:cs="Times New Roman"/>
                <w:sz w:val="24"/>
                <w:szCs w:val="24"/>
              </w:rPr>
            </w:pPr>
            <w:r>
              <w:rPr>
                <w:rFonts w:ascii="Times New Roman" w:hAnsi="Times New Roman" w:cs="Times New Roman"/>
                <w:sz w:val="24"/>
                <w:szCs w:val="24"/>
              </w:rPr>
              <w:t>С 2017 года формирование рейтинга не проводится</w:t>
            </w:r>
          </w:p>
        </w:tc>
      </w:tr>
      <w:tr w:rsidR="007E27CB">
        <w:tc>
          <w:tcPr>
            <w:tcW w:w="4786" w:type="dxa"/>
          </w:tcPr>
          <w:p w:rsidR="007E27CB" w:rsidRDefault="008F141F">
            <w:pPr>
              <w:pStyle w:val="ConsPlusNormal"/>
              <w:tabs>
                <w:tab w:val="left" w:pos="4962"/>
              </w:tabs>
              <w:rPr>
                <w:rFonts w:ascii="Times New Roman" w:hAnsi="Times New Roman" w:cs="Times New Roman"/>
                <w:b w:val="0"/>
                <w:sz w:val="24"/>
                <w:szCs w:val="24"/>
              </w:rPr>
            </w:pPr>
            <w:r>
              <w:rPr>
                <w:rFonts w:ascii="Times New Roman" w:hAnsi="Times New Roman" w:cs="Times New Roman"/>
                <w:b w:val="0"/>
                <w:sz w:val="24"/>
                <w:szCs w:val="24"/>
              </w:rPr>
              <w:t>Отношение количества установленных тарифов (на тепловую энергию, водоснабжение и водоотведение, газоснабжение) к общему числу заявлений на установление тарифов от регулируемых организаций, %</w:t>
            </w:r>
          </w:p>
        </w:tc>
        <w:tc>
          <w:tcPr>
            <w:tcW w:w="1594" w:type="dxa"/>
            <w:vAlign w:val="center"/>
          </w:tcPr>
          <w:p w:rsidR="007E27CB" w:rsidRDefault="008F141F">
            <w:pPr>
              <w:tabs>
                <w:tab w:val="left" w:pos="4962"/>
              </w:tabs>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c>
          <w:tcPr>
            <w:tcW w:w="1417"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 xml:space="preserve">не менее 98 </w:t>
            </w:r>
          </w:p>
        </w:tc>
        <w:tc>
          <w:tcPr>
            <w:tcW w:w="1418"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от 98 и выше</w:t>
            </w:r>
          </w:p>
        </w:tc>
        <w:tc>
          <w:tcPr>
            <w:tcW w:w="6662" w:type="dxa"/>
          </w:tcPr>
          <w:p w:rsidR="007E27CB" w:rsidRDefault="008F141F">
            <w:pPr>
              <w:tabs>
                <w:tab w:val="left" w:pos="4962"/>
              </w:tabs>
              <w:jc w:val="both"/>
              <w:rPr>
                <w:rFonts w:ascii="Times New Roman" w:hAnsi="Times New Roman" w:cs="Times New Roman"/>
                <w:sz w:val="24"/>
                <w:szCs w:val="24"/>
              </w:rPr>
            </w:pPr>
            <w:r>
              <w:rPr>
                <w:rFonts w:ascii="Times New Roman" w:hAnsi="Times New Roman" w:cs="Times New Roman"/>
                <w:sz w:val="24"/>
                <w:szCs w:val="24"/>
              </w:rPr>
              <w:t>В 2019 году в сфере теплоснабжения, водоснабжения, водоотведения и газоснабжения установлено 100% тарифов от числа открытых тарифных дел. В соответствии с действующим законодательством тарифы устанавливаются органами регулирования до начала очередного периода регулирования, в связи с этим риск недостижения в 2020 году целевого значения показателя отсутствует</w:t>
            </w:r>
          </w:p>
        </w:tc>
      </w:tr>
      <w:tr w:rsidR="007E27CB">
        <w:tc>
          <w:tcPr>
            <w:tcW w:w="15877" w:type="dxa"/>
            <w:gridSpan w:val="5"/>
          </w:tcPr>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Цель 2. Рациональное использование природного капитала Томской области, устойчивое развитие агропромышленного комплекса</w:t>
            </w:r>
          </w:p>
        </w:tc>
      </w:tr>
      <w:tr w:rsidR="007E27CB">
        <w:tc>
          <w:tcPr>
            <w:tcW w:w="4786" w:type="dxa"/>
          </w:tcPr>
          <w:p w:rsidR="007E27CB" w:rsidRDefault="008F141F">
            <w:pPr>
              <w:pStyle w:val="ConsPlusNormal"/>
              <w:tabs>
                <w:tab w:val="left" w:pos="4962"/>
              </w:tabs>
              <w:rPr>
                <w:rFonts w:ascii="Times New Roman" w:hAnsi="Times New Roman" w:cs="Times New Roman"/>
                <w:b w:val="0"/>
                <w:sz w:val="24"/>
                <w:szCs w:val="24"/>
              </w:rPr>
            </w:pPr>
            <w:r>
              <w:rPr>
                <w:rFonts w:ascii="Times New Roman" w:hAnsi="Times New Roman" w:cs="Times New Roman"/>
                <w:b w:val="0"/>
                <w:sz w:val="24"/>
                <w:szCs w:val="24"/>
              </w:rPr>
              <w:t>Прирост объема производства продукции сельского хозяйства в хозяйствах всех категорий (в сопоставимых ценах) по отношению к уровню 2013 года, %</w:t>
            </w:r>
          </w:p>
        </w:tc>
        <w:tc>
          <w:tcPr>
            <w:tcW w:w="1594" w:type="dxa"/>
            <w:vAlign w:val="center"/>
          </w:tcPr>
          <w:p w:rsidR="007E27CB" w:rsidRDefault="007E27CB">
            <w:pPr>
              <w:tabs>
                <w:tab w:val="left" w:pos="4962"/>
              </w:tabs>
              <w:autoSpaceDE w:val="0"/>
              <w:autoSpaceDN w:val="0"/>
              <w:adjustRightInd w:val="0"/>
              <w:jc w:val="center"/>
              <w:rPr>
                <w:rFonts w:ascii="Times New Roman" w:eastAsia="Times New Roman" w:hAnsi="Times New Roman" w:cs="Times New Roman"/>
                <w:sz w:val="24"/>
                <w:szCs w:val="24"/>
              </w:rPr>
            </w:pPr>
          </w:p>
          <w:p w:rsidR="007E27CB" w:rsidRDefault="008F141F">
            <w:pPr>
              <w:tabs>
                <w:tab w:val="left" w:pos="4962"/>
              </w:tabs>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9,1</w:t>
            </w:r>
          </w:p>
          <w:p w:rsidR="007E27CB" w:rsidRDefault="007E27CB">
            <w:pPr>
              <w:tabs>
                <w:tab w:val="left" w:pos="4962"/>
              </w:tabs>
              <w:autoSpaceDE w:val="0"/>
              <w:autoSpaceDN w:val="0"/>
              <w:adjustRightInd w:val="0"/>
              <w:jc w:val="center"/>
              <w:rPr>
                <w:rFonts w:ascii="Times New Roman" w:eastAsia="Times New Roman" w:hAnsi="Times New Roman" w:cs="Times New Roman"/>
                <w:sz w:val="24"/>
                <w:szCs w:val="24"/>
              </w:rPr>
            </w:pPr>
          </w:p>
        </w:tc>
        <w:tc>
          <w:tcPr>
            <w:tcW w:w="1417"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10,8</w:t>
            </w:r>
          </w:p>
        </w:tc>
        <w:tc>
          <w:tcPr>
            <w:tcW w:w="1418"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8,0</w:t>
            </w:r>
          </w:p>
        </w:tc>
        <w:tc>
          <w:tcPr>
            <w:tcW w:w="6662" w:type="dxa"/>
          </w:tcPr>
          <w:p w:rsidR="007E27CB" w:rsidRDefault="008F141F">
            <w:pPr>
              <w:tabs>
                <w:tab w:val="left" w:pos="4962"/>
              </w:tabs>
              <w:jc w:val="both"/>
              <w:rPr>
                <w:rFonts w:ascii="Times New Roman" w:hAnsi="Times New Roman" w:cs="Times New Roman"/>
                <w:sz w:val="24"/>
                <w:szCs w:val="24"/>
              </w:rPr>
            </w:pPr>
            <w:r>
              <w:rPr>
                <w:rFonts w:ascii="Times New Roman" w:hAnsi="Times New Roman" w:cs="Times New Roman"/>
                <w:sz w:val="24"/>
                <w:szCs w:val="24"/>
              </w:rPr>
              <w:t xml:space="preserve">Достигнутое значение показателя в 2019 году обусловлено реализацией региональных и инвестиционных проектов, а также оказываемой сельскохозяйственным товаропроизводителям государственной поддержкой </w:t>
            </w:r>
          </w:p>
        </w:tc>
      </w:tr>
      <w:tr w:rsidR="007E27CB">
        <w:tc>
          <w:tcPr>
            <w:tcW w:w="4786" w:type="dxa"/>
          </w:tcPr>
          <w:p w:rsidR="007E27CB" w:rsidRDefault="008F141F">
            <w:pPr>
              <w:pStyle w:val="ConsPlusNormal"/>
              <w:tabs>
                <w:tab w:val="left" w:pos="4962"/>
              </w:tabs>
              <w:rPr>
                <w:rFonts w:ascii="Times New Roman" w:hAnsi="Times New Roman" w:cs="Times New Roman"/>
                <w:b w:val="0"/>
                <w:sz w:val="24"/>
                <w:szCs w:val="24"/>
              </w:rPr>
            </w:pPr>
            <w:r>
              <w:rPr>
                <w:rFonts w:ascii="Times New Roman" w:hAnsi="Times New Roman" w:cs="Times New Roman"/>
                <w:b w:val="0"/>
                <w:sz w:val="24"/>
                <w:szCs w:val="24"/>
              </w:rPr>
              <w:t>Объем загрязнений на единицу ВРП, тонн/млрд. рублей</w:t>
            </w:r>
          </w:p>
        </w:tc>
        <w:tc>
          <w:tcPr>
            <w:tcW w:w="1594" w:type="dxa"/>
            <w:vAlign w:val="center"/>
          </w:tcPr>
          <w:p w:rsidR="007E27CB" w:rsidRDefault="007E27CB">
            <w:pPr>
              <w:tabs>
                <w:tab w:val="left" w:pos="4962"/>
              </w:tabs>
              <w:jc w:val="center"/>
              <w:rPr>
                <w:rFonts w:ascii="Times New Roman" w:hAnsi="Times New Roman" w:cs="Times New Roman"/>
                <w:sz w:val="24"/>
                <w:szCs w:val="24"/>
              </w:rPr>
            </w:pPr>
          </w:p>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407,4</w:t>
            </w:r>
          </w:p>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(оценка)</w:t>
            </w:r>
          </w:p>
        </w:tc>
        <w:tc>
          <w:tcPr>
            <w:tcW w:w="1417" w:type="dxa"/>
            <w:vAlign w:val="center"/>
          </w:tcPr>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566,3</w:t>
            </w:r>
          </w:p>
        </w:tc>
        <w:tc>
          <w:tcPr>
            <w:tcW w:w="1418" w:type="dxa"/>
            <w:vAlign w:val="center"/>
          </w:tcPr>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566,3</w:t>
            </w:r>
          </w:p>
        </w:tc>
        <w:tc>
          <w:tcPr>
            <w:tcW w:w="6662" w:type="dxa"/>
          </w:tcPr>
          <w:p w:rsidR="007E27CB" w:rsidRDefault="008F141F">
            <w:pPr>
              <w:tabs>
                <w:tab w:val="left" w:pos="4962"/>
              </w:tabs>
              <w:jc w:val="both"/>
              <w:rPr>
                <w:rFonts w:ascii="Times New Roman" w:hAnsi="Times New Roman" w:cs="Times New Roman"/>
                <w:sz w:val="24"/>
                <w:szCs w:val="24"/>
              </w:rPr>
            </w:pPr>
            <w:r>
              <w:rPr>
                <w:rFonts w:ascii="Times New Roman" w:hAnsi="Times New Roman" w:cs="Times New Roman"/>
                <w:sz w:val="24"/>
                <w:szCs w:val="24"/>
              </w:rPr>
              <w:t>Наблюдается стабильное снижение показателя за счет уменьшения объема выбросов вредных загрязняющих веществ в атмосферный воздух</w:t>
            </w:r>
          </w:p>
        </w:tc>
      </w:tr>
      <w:tr w:rsidR="007E27CB">
        <w:tc>
          <w:tcPr>
            <w:tcW w:w="15877" w:type="dxa"/>
            <w:gridSpan w:val="5"/>
          </w:tcPr>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Задача 2.1. Обеспечить рациональное использование природных ресурсов, в том числе возобновляемых ресурсов, и повысить качество окружающей среды Томской области</w:t>
            </w:r>
          </w:p>
        </w:tc>
      </w:tr>
      <w:tr w:rsidR="007E27CB">
        <w:tc>
          <w:tcPr>
            <w:tcW w:w="4786" w:type="dxa"/>
          </w:tcPr>
          <w:p w:rsidR="007E27CB" w:rsidRDefault="008F141F">
            <w:pPr>
              <w:pStyle w:val="ConsPlusNormal"/>
              <w:tabs>
                <w:tab w:val="left" w:pos="4962"/>
              </w:tabs>
              <w:rPr>
                <w:rFonts w:ascii="Times New Roman" w:hAnsi="Times New Roman" w:cs="Times New Roman"/>
                <w:b w:val="0"/>
                <w:sz w:val="24"/>
                <w:szCs w:val="24"/>
              </w:rPr>
            </w:pPr>
            <w:r>
              <w:rPr>
                <w:rFonts w:ascii="Times New Roman" w:hAnsi="Times New Roman" w:cs="Times New Roman"/>
                <w:b w:val="0"/>
                <w:sz w:val="24"/>
                <w:szCs w:val="24"/>
              </w:rPr>
              <w:t>Лесистость территории Томской области, %</w:t>
            </w:r>
          </w:p>
        </w:tc>
        <w:tc>
          <w:tcPr>
            <w:tcW w:w="1594" w:type="dxa"/>
            <w:vAlign w:val="center"/>
          </w:tcPr>
          <w:p w:rsidR="007E27CB" w:rsidRDefault="008F141F">
            <w:pPr>
              <w:tabs>
                <w:tab w:val="left" w:pos="4962"/>
              </w:tabs>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61,3</w:t>
            </w:r>
          </w:p>
        </w:tc>
        <w:tc>
          <w:tcPr>
            <w:tcW w:w="1417"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61,3</w:t>
            </w:r>
          </w:p>
        </w:tc>
        <w:tc>
          <w:tcPr>
            <w:tcW w:w="1418"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не менее 60</w:t>
            </w:r>
          </w:p>
        </w:tc>
        <w:tc>
          <w:tcPr>
            <w:tcW w:w="6662" w:type="dxa"/>
          </w:tcPr>
          <w:p w:rsidR="007E27CB" w:rsidRDefault="008F141F">
            <w:pPr>
              <w:ind w:firstLine="34"/>
              <w:jc w:val="both"/>
              <w:rPr>
                <w:rFonts w:ascii="Times New Roman" w:hAnsi="Times New Roman" w:cs="Times New Roman"/>
                <w:sz w:val="24"/>
                <w:szCs w:val="24"/>
              </w:rPr>
            </w:pPr>
            <w:r>
              <w:rPr>
                <w:rFonts w:ascii="Times New Roman" w:hAnsi="Times New Roman" w:cs="Times New Roman"/>
                <w:sz w:val="24"/>
                <w:szCs w:val="24"/>
              </w:rPr>
              <w:t>В целях сохранения данного показателя на уровне не менее 60% принимаются меры, направленные на проведение лесовосстановительных мероприятий, а также обследования вырубок, оставленных под естественное заращивание для перевода в покрытые лесной растительностью земли, что в свою очередь приводит к сохранению и увеличению лесной площади</w:t>
            </w:r>
          </w:p>
        </w:tc>
      </w:tr>
      <w:tr w:rsidR="007E27CB">
        <w:tc>
          <w:tcPr>
            <w:tcW w:w="4786" w:type="dxa"/>
          </w:tcPr>
          <w:p w:rsidR="007E27CB" w:rsidRDefault="008F141F">
            <w:pPr>
              <w:tabs>
                <w:tab w:val="left" w:pos="4962"/>
              </w:tabs>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Доля объема отходов производства, вовлекаемых во вторичное использование, %</w:t>
            </w:r>
          </w:p>
        </w:tc>
        <w:tc>
          <w:tcPr>
            <w:tcW w:w="1594" w:type="dxa"/>
            <w:vAlign w:val="center"/>
          </w:tcPr>
          <w:p w:rsidR="007E27CB" w:rsidRDefault="007E27CB">
            <w:pPr>
              <w:tabs>
                <w:tab w:val="left" w:pos="4962"/>
              </w:tabs>
              <w:jc w:val="center"/>
              <w:rPr>
                <w:rFonts w:ascii="Times New Roman" w:hAnsi="Times New Roman" w:cs="Times New Roman"/>
                <w:sz w:val="24"/>
                <w:szCs w:val="24"/>
              </w:rPr>
            </w:pPr>
          </w:p>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49,5</w:t>
            </w:r>
          </w:p>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(оценка)</w:t>
            </w:r>
          </w:p>
        </w:tc>
        <w:tc>
          <w:tcPr>
            <w:tcW w:w="1417" w:type="dxa"/>
            <w:vAlign w:val="center"/>
          </w:tcPr>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50</w:t>
            </w:r>
          </w:p>
        </w:tc>
        <w:tc>
          <w:tcPr>
            <w:tcW w:w="1418" w:type="dxa"/>
            <w:vAlign w:val="center"/>
          </w:tcPr>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50</w:t>
            </w:r>
          </w:p>
        </w:tc>
        <w:tc>
          <w:tcPr>
            <w:tcW w:w="6662" w:type="dxa"/>
          </w:tcPr>
          <w:p w:rsidR="007E27CB" w:rsidRDefault="008F141F">
            <w:pPr>
              <w:tabs>
                <w:tab w:val="left" w:pos="4962"/>
              </w:tabs>
              <w:jc w:val="both"/>
              <w:rPr>
                <w:rFonts w:ascii="Times New Roman" w:hAnsi="Times New Roman" w:cs="Times New Roman"/>
                <w:sz w:val="24"/>
                <w:szCs w:val="24"/>
              </w:rPr>
            </w:pPr>
            <w:r>
              <w:rPr>
                <w:rFonts w:ascii="Times New Roman" w:hAnsi="Times New Roman" w:cs="Times New Roman"/>
                <w:sz w:val="24"/>
                <w:szCs w:val="24"/>
              </w:rPr>
              <w:t>Достижение показателя обеспечено реформированием системы обращения с отходами, сокращением количества объектов для их размещения, а также реализацией стратегии развития промышленности по обработке, утилизации и обезвреживанию отходов производства и потребления, направленной на сокращение количества захораниваемых отходов и вовлечение таких отходов в производство.</w:t>
            </w:r>
          </w:p>
        </w:tc>
      </w:tr>
      <w:tr w:rsidR="007E27CB">
        <w:tc>
          <w:tcPr>
            <w:tcW w:w="15877" w:type="dxa"/>
            <w:gridSpan w:val="5"/>
          </w:tcPr>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Задача 2.2. Повысить конкурентоспособность агропромышленного сектора и обеспечить устойчивое развитие сельских территорий Томской области</w:t>
            </w:r>
          </w:p>
        </w:tc>
      </w:tr>
      <w:tr w:rsidR="007E27CB">
        <w:tc>
          <w:tcPr>
            <w:tcW w:w="4786" w:type="dxa"/>
          </w:tcPr>
          <w:p w:rsidR="007E27CB" w:rsidRDefault="008F141F">
            <w:pPr>
              <w:pStyle w:val="ConsPlusNormal"/>
              <w:tabs>
                <w:tab w:val="left" w:pos="4962"/>
              </w:tabs>
              <w:rPr>
                <w:rFonts w:ascii="Times New Roman" w:hAnsi="Times New Roman" w:cs="Times New Roman"/>
                <w:b w:val="0"/>
                <w:sz w:val="24"/>
                <w:szCs w:val="24"/>
              </w:rPr>
            </w:pPr>
            <w:r>
              <w:rPr>
                <w:rFonts w:ascii="Times New Roman" w:hAnsi="Times New Roman" w:cs="Times New Roman"/>
                <w:b w:val="0"/>
                <w:sz w:val="24"/>
                <w:szCs w:val="24"/>
              </w:rPr>
              <w:t>Объем переработки рыбо- и морепродуктов, тыс. тонн</w:t>
            </w:r>
          </w:p>
        </w:tc>
        <w:tc>
          <w:tcPr>
            <w:tcW w:w="1594" w:type="dxa"/>
            <w:vAlign w:val="center"/>
          </w:tcPr>
          <w:p w:rsidR="007E27CB" w:rsidRDefault="008F141F">
            <w:pPr>
              <w:tabs>
                <w:tab w:val="left" w:pos="4962"/>
              </w:tabs>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4,2</w:t>
            </w:r>
          </w:p>
        </w:tc>
        <w:tc>
          <w:tcPr>
            <w:tcW w:w="1417"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4,3</w:t>
            </w:r>
          </w:p>
        </w:tc>
        <w:tc>
          <w:tcPr>
            <w:tcW w:w="1418"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3,6</w:t>
            </w:r>
          </w:p>
        </w:tc>
        <w:tc>
          <w:tcPr>
            <w:tcW w:w="6662" w:type="dxa"/>
          </w:tcPr>
          <w:p w:rsidR="007E27CB" w:rsidRDefault="008F141F">
            <w:pPr>
              <w:tabs>
                <w:tab w:val="left" w:pos="4962"/>
              </w:tabs>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Объем переработки рыбной продукции в 2019 году вырос по сравнению с 2018 годом на 26% и составил 4,2 тыс. тонн. </w:t>
            </w:r>
          </w:p>
          <w:p w:rsidR="007E27CB" w:rsidRDefault="008F141F">
            <w:pPr>
              <w:tabs>
                <w:tab w:val="left" w:pos="4962"/>
              </w:tabs>
              <w:jc w:val="both"/>
              <w:rPr>
                <w:rFonts w:ascii="Times New Roman" w:hAnsi="Times New Roman" w:cs="Times New Roman"/>
                <w:sz w:val="24"/>
                <w:szCs w:val="24"/>
              </w:rPr>
            </w:pPr>
            <w:r>
              <w:rPr>
                <w:rFonts w:ascii="Times New Roman" w:hAnsi="Times New Roman" w:cs="Times New Roman"/>
                <w:color w:val="000000"/>
                <w:sz w:val="24"/>
                <w:szCs w:val="24"/>
              </w:rPr>
              <w:t>На 2020 год рост объема переработки до 4,3 тыс. тонн запланирован за счет запуска в эксплуатацию 2 новых рыбоперерабатывающих заводов («Рыбная тема», «Александровские консервы»), реконструкции существующих заводов (ООО «Колпашевский рыбозавод», ООО «Авангард») и обновления парка оборудования для глубокой переработки другими перерабатывающими заводами</w:t>
            </w:r>
          </w:p>
        </w:tc>
      </w:tr>
      <w:tr w:rsidR="007E27CB">
        <w:tc>
          <w:tcPr>
            <w:tcW w:w="4786" w:type="dxa"/>
          </w:tcPr>
          <w:p w:rsidR="007E27CB" w:rsidRDefault="008F141F">
            <w:pPr>
              <w:pStyle w:val="ConsPlusNormal"/>
              <w:tabs>
                <w:tab w:val="left" w:pos="4962"/>
              </w:tabs>
              <w:rPr>
                <w:rFonts w:ascii="Times New Roman" w:hAnsi="Times New Roman" w:cs="Times New Roman"/>
                <w:b w:val="0"/>
                <w:sz w:val="24"/>
                <w:szCs w:val="24"/>
              </w:rPr>
            </w:pPr>
            <w:r>
              <w:rPr>
                <w:rFonts w:ascii="Times New Roman" w:hAnsi="Times New Roman" w:cs="Times New Roman"/>
                <w:b w:val="0"/>
                <w:sz w:val="24"/>
                <w:szCs w:val="24"/>
              </w:rPr>
              <w:t>Среднемесячная заработная плата работников сельского хозяйства (без субъектов малого предпринимательства) по отношению к среднемесячной номинальной начисленной заработной плате в регионе, %</w:t>
            </w:r>
          </w:p>
        </w:tc>
        <w:tc>
          <w:tcPr>
            <w:tcW w:w="1594" w:type="dxa"/>
            <w:vAlign w:val="center"/>
          </w:tcPr>
          <w:p w:rsidR="007E27CB" w:rsidRDefault="007E27CB">
            <w:pPr>
              <w:tabs>
                <w:tab w:val="left" w:pos="4962"/>
              </w:tabs>
              <w:autoSpaceDE w:val="0"/>
              <w:autoSpaceDN w:val="0"/>
              <w:adjustRightInd w:val="0"/>
              <w:jc w:val="center"/>
              <w:rPr>
                <w:rFonts w:ascii="Times New Roman" w:eastAsia="Times New Roman" w:hAnsi="Times New Roman" w:cs="Times New Roman"/>
                <w:sz w:val="24"/>
                <w:szCs w:val="24"/>
              </w:rPr>
            </w:pPr>
          </w:p>
          <w:p w:rsidR="007E27CB" w:rsidRDefault="008F141F">
            <w:pPr>
              <w:tabs>
                <w:tab w:val="left" w:pos="4962"/>
              </w:tabs>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69,3</w:t>
            </w:r>
          </w:p>
          <w:p w:rsidR="007E27CB" w:rsidRDefault="008F141F">
            <w:pPr>
              <w:tabs>
                <w:tab w:val="left" w:pos="4962"/>
              </w:tabs>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(оценка)</w:t>
            </w:r>
          </w:p>
        </w:tc>
        <w:tc>
          <w:tcPr>
            <w:tcW w:w="1417"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73,3</w:t>
            </w:r>
          </w:p>
        </w:tc>
        <w:tc>
          <w:tcPr>
            <w:tcW w:w="1418"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69</w:t>
            </w:r>
          </w:p>
        </w:tc>
        <w:tc>
          <w:tcPr>
            <w:tcW w:w="6662" w:type="dxa"/>
          </w:tcPr>
          <w:p w:rsidR="007E27CB" w:rsidRDefault="008F141F">
            <w:pPr>
              <w:tabs>
                <w:tab w:val="left" w:pos="4962"/>
              </w:tabs>
              <w:jc w:val="both"/>
              <w:rPr>
                <w:rFonts w:ascii="Times New Roman" w:hAnsi="Times New Roman" w:cs="Times New Roman"/>
                <w:sz w:val="24"/>
                <w:szCs w:val="24"/>
              </w:rPr>
            </w:pPr>
            <w:r>
              <w:rPr>
                <w:rFonts w:ascii="Times New Roman" w:hAnsi="Times New Roman" w:cs="Times New Roman"/>
                <w:sz w:val="24"/>
                <w:szCs w:val="24"/>
              </w:rPr>
              <w:t>Фактическое значение показателя обусловлено ростом эффективности сельскохозяйственной отрасли и ростом производительности</w:t>
            </w:r>
          </w:p>
        </w:tc>
      </w:tr>
      <w:tr w:rsidR="007E27CB">
        <w:tc>
          <w:tcPr>
            <w:tcW w:w="4786" w:type="dxa"/>
          </w:tcPr>
          <w:p w:rsidR="007E27CB" w:rsidRDefault="008F141F">
            <w:pPr>
              <w:pStyle w:val="ConsPlusNormal"/>
              <w:tabs>
                <w:tab w:val="left" w:pos="4962"/>
              </w:tabs>
              <w:rPr>
                <w:rFonts w:ascii="Times New Roman" w:hAnsi="Times New Roman" w:cs="Times New Roman"/>
                <w:b w:val="0"/>
                <w:sz w:val="24"/>
                <w:szCs w:val="24"/>
              </w:rPr>
            </w:pPr>
            <w:r>
              <w:rPr>
                <w:rFonts w:ascii="Times New Roman" w:hAnsi="Times New Roman" w:cs="Times New Roman"/>
                <w:b w:val="0"/>
                <w:sz w:val="24"/>
                <w:szCs w:val="24"/>
              </w:rPr>
              <w:t>Рентабельность сельскохозяйственных организаций (с учетом субсидий), %</w:t>
            </w:r>
          </w:p>
        </w:tc>
        <w:tc>
          <w:tcPr>
            <w:tcW w:w="1594" w:type="dxa"/>
            <w:vAlign w:val="center"/>
          </w:tcPr>
          <w:p w:rsidR="007E27CB" w:rsidRDefault="007E27CB">
            <w:pPr>
              <w:tabs>
                <w:tab w:val="left" w:pos="4962"/>
              </w:tabs>
              <w:autoSpaceDE w:val="0"/>
              <w:autoSpaceDN w:val="0"/>
              <w:adjustRightInd w:val="0"/>
              <w:jc w:val="center"/>
              <w:rPr>
                <w:rFonts w:ascii="Times New Roman" w:eastAsia="Times New Roman" w:hAnsi="Times New Roman" w:cs="Times New Roman"/>
                <w:sz w:val="24"/>
                <w:szCs w:val="24"/>
              </w:rPr>
            </w:pPr>
          </w:p>
          <w:p w:rsidR="007E27CB" w:rsidRDefault="008F141F">
            <w:pPr>
              <w:tabs>
                <w:tab w:val="left" w:pos="4962"/>
              </w:tabs>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31</w:t>
            </w:r>
          </w:p>
          <w:p w:rsidR="007E27CB" w:rsidRDefault="008F141F">
            <w:pPr>
              <w:tabs>
                <w:tab w:val="left" w:pos="4962"/>
              </w:tabs>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(оценка)</w:t>
            </w:r>
          </w:p>
        </w:tc>
        <w:tc>
          <w:tcPr>
            <w:tcW w:w="1417"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24,0</w:t>
            </w:r>
          </w:p>
        </w:tc>
        <w:tc>
          <w:tcPr>
            <w:tcW w:w="1418"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15</w:t>
            </w:r>
          </w:p>
        </w:tc>
        <w:tc>
          <w:tcPr>
            <w:tcW w:w="6662" w:type="dxa"/>
          </w:tcPr>
          <w:p w:rsidR="007E27CB" w:rsidRDefault="008F141F">
            <w:pPr>
              <w:jc w:val="both"/>
              <w:rPr>
                <w:rFonts w:ascii="Times New Roman" w:hAnsi="Times New Roman" w:cs="Times New Roman"/>
                <w:sz w:val="24"/>
                <w:szCs w:val="24"/>
              </w:rPr>
            </w:pPr>
            <w:r>
              <w:rPr>
                <w:rFonts w:ascii="Times New Roman" w:hAnsi="Times New Roman" w:cs="Times New Roman"/>
                <w:sz w:val="24"/>
                <w:szCs w:val="24"/>
              </w:rPr>
              <w:t>Рост рентабельности в 2019 году обусловлен  увеличением прибыли сельскохозяйственных организаций (АО «Дубровское», АО «Сибирская Аграрная Группа», ООО «Вороновское», ООО «Агро»,  ООО «Агрокомплекс», ООО «Агрофирма «Межениновская», ООО «Сибирская олива», ООО «СП «Северный сад») в связи с реализацией  ими  инвестиционных проектов в АПК</w:t>
            </w:r>
          </w:p>
        </w:tc>
      </w:tr>
      <w:tr w:rsidR="007E27CB">
        <w:tc>
          <w:tcPr>
            <w:tcW w:w="15877" w:type="dxa"/>
            <w:gridSpan w:val="5"/>
          </w:tcPr>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Цель 3. Повышение уровня и качества жизни населения на всей территории Томской области, накопление человеческого капитала</w:t>
            </w:r>
          </w:p>
        </w:tc>
      </w:tr>
      <w:tr w:rsidR="007E27CB">
        <w:tc>
          <w:tcPr>
            <w:tcW w:w="4786" w:type="dxa"/>
          </w:tcPr>
          <w:p w:rsidR="007E27CB" w:rsidRDefault="008F141F">
            <w:pPr>
              <w:pStyle w:val="ConsPlusNormal"/>
              <w:tabs>
                <w:tab w:val="left" w:pos="4962"/>
              </w:tabs>
              <w:rPr>
                <w:rFonts w:ascii="Times New Roman" w:hAnsi="Times New Roman" w:cs="Times New Roman"/>
                <w:b w:val="0"/>
                <w:sz w:val="24"/>
                <w:szCs w:val="24"/>
              </w:rPr>
            </w:pPr>
            <w:r>
              <w:rPr>
                <w:rFonts w:ascii="Times New Roman" w:hAnsi="Times New Roman" w:cs="Times New Roman"/>
                <w:b w:val="0"/>
                <w:sz w:val="24"/>
                <w:szCs w:val="24"/>
              </w:rPr>
              <w:t>Индекс качества жизни</w:t>
            </w:r>
          </w:p>
        </w:tc>
        <w:tc>
          <w:tcPr>
            <w:tcW w:w="1594" w:type="dxa"/>
            <w:vAlign w:val="center"/>
          </w:tcPr>
          <w:p w:rsidR="007E27CB" w:rsidRDefault="008F141F">
            <w:pPr>
              <w:tabs>
                <w:tab w:val="left" w:pos="4962"/>
              </w:tabs>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0,734</w:t>
            </w:r>
          </w:p>
          <w:p w:rsidR="007E27CB" w:rsidRDefault="008F141F">
            <w:pPr>
              <w:tabs>
                <w:tab w:val="left" w:pos="4962"/>
              </w:tabs>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(оценка)</w:t>
            </w:r>
          </w:p>
        </w:tc>
        <w:tc>
          <w:tcPr>
            <w:tcW w:w="1417"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0,760</w:t>
            </w:r>
          </w:p>
        </w:tc>
        <w:tc>
          <w:tcPr>
            <w:tcW w:w="1418"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0,760</w:t>
            </w:r>
          </w:p>
        </w:tc>
        <w:tc>
          <w:tcPr>
            <w:tcW w:w="6662" w:type="dxa"/>
          </w:tcPr>
          <w:p w:rsidR="007E27CB" w:rsidRDefault="008F141F">
            <w:pPr>
              <w:tabs>
                <w:tab w:val="left" w:pos="4962"/>
              </w:tabs>
              <w:jc w:val="both"/>
              <w:rPr>
                <w:rFonts w:ascii="Times New Roman" w:hAnsi="Times New Roman" w:cs="Times New Roman"/>
                <w:sz w:val="24"/>
                <w:szCs w:val="24"/>
              </w:rPr>
            </w:pPr>
            <w:r>
              <w:rPr>
                <w:rFonts w:ascii="Times New Roman" w:hAnsi="Times New Roman" w:cs="Times New Roman"/>
                <w:sz w:val="24"/>
                <w:szCs w:val="24"/>
              </w:rPr>
              <w:t xml:space="preserve">Сводный индекс формируют 12 показателей. По 8 из них отмечена положительная динамика, еще по двум нейтральная динамика (на уровне прошлого года). Фактическое выполнение по итогам года по оценке составило 98,5%, что обусловлено снижением числа учащихся профессиональных учебных заведений всех видов. Динамика показателя в 2019 </w:t>
            </w:r>
            <w:r>
              <w:rPr>
                <w:rFonts w:ascii="Times New Roman" w:hAnsi="Times New Roman"/>
                <w:sz w:val="24"/>
                <w:szCs w:val="24"/>
              </w:rPr>
              <w:t>–</w:t>
            </w:r>
            <w:r>
              <w:rPr>
                <w:rFonts w:ascii="Times New Roman" w:hAnsi="Times New Roman" w:cs="Times New Roman"/>
                <w:sz w:val="24"/>
                <w:szCs w:val="24"/>
              </w:rPr>
              <w:t xml:space="preserve"> 2020 годах в целом соответствует графику достижения целевого значения</w:t>
            </w:r>
          </w:p>
        </w:tc>
      </w:tr>
      <w:tr w:rsidR="007E27CB">
        <w:tc>
          <w:tcPr>
            <w:tcW w:w="4786" w:type="dxa"/>
          </w:tcPr>
          <w:p w:rsidR="007E27CB" w:rsidRDefault="008F141F">
            <w:pPr>
              <w:pStyle w:val="ConsPlusNormal"/>
              <w:tabs>
                <w:tab w:val="left" w:pos="4962"/>
              </w:tabs>
              <w:rPr>
                <w:rFonts w:ascii="Times New Roman" w:hAnsi="Times New Roman" w:cs="Times New Roman"/>
                <w:b w:val="0"/>
                <w:sz w:val="24"/>
                <w:szCs w:val="24"/>
              </w:rPr>
            </w:pPr>
            <w:r>
              <w:rPr>
                <w:rFonts w:ascii="Times New Roman" w:hAnsi="Times New Roman" w:cs="Times New Roman"/>
                <w:b w:val="0"/>
                <w:sz w:val="24"/>
                <w:szCs w:val="24"/>
              </w:rPr>
              <w:t>Ожидаемая продолжительность жизни, лет</w:t>
            </w:r>
          </w:p>
        </w:tc>
        <w:tc>
          <w:tcPr>
            <w:tcW w:w="1594" w:type="dxa"/>
          </w:tcPr>
          <w:p w:rsidR="007E27CB" w:rsidRDefault="008F141F">
            <w:pPr>
              <w:tabs>
                <w:tab w:val="left" w:pos="4962"/>
              </w:tabs>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72,85</w:t>
            </w:r>
          </w:p>
          <w:p w:rsidR="007E27CB" w:rsidRDefault="008F141F">
            <w:pPr>
              <w:tabs>
                <w:tab w:val="left" w:pos="4962"/>
              </w:tabs>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(оценка)</w:t>
            </w:r>
          </w:p>
        </w:tc>
        <w:tc>
          <w:tcPr>
            <w:tcW w:w="1417" w:type="dxa"/>
          </w:tcPr>
          <w:p w:rsidR="007E27CB" w:rsidRDefault="008F141F">
            <w:pPr>
              <w:tabs>
                <w:tab w:val="left" w:pos="4962"/>
              </w:tabs>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74,0</w:t>
            </w:r>
          </w:p>
        </w:tc>
        <w:tc>
          <w:tcPr>
            <w:tcW w:w="1418" w:type="dxa"/>
          </w:tcPr>
          <w:p w:rsidR="007E27CB" w:rsidRDefault="008F141F">
            <w:pPr>
              <w:tabs>
                <w:tab w:val="left" w:pos="4962"/>
              </w:tabs>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74,0</w:t>
            </w:r>
          </w:p>
        </w:tc>
        <w:tc>
          <w:tcPr>
            <w:tcW w:w="6662" w:type="dxa"/>
          </w:tcPr>
          <w:p w:rsidR="007E27CB" w:rsidRDefault="008F141F">
            <w:pPr>
              <w:tabs>
                <w:tab w:val="left" w:pos="4962"/>
              </w:tabs>
              <w:jc w:val="both"/>
              <w:rPr>
                <w:rFonts w:ascii="Times New Roman" w:hAnsi="Times New Roman" w:cs="Times New Roman"/>
                <w:sz w:val="24"/>
                <w:szCs w:val="24"/>
              </w:rPr>
            </w:pPr>
            <w:r>
              <w:rPr>
                <w:rFonts w:ascii="Times New Roman" w:hAnsi="Times New Roman" w:cs="Times New Roman"/>
                <w:sz w:val="24"/>
                <w:szCs w:val="24"/>
              </w:rPr>
              <w:t>Динамика показателя в целом соответствует графику достижения целевого значения. Увеличение продолжительности жизни обеспечено за счет развития здравоохранения, повышения качества жизни, роста культурного и образовательного уровней населения области</w:t>
            </w:r>
          </w:p>
        </w:tc>
      </w:tr>
      <w:tr w:rsidR="007E27CB">
        <w:tc>
          <w:tcPr>
            <w:tcW w:w="15877" w:type="dxa"/>
            <w:gridSpan w:val="5"/>
          </w:tcPr>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Задача 3.1. Повысить доступность медицинской помощи и эффективность предоставления медицинских услуг</w:t>
            </w:r>
          </w:p>
        </w:tc>
      </w:tr>
      <w:tr w:rsidR="007E27CB">
        <w:tc>
          <w:tcPr>
            <w:tcW w:w="4786" w:type="dxa"/>
          </w:tcPr>
          <w:p w:rsidR="007E27CB" w:rsidRDefault="008F141F">
            <w:pPr>
              <w:pStyle w:val="ConsPlusNormal"/>
              <w:tabs>
                <w:tab w:val="left" w:pos="4962"/>
              </w:tabs>
              <w:rPr>
                <w:rFonts w:ascii="Times New Roman" w:hAnsi="Times New Roman" w:cs="Times New Roman"/>
                <w:b w:val="0"/>
                <w:sz w:val="24"/>
                <w:szCs w:val="24"/>
              </w:rPr>
            </w:pPr>
            <w:r>
              <w:rPr>
                <w:rFonts w:ascii="Times New Roman" w:hAnsi="Times New Roman" w:cs="Times New Roman"/>
                <w:b w:val="0"/>
                <w:sz w:val="24"/>
                <w:szCs w:val="24"/>
              </w:rPr>
              <w:t>Уровень младенческой смертности (на 1000 рожденных живыми)</w:t>
            </w:r>
          </w:p>
        </w:tc>
        <w:tc>
          <w:tcPr>
            <w:tcW w:w="1594" w:type="dxa"/>
          </w:tcPr>
          <w:p w:rsidR="007E27CB" w:rsidRDefault="008F141F">
            <w:pPr>
              <w:tabs>
                <w:tab w:val="left" w:pos="4962"/>
              </w:tabs>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4,4</w:t>
            </w:r>
          </w:p>
          <w:p w:rsidR="007E27CB" w:rsidRDefault="008F141F">
            <w:pPr>
              <w:tabs>
                <w:tab w:val="left" w:pos="4962"/>
              </w:tabs>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(оценка)</w:t>
            </w:r>
          </w:p>
        </w:tc>
        <w:tc>
          <w:tcPr>
            <w:tcW w:w="1417" w:type="dxa"/>
          </w:tcPr>
          <w:p w:rsidR="007E27CB" w:rsidRDefault="008F141F">
            <w:pPr>
              <w:tabs>
                <w:tab w:val="left" w:pos="4962"/>
              </w:tabs>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4,7</w:t>
            </w:r>
          </w:p>
        </w:tc>
        <w:tc>
          <w:tcPr>
            <w:tcW w:w="1418" w:type="dxa"/>
          </w:tcPr>
          <w:p w:rsidR="007E27CB" w:rsidRDefault="008F141F">
            <w:pPr>
              <w:tabs>
                <w:tab w:val="left" w:pos="4962"/>
              </w:tabs>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5,5</w:t>
            </w:r>
          </w:p>
        </w:tc>
        <w:tc>
          <w:tcPr>
            <w:tcW w:w="6662" w:type="dxa"/>
          </w:tcPr>
          <w:p w:rsidR="007E27CB" w:rsidRDefault="008F141F">
            <w:pPr>
              <w:tabs>
                <w:tab w:val="left" w:pos="4962"/>
              </w:tabs>
              <w:jc w:val="both"/>
              <w:rPr>
                <w:rFonts w:ascii="Times New Roman" w:hAnsi="Times New Roman" w:cs="Times New Roman"/>
                <w:sz w:val="24"/>
                <w:szCs w:val="24"/>
              </w:rPr>
            </w:pPr>
            <w:r>
              <w:rPr>
                <w:rFonts w:ascii="Times New Roman" w:hAnsi="Times New Roman" w:cs="Times New Roman"/>
                <w:sz w:val="24"/>
                <w:szCs w:val="24"/>
              </w:rPr>
              <w:t>Снижение уровня младенческой смертности обусловлено снижением числа умерших детей в возрасте до 1 года вследствие реализации комплекса мер, проводимых в отрасли здравоохранения. При этом отмечается снижение числа родившихся граждан в 2019 году</w:t>
            </w:r>
          </w:p>
        </w:tc>
      </w:tr>
      <w:tr w:rsidR="007E27CB">
        <w:tc>
          <w:tcPr>
            <w:tcW w:w="4786" w:type="dxa"/>
          </w:tcPr>
          <w:p w:rsidR="007E27CB" w:rsidRDefault="008F141F">
            <w:pPr>
              <w:pStyle w:val="ConsPlusNormal"/>
              <w:tabs>
                <w:tab w:val="left" w:pos="4962"/>
              </w:tabs>
              <w:rPr>
                <w:rFonts w:ascii="Times New Roman" w:hAnsi="Times New Roman" w:cs="Times New Roman"/>
                <w:b w:val="0"/>
                <w:sz w:val="24"/>
                <w:szCs w:val="24"/>
              </w:rPr>
            </w:pPr>
            <w:r>
              <w:rPr>
                <w:rFonts w:ascii="Times New Roman" w:hAnsi="Times New Roman" w:cs="Times New Roman"/>
                <w:b w:val="0"/>
                <w:sz w:val="24"/>
                <w:szCs w:val="24"/>
              </w:rPr>
              <w:t>Коэффициент естественного прироста населения (на 1000 населения)</w:t>
            </w:r>
          </w:p>
        </w:tc>
        <w:tc>
          <w:tcPr>
            <w:tcW w:w="1594" w:type="dxa"/>
          </w:tcPr>
          <w:p w:rsidR="007E27CB" w:rsidRDefault="008F141F">
            <w:pPr>
              <w:tabs>
                <w:tab w:val="left" w:pos="4962"/>
              </w:tabs>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c>
          <w:tcPr>
            <w:tcW w:w="1417" w:type="dxa"/>
          </w:tcPr>
          <w:p w:rsidR="007E27CB" w:rsidRDefault="008F141F">
            <w:pPr>
              <w:tabs>
                <w:tab w:val="left" w:pos="4962"/>
              </w:tabs>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1418" w:type="dxa"/>
          </w:tcPr>
          <w:p w:rsidR="007E27CB" w:rsidRDefault="008F141F">
            <w:pPr>
              <w:tabs>
                <w:tab w:val="left" w:pos="4962"/>
              </w:tabs>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p>
        </w:tc>
        <w:tc>
          <w:tcPr>
            <w:tcW w:w="6662" w:type="dxa"/>
          </w:tcPr>
          <w:p w:rsidR="007E27CB" w:rsidRDefault="008F141F">
            <w:pPr>
              <w:tabs>
                <w:tab w:val="left" w:pos="4962"/>
              </w:tabs>
              <w:jc w:val="both"/>
              <w:rPr>
                <w:rFonts w:ascii="Times New Roman" w:hAnsi="Times New Roman" w:cs="Times New Roman"/>
                <w:sz w:val="24"/>
                <w:szCs w:val="24"/>
              </w:rPr>
            </w:pPr>
            <w:r>
              <w:rPr>
                <w:rFonts w:ascii="Times New Roman" w:hAnsi="Times New Roman" w:cs="Times New Roman"/>
                <w:sz w:val="24"/>
                <w:szCs w:val="24"/>
              </w:rPr>
              <w:t>Основной причиной естественной убыли населения является низкая рождаемость. Снижение рождаемости обусловлено сокращением численности населения 90-х годов рождения, в результате которого в репродуктивный возраст входит рекордно малочисленное поколение женщин. В 2020 году отрицательный тренд сохранится. В целях повышения рождаемости разработан комплекс мер, в том числе по повышению эффективности доабортного консультирования</w:t>
            </w:r>
          </w:p>
        </w:tc>
      </w:tr>
      <w:tr w:rsidR="007E27CB">
        <w:tc>
          <w:tcPr>
            <w:tcW w:w="15877" w:type="dxa"/>
            <w:gridSpan w:val="5"/>
          </w:tcPr>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Задача 3.2. Содействовать повышению качества образования в Томской области</w:t>
            </w:r>
          </w:p>
        </w:tc>
      </w:tr>
      <w:tr w:rsidR="007E27CB">
        <w:tc>
          <w:tcPr>
            <w:tcW w:w="4786" w:type="dxa"/>
          </w:tcPr>
          <w:p w:rsidR="007E27CB" w:rsidRDefault="008F141F">
            <w:pPr>
              <w:pStyle w:val="ConsPlusNormal"/>
              <w:tabs>
                <w:tab w:val="left" w:pos="4962"/>
              </w:tabs>
              <w:rPr>
                <w:rFonts w:ascii="Times New Roman" w:hAnsi="Times New Roman" w:cs="Times New Roman"/>
                <w:b w:val="0"/>
                <w:sz w:val="24"/>
                <w:szCs w:val="24"/>
              </w:rPr>
            </w:pPr>
            <w:r>
              <w:rPr>
                <w:rFonts w:ascii="Times New Roman" w:hAnsi="Times New Roman" w:cs="Times New Roman"/>
                <w:b w:val="0"/>
                <w:sz w:val="24"/>
                <w:szCs w:val="24"/>
              </w:rPr>
              <w:t>Обеспеченность детей дошкольного возраста местами в дошкольных образовательных организациях (количество мест на 1 000 детей от 0 до 7 лет)</w:t>
            </w:r>
          </w:p>
        </w:tc>
        <w:tc>
          <w:tcPr>
            <w:tcW w:w="1594"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710</w:t>
            </w:r>
          </w:p>
        </w:tc>
        <w:tc>
          <w:tcPr>
            <w:tcW w:w="1417"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720</w:t>
            </w:r>
          </w:p>
        </w:tc>
        <w:tc>
          <w:tcPr>
            <w:tcW w:w="1418"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720</w:t>
            </w:r>
          </w:p>
        </w:tc>
        <w:tc>
          <w:tcPr>
            <w:tcW w:w="6662" w:type="dxa"/>
          </w:tcPr>
          <w:p w:rsidR="007E27CB" w:rsidRDefault="008F141F">
            <w:pPr>
              <w:tabs>
                <w:tab w:val="left" w:pos="4962"/>
              </w:tabs>
              <w:rPr>
                <w:rFonts w:ascii="Times New Roman" w:hAnsi="Times New Roman" w:cs="Times New Roman"/>
                <w:sz w:val="24"/>
                <w:szCs w:val="24"/>
              </w:rPr>
            </w:pPr>
            <w:r>
              <w:rPr>
                <w:rFonts w:ascii="Times New Roman" w:hAnsi="Times New Roman" w:cs="Times New Roman"/>
                <w:sz w:val="24"/>
                <w:szCs w:val="24"/>
              </w:rPr>
              <w:t>Достижение целевого значения обеспечено за счет введения дополнительных мест  в дошкольных образовательных организациях в рамках реализации регионального проекта «Содействие занятости женщин – создание условий дошкольного образования для детей в возрасте до трех лет»</w:t>
            </w:r>
          </w:p>
        </w:tc>
      </w:tr>
      <w:tr w:rsidR="007E27CB">
        <w:tc>
          <w:tcPr>
            <w:tcW w:w="4786" w:type="dxa"/>
          </w:tcPr>
          <w:p w:rsidR="007E27CB" w:rsidRDefault="008F141F">
            <w:pPr>
              <w:pStyle w:val="ConsPlusNormal"/>
              <w:tabs>
                <w:tab w:val="left" w:pos="4962"/>
              </w:tabs>
              <w:rPr>
                <w:rFonts w:ascii="Times New Roman" w:hAnsi="Times New Roman" w:cs="Times New Roman"/>
                <w:b w:val="0"/>
                <w:sz w:val="24"/>
                <w:szCs w:val="24"/>
              </w:rPr>
            </w:pPr>
            <w:r>
              <w:rPr>
                <w:rFonts w:ascii="Times New Roman" w:hAnsi="Times New Roman" w:cs="Times New Roman"/>
                <w:b w:val="0"/>
                <w:sz w:val="24"/>
                <w:szCs w:val="24"/>
              </w:rPr>
              <w:t>Доля выпускников государственных (муниципальных) общеобразовательных организаций, не сдавших единый государственный экзамен (по русскому языку и математике), %</w:t>
            </w:r>
          </w:p>
        </w:tc>
        <w:tc>
          <w:tcPr>
            <w:tcW w:w="1594" w:type="dxa"/>
            <w:vAlign w:val="center"/>
          </w:tcPr>
          <w:p w:rsidR="007E27CB" w:rsidRDefault="008F141F">
            <w:pPr>
              <w:tabs>
                <w:tab w:val="left" w:pos="4962"/>
              </w:tabs>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1,0</w:t>
            </w:r>
          </w:p>
        </w:tc>
        <w:tc>
          <w:tcPr>
            <w:tcW w:w="1417" w:type="dxa"/>
            <w:vAlign w:val="center"/>
          </w:tcPr>
          <w:p w:rsidR="007E27CB" w:rsidRDefault="008F141F">
            <w:pPr>
              <w:pStyle w:val="ConsPlusNormal"/>
              <w:tabs>
                <w:tab w:val="left" w:pos="4962"/>
              </w:tabs>
              <w:jc w:val="center"/>
              <w:rPr>
                <w:rFonts w:ascii="Times New Roman" w:hAnsi="Times New Roman" w:cs="Times New Roman"/>
                <w:b w:val="0"/>
                <w:sz w:val="24"/>
                <w:szCs w:val="24"/>
                <w:lang w:val="en-US"/>
              </w:rPr>
            </w:pPr>
            <w:r>
              <w:rPr>
                <w:rFonts w:ascii="Times New Roman" w:hAnsi="Times New Roman" w:cs="Times New Roman"/>
                <w:b w:val="0"/>
                <w:sz w:val="24"/>
                <w:szCs w:val="24"/>
                <w:lang w:val="en-US"/>
              </w:rPr>
              <w:t>1,52</w:t>
            </w:r>
          </w:p>
        </w:tc>
        <w:tc>
          <w:tcPr>
            <w:tcW w:w="1418"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1,52</w:t>
            </w:r>
          </w:p>
        </w:tc>
        <w:tc>
          <w:tcPr>
            <w:tcW w:w="6662" w:type="dxa"/>
          </w:tcPr>
          <w:p w:rsidR="007E27CB" w:rsidRDefault="008F141F">
            <w:pPr>
              <w:tabs>
                <w:tab w:val="left" w:pos="4962"/>
              </w:tabs>
              <w:jc w:val="both"/>
              <w:rPr>
                <w:rFonts w:ascii="Times New Roman" w:hAnsi="Times New Roman" w:cs="Times New Roman"/>
                <w:sz w:val="24"/>
                <w:szCs w:val="24"/>
              </w:rPr>
            </w:pPr>
            <w:r>
              <w:rPr>
                <w:rFonts w:ascii="Times New Roman" w:hAnsi="Times New Roman" w:cs="Times New Roman"/>
                <w:sz w:val="24"/>
                <w:szCs w:val="24"/>
              </w:rPr>
              <w:t xml:space="preserve">Рост показателя связан с увеличением количества выпускников очно-заочных отделений образовательных организаций (вечерних школ), не завершивших обучение и/или не получивших аттестат о среднем общем образовании в предыдущие годы, а также с введением в последние годы квалификационных требований к ряду профессий/специальностей в части обязательного наличия среднего общего образования (наличие аттестата за 11 класс) </w:t>
            </w:r>
          </w:p>
        </w:tc>
      </w:tr>
      <w:tr w:rsidR="007E27CB">
        <w:tc>
          <w:tcPr>
            <w:tcW w:w="4786" w:type="dxa"/>
          </w:tcPr>
          <w:p w:rsidR="007E27CB" w:rsidRDefault="008F141F">
            <w:pPr>
              <w:pStyle w:val="ConsPlusNormal"/>
              <w:tabs>
                <w:tab w:val="left" w:pos="4962"/>
              </w:tabs>
              <w:rPr>
                <w:rFonts w:ascii="Times New Roman" w:hAnsi="Times New Roman" w:cs="Times New Roman"/>
                <w:b w:val="0"/>
                <w:sz w:val="24"/>
                <w:szCs w:val="24"/>
              </w:rPr>
            </w:pPr>
            <w:r>
              <w:rPr>
                <w:rFonts w:ascii="Times New Roman" w:hAnsi="Times New Roman" w:cs="Times New Roman"/>
                <w:b w:val="0"/>
                <w:sz w:val="24"/>
                <w:szCs w:val="24"/>
              </w:rPr>
              <w:t>Доля выпускников образовательных организаций профессионального образования, трудоустроившихся по специальности, %</w:t>
            </w:r>
          </w:p>
        </w:tc>
        <w:tc>
          <w:tcPr>
            <w:tcW w:w="1594" w:type="dxa"/>
            <w:vAlign w:val="center"/>
          </w:tcPr>
          <w:p w:rsidR="007E27CB" w:rsidRDefault="008F141F">
            <w:pPr>
              <w:tabs>
                <w:tab w:val="left" w:pos="4962"/>
              </w:tabs>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67</w:t>
            </w:r>
          </w:p>
        </w:tc>
        <w:tc>
          <w:tcPr>
            <w:tcW w:w="1417" w:type="dxa"/>
            <w:vAlign w:val="center"/>
          </w:tcPr>
          <w:p w:rsidR="007E27CB" w:rsidRDefault="008F141F">
            <w:pPr>
              <w:pStyle w:val="ConsPlusNormal"/>
              <w:tabs>
                <w:tab w:val="left" w:pos="4962"/>
              </w:tabs>
              <w:jc w:val="center"/>
              <w:rPr>
                <w:rFonts w:ascii="Times New Roman" w:eastAsia="Times New Roman" w:hAnsi="Times New Roman" w:cs="Times New Roman"/>
                <w:b w:val="0"/>
                <w:bCs w:val="0"/>
                <w:sz w:val="24"/>
                <w:szCs w:val="24"/>
              </w:rPr>
            </w:pPr>
            <w:r>
              <w:rPr>
                <w:rFonts w:ascii="Times New Roman" w:eastAsia="Times New Roman" w:hAnsi="Times New Roman" w:cs="Times New Roman"/>
                <w:b w:val="0"/>
                <w:bCs w:val="0"/>
                <w:sz w:val="24"/>
                <w:szCs w:val="24"/>
              </w:rPr>
              <w:t>71</w:t>
            </w:r>
          </w:p>
        </w:tc>
        <w:tc>
          <w:tcPr>
            <w:tcW w:w="1418" w:type="dxa"/>
            <w:vAlign w:val="center"/>
          </w:tcPr>
          <w:p w:rsidR="007E27CB" w:rsidRDefault="008F141F">
            <w:pPr>
              <w:pStyle w:val="ConsPlusNormal"/>
              <w:tabs>
                <w:tab w:val="left" w:pos="4962"/>
              </w:tabs>
              <w:jc w:val="center"/>
              <w:rPr>
                <w:rFonts w:ascii="Times New Roman" w:eastAsia="Times New Roman" w:hAnsi="Times New Roman" w:cs="Times New Roman"/>
                <w:b w:val="0"/>
                <w:bCs w:val="0"/>
                <w:sz w:val="24"/>
                <w:szCs w:val="24"/>
              </w:rPr>
            </w:pPr>
            <w:r>
              <w:rPr>
                <w:rFonts w:ascii="Times New Roman" w:eastAsia="Times New Roman" w:hAnsi="Times New Roman" w:cs="Times New Roman"/>
                <w:b w:val="0"/>
                <w:bCs w:val="0"/>
                <w:sz w:val="24"/>
                <w:szCs w:val="24"/>
              </w:rPr>
              <w:t>64</w:t>
            </w:r>
          </w:p>
        </w:tc>
        <w:tc>
          <w:tcPr>
            <w:tcW w:w="6662" w:type="dxa"/>
          </w:tcPr>
          <w:p w:rsidR="007E27CB" w:rsidRDefault="008F141F">
            <w:pPr>
              <w:tabs>
                <w:tab w:val="left" w:pos="4962"/>
              </w:tabs>
              <w:jc w:val="both"/>
              <w:rPr>
                <w:rFonts w:ascii="Times New Roman" w:hAnsi="Times New Roman" w:cs="Times New Roman"/>
                <w:sz w:val="24"/>
                <w:szCs w:val="24"/>
              </w:rPr>
            </w:pPr>
            <w:r>
              <w:rPr>
                <w:rFonts w:ascii="Times New Roman" w:hAnsi="Times New Roman" w:cs="Times New Roman"/>
                <w:sz w:val="24"/>
                <w:szCs w:val="24"/>
              </w:rPr>
              <w:t>Увеличение фактического значения показателя произошло в результате  работы с широким кругом работодателей Томской области. Для этого разработаны дорожные карты для различных отраслей экономики, проводились отраслевые круглые столы. Более 80 организаций работодателей стали Партнерами Регионального чемпионата «Молодые профессионалы» (WorldSkills Russia) Томской области</w:t>
            </w:r>
          </w:p>
        </w:tc>
      </w:tr>
      <w:tr w:rsidR="007E27CB">
        <w:trPr>
          <w:trHeight w:val="374"/>
        </w:trPr>
        <w:tc>
          <w:tcPr>
            <w:tcW w:w="15877" w:type="dxa"/>
            <w:gridSpan w:val="5"/>
            <w:vAlign w:val="center"/>
          </w:tcPr>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Задача 3.3. Содействовать улучшению качества жилищных условий и повышению доступности жилья</w:t>
            </w:r>
          </w:p>
        </w:tc>
      </w:tr>
      <w:tr w:rsidR="007E27CB">
        <w:trPr>
          <w:trHeight w:val="1720"/>
        </w:trPr>
        <w:tc>
          <w:tcPr>
            <w:tcW w:w="4786" w:type="dxa"/>
          </w:tcPr>
          <w:p w:rsidR="007E27CB" w:rsidRDefault="008F141F">
            <w:pPr>
              <w:pStyle w:val="ConsPlusNormal"/>
              <w:tabs>
                <w:tab w:val="left" w:pos="4962"/>
              </w:tabs>
              <w:rPr>
                <w:rFonts w:ascii="Times New Roman" w:hAnsi="Times New Roman" w:cs="Times New Roman"/>
                <w:b w:val="0"/>
                <w:sz w:val="24"/>
                <w:szCs w:val="24"/>
              </w:rPr>
            </w:pPr>
            <w:r>
              <w:rPr>
                <w:rFonts w:ascii="Times New Roman" w:hAnsi="Times New Roman" w:cs="Times New Roman"/>
                <w:b w:val="0"/>
                <w:sz w:val="24"/>
                <w:szCs w:val="24"/>
              </w:rPr>
              <w:t>Общая площадь жилых помещений, приходящаяся в среднем на 1 жителя Томской области, кв. метров</w:t>
            </w:r>
          </w:p>
        </w:tc>
        <w:tc>
          <w:tcPr>
            <w:tcW w:w="1594" w:type="dxa"/>
            <w:vAlign w:val="center"/>
          </w:tcPr>
          <w:p w:rsidR="007E27CB" w:rsidRDefault="007E27CB">
            <w:pPr>
              <w:tabs>
                <w:tab w:val="left" w:pos="4962"/>
              </w:tabs>
              <w:autoSpaceDE w:val="0"/>
              <w:autoSpaceDN w:val="0"/>
              <w:adjustRightInd w:val="0"/>
              <w:jc w:val="center"/>
              <w:rPr>
                <w:rFonts w:ascii="Times New Roman" w:eastAsia="Times New Roman" w:hAnsi="Times New Roman" w:cs="Times New Roman"/>
                <w:sz w:val="24"/>
                <w:szCs w:val="24"/>
              </w:rPr>
            </w:pPr>
          </w:p>
          <w:p w:rsidR="007E27CB" w:rsidRDefault="008F141F">
            <w:pPr>
              <w:tabs>
                <w:tab w:val="left" w:pos="4962"/>
              </w:tabs>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24,86</w:t>
            </w:r>
          </w:p>
          <w:p w:rsidR="007E27CB" w:rsidRDefault="007E27CB">
            <w:pPr>
              <w:tabs>
                <w:tab w:val="left" w:pos="4962"/>
              </w:tabs>
              <w:autoSpaceDE w:val="0"/>
              <w:autoSpaceDN w:val="0"/>
              <w:adjustRightInd w:val="0"/>
              <w:jc w:val="center"/>
              <w:rPr>
                <w:rFonts w:ascii="Times New Roman" w:eastAsia="Times New Roman" w:hAnsi="Times New Roman" w:cs="Times New Roman"/>
                <w:sz w:val="24"/>
                <w:szCs w:val="24"/>
              </w:rPr>
            </w:pPr>
          </w:p>
        </w:tc>
        <w:tc>
          <w:tcPr>
            <w:tcW w:w="1417"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25,5</w:t>
            </w:r>
          </w:p>
        </w:tc>
        <w:tc>
          <w:tcPr>
            <w:tcW w:w="1418"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25,5</w:t>
            </w:r>
          </w:p>
        </w:tc>
        <w:tc>
          <w:tcPr>
            <w:tcW w:w="6662" w:type="dxa"/>
          </w:tcPr>
          <w:p w:rsidR="007E27CB" w:rsidRDefault="008F141F">
            <w:pPr>
              <w:tabs>
                <w:tab w:val="left" w:pos="4962"/>
              </w:tabs>
              <w:jc w:val="both"/>
              <w:rPr>
                <w:rFonts w:ascii="Times New Roman" w:hAnsi="Times New Roman" w:cs="Times New Roman"/>
                <w:sz w:val="24"/>
                <w:szCs w:val="24"/>
              </w:rPr>
            </w:pPr>
            <w:r>
              <w:rPr>
                <w:rFonts w:ascii="Times New Roman" w:hAnsi="Times New Roman" w:cs="Times New Roman"/>
                <w:sz w:val="24"/>
                <w:szCs w:val="24"/>
              </w:rPr>
              <w:t>По итогам 2020 года ожидается достижение показателя за счет стимулирования жилищного строительства, реализации проектов комплексной застройки, реализации государственных и региональных программ поддержки жилищного строительства, обеспечения доступности жилья и улучшения качества жилищных условий</w:t>
            </w:r>
          </w:p>
        </w:tc>
      </w:tr>
      <w:tr w:rsidR="007E27CB">
        <w:tc>
          <w:tcPr>
            <w:tcW w:w="4786" w:type="dxa"/>
          </w:tcPr>
          <w:p w:rsidR="007E27CB" w:rsidRDefault="008F141F">
            <w:pPr>
              <w:pStyle w:val="ConsPlusNormal"/>
              <w:tabs>
                <w:tab w:val="left" w:pos="4962"/>
              </w:tabs>
              <w:rPr>
                <w:rFonts w:ascii="Times New Roman" w:hAnsi="Times New Roman" w:cs="Times New Roman"/>
                <w:b w:val="0"/>
                <w:sz w:val="24"/>
                <w:szCs w:val="24"/>
              </w:rPr>
            </w:pPr>
            <w:r>
              <w:rPr>
                <w:rFonts w:ascii="Times New Roman" w:hAnsi="Times New Roman" w:cs="Times New Roman"/>
                <w:b w:val="0"/>
                <w:sz w:val="24"/>
                <w:szCs w:val="24"/>
              </w:rPr>
              <w:t>Объем ввода жилья по стандартам экономкласса, тыс. кв. м</w:t>
            </w:r>
          </w:p>
        </w:tc>
        <w:tc>
          <w:tcPr>
            <w:tcW w:w="1594" w:type="dxa"/>
            <w:vAlign w:val="center"/>
          </w:tcPr>
          <w:p w:rsidR="007E27CB" w:rsidRDefault="007E27CB">
            <w:pPr>
              <w:tabs>
                <w:tab w:val="left" w:pos="4962"/>
              </w:tabs>
              <w:autoSpaceDE w:val="0"/>
              <w:autoSpaceDN w:val="0"/>
              <w:adjustRightInd w:val="0"/>
              <w:jc w:val="center"/>
              <w:rPr>
                <w:rFonts w:ascii="Times New Roman" w:eastAsia="Times New Roman" w:hAnsi="Times New Roman" w:cs="Times New Roman"/>
                <w:sz w:val="24"/>
                <w:szCs w:val="24"/>
              </w:rPr>
            </w:pPr>
          </w:p>
          <w:p w:rsidR="007E27CB" w:rsidRDefault="008F141F">
            <w:pPr>
              <w:tabs>
                <w:tab w:val="left" w:pos="4962"/>
              </w:tabs>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386,4</w:t>
            </w:r>
          </w:p>
          <w:p w:rsidR="007E27CB" w:rsidRDefault="007E27CB">
            <w:pPr>
              <w:tabs>
                <w:tab w:val="left" w:pos="4962"/>
              </w:tabs>
              <w:autoSpaceDE w:val="0"/>
              <w:autoSpaceDN w:val="0"/>
              <w:adjustRightInd w:val="0"/>
              <w:jc w:val="center"/>
              <w:rPr>
                <w:rFonts w:ascii="Times New Roman" w:eastAsia="Times New Roman" w:hAnsi="Times New Roman" w:cs="Times New Roman"/>
                <w:sz w:val="24"/>
                <w:szCs w:val="24"/>
              </w:rPr>
            </w:pPr>
          </w:p>
        </w:tc>
        <w:tc>
          <w:tcPr>
            <w:tcW w:w="1417" w:type="dxa"/>
            <w:vAlign w:val="center"/>
          </w:tcPr>
          <w:p w:rsidR="007E27CB" w:rsidRDefault="008F141F">
            <w:pPr>
              <w:pStyle w:val="ConsPlusNormal"/>
              <w:tabs>
                <w:tab w:val="left" w:pos="4962"/>
              </w:tabs>
              <w:jc w:val="center"/>
              <w:rPr>
                <w:rFonts w:ascii="Times New Roman" w:eastAsia="Times New Roman" w:hAnsi="Times New Roman" w:cs="Times New Roman"/>
                <w:b w:val="0"/>
                <w:bCs w:val="0"/>
                <w:sz w:val="24"/>
                <w:szCs w:val="24"/>
              </w:rPr>
            </w:pPr>
            <w:r>
              <w:rPr>
                <w:rFonts w:ascii="Times New Roman" w:eastAsia="Times New Roman" w:hAnsi="Times New Roman" w:cs="Times New Roman"/>
                <w:b w:val="0"/>
                <w:bCs w:val="0"/>
                <w:sz w:val="24"/>
                <w:szCs w:val="24"/>
              </w:rPr>
              <w:t>-</w:t>
            </w:r>
          </w:p>
        </w:tc>
        <w:tc>
          <w:tcPr>
            <w:tcW w:w="1418" w:type="dxa"/>
            <w:vAlign w:val="center"/>
          </w:tcPr>
          <w:p w:rsidR="007E27CB" w:rsidRDefault="008F141F">
            <w:pPr>
              <w:pStyle w:val="ConsPlusNormal"/>
              <w:tabs>
                <w:tab w:val="left" w:pos="4962"/>
              </w:tabs>
              <w:jc w:val="center"/>
              <w:rPr>
                <w:rFonts w:ascii="Times New Roman" w:eastAsia="Times New Roman" w:hAnsi="Times New Roman" w:cs="Times New Roman"/>
                <w:b w:val="0"/>
                <w:bCs w:val="0"/>
                <w:sz w:val="24"/>
                <w:szCs w:val="24"/>
              </w:rPr>
            </w:pPr>
            <w:r>
              <w:rPr>
                <w:rFonts w:ascii="Times New Roman" w:eastAsia="Times New Roman" w:hAnsi="Times New Roman" w:cs="Times New Roman"/>
                <w:b w:val="0"/>
                <w:bCs w:val="0"/>
                <w:sz w:val="24"/>
                <w:szCs w:val="24"/>
              </w:rPr>
              <w:t>468,9</w:t>
            </w:r>
          </w:p>
        </w:tc>
        <w:tc>
          <w:tcPr>
            <w:tcW w:w="6662" w:type="dxa"/>
          </w:tcPr>
          <w:p w:rsidR="007E27CB" w:rsidRDefault="008F141F">
            <w:pPr>
              <w:tabs>
                <w:tab w:val="left" w:pos="4962"/>
              </w:tabs>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В связи с изменениями Минстроем России критериев отнесения жилья к стандарту экономического класса, запланировать показатель по объему ввода жилья экономкласса на 2020 год не представляется возможным</w:t>
            </w:r>
          </w:p>
        </w:tc>
      </w:tr>
      <w:tr w:rsidR="007E27CB">
        <w:tc>
          <w:tcPr>
            <w:tcW w:w="15877" w:type="dxa"/>
            <w:gridSpan w:val="5"/>
          </w:tcPr>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Задача 3.4. Обеспечить повышение безопасности жизнедеятельности населения</w:t>
            </w:r>
          </w:p>
        </w:tc>
      </w:tr>
      <w:tr w:rsidR="007E27CB">
        <w:tc>
          <w:tcPr>
            <w:tcW w:w="4786" w:type="dxa"/>
          </w:tcPr>
          <w:p w:rsidR="007E27CB" w:rsidRDefault="008F141F">
            <w:pPr>
              <w:pStyle w:val="ConsPlusNormal"/>
              <w:tabs>
                <w:tab w:val="left" w:pos="4962"/>
              </w:tabs>
              <w:rPr>
                <w:rFonts w:ascii="Times New Roman" w:hAnsi="Times New Roman" w:cs="Times New Roman"/>
                <w:b w:val="0"/>
                <w:sz w:val="24"/>
                <w:szCs w:val="24"/>
              </w:rPr>
            </w:pPr>
            <w:r>
              <w:rPr>
                <w:rFonts w:ascii="Times New Roman" w:hAnsi="Times New Roman" w:cs="Times New Roman"/>
                <w:b w:val="0"/>
                <w:sz w:val="24"/>
                <w:szCs w:val="24"/>
              </w:rPr>
              <w:t>Число зарегистрированных преступлений, единиц на 100 тыс. чел. населения</w:t>
            </w:r>
          </w:p>
        </w:tc>
        <w:tc>
          <w:tcPr>
            <w:tcW w:w="1594" w:type="dxa"/>
          </w:tcPr>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1 639</w:t>
            </w:r>
          </w:p>
        </w:tc>
        <w:tc>
          <w:tcPr>
            <w:tcW w:w="1417" w:type="dxa"/>
          </w:tcPr>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1 639</w:t>
            </w:r>
          </w:p>
        </w:tc>
        <w:tc>
          <w:tcPr>
            <w:tcW w:w="1418" w:type="dxa"/>
          </w:tcPr>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1 880</w:t>
            </w:r>
          </w:p>
        </w:tc>
        <w:tc>
          <w:tcPr>
            <w:tcW w:w="6662" w:type="dxa"/>
          </w:tcPr>
          <w:p w:rsidR="007E27CB" w:rsidRDefault="008F141F">
            <w:pPr>
              <w:tabs>
                <w:tab w:val="left" w:pos="4962"/>
              </w:tabs>
              <w:jc w:val="both"/>
              <w:rPr>
                <w:rFonts w:ascii="Times New Roman" w:hAnsi="Times New Roman" w:cs="Times New Roman"/>
                <w:sz w:val="24"/>
                <w:szCs w:val="24"/>
              </w:rPr>
            </w:pPr>
            <w:r>
              <w:rPr>
                <w:rFonts w:ascii="Times New Roman" w:hAnsi="Times New Roman" w:cs="Times New Roman"/>
                <w:sz w:val="24"/>
                <w:szCs w:val="24"/>
              </w:rPr>
              <w:t>Совместные действия правоохранительных органов и субъектов профилактики правонарушений позволили достигнуть данное значение показателя</w:t>
            </w:r>
          </w:p>
        </w:tc>
      </w:tr>
      <w:tr w:rsidR="007E27CB">
        <w:tc>
          <w:tcPr>
            <w:tcW w:w="4786" w:type="dxa"/>
          </w:tcPr>
          <w:p w:rsidR="007E27CB" w:rsidRDefault="008F141F">
            <w:pPr>
              <w:pStyle w:val="ConsPlusNormal"/>
              <w:tabs>
                <w:tab w:val="left" w:pos="4962"/>
              </w:tabs>
              <w:rPr>
                <w:rFonts w:ascii="Times New Roman" w:hAnsi="Times New Roman" w:cs="Times New Roman"/>
                <w:b w:val="0"/>
                <w:sz w:val="24"/>
                <w:szCs w:val="24"/>
              </w:rPr>
            </w:pPr>
            <w:r>
              <w:rPr>
                <w:rFonts w:ascii="Times New Roman" w:hAnsi="Times New Roman" w:cs="Times New Roman"/>
                <w:b w:val="0"/>
                <w:sz w:val="24"/>
                <w:szCs w:val="24"/>
              </w:rPr>
              <w:t>Смертность от транспортных травм (дорожно-транспортных происшествий), единиц на 100 тыс. чел. населения</w:t>
            </w:r>
          </w:p>
        </w:tc>
        <w:tc>
          <w:tcPr>
            <w:tcW w:w="1594" w:type="dxa"/>
          </w:tcPr>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9,8</w:t>
            </w:r>
          </w:p>
        </w:tc>
        <w:tc>
          <w:tcPr>
            <w:tcW w:w="1417" w:type="dxa"/>
          </w:tcPr>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7,56</w:t>
            </w:r>
          </w:p>
        </w:tc>
        <w:tc>
          <w:tcPr>
            <w:tcW w:w="1418" w:type="dxa"/>
          </w:tcPr>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12,4</w:t>
            </w:r>
          </w:p>
        </w:tc>
        <w:tc>
          <w:tcPr>
            <w:tcW w:w="6662" w:type="dxa"/>
          </w:tcPr>
          <w:p w:rsidR="007E27CB" w:rsidRDefault="008F141F">
            <w:pPr>
              <w:ind w:firstLine="34"/>
              <w:jc w:val="both"/>
              <w:rPr>
                <w:rFonts w:ascii="Times New Roman" w:hAnsi="Times New Roman" w:cs="Times New Roman"/>
                <w:sz w:val="24"/>
                <w:szCs w:val="24"/>
              </w:rPr>
            </w:pPr>
            <w:r>
              <w:rPr>
                <w:rFonts w:ascii="Times New Roman" w:hAnsi="Times New Roman" w:cs="Times New Roman"/>
                <w:sz w:val="24"/>
                <w:szCs w:val="24"/>
              </w:rPr>
              <w:t xml:space="preserve">Несмотря на снижение количества зарегистрированных ДТП на 5,3 % и снижение количества пострадавших в ДТП на 5,7% произошел рост тяжести их последствий, что привело к росту смертности. Причины </w:t>
            </w:r>
            <w:r>
              <w:rPr>
                <w:rFonts w:ascii="Times New Roman" w:hAnsi="Times New Roman"/>
                <w:sz w:val="24"/>
                <w:szCs w:val="24"/>
              </w:rPr>
              <w:t>–</w:t>
            </w:r>
            <w:r>
              <w:rPr>
                <w:rFonts w:ascii="Times New Roman" w:hAnsi="Times New Roman" w:cs="Times New Roman"/>
                <w:sz w:val="24"/>
                <w:szCs w:val="24"/>
              </w:rPr>
              <w:t xml:space="preserve"> нарушения правил дорожного движения и водителями и пешеходами.</w:t>
            </w:r>
          </w:p>
          <w:p w:rsidR="007E27CB" w:rsidRDefault="008F141F">
            <w:pPr>
              <w:ind w:firstLine="34"/>
              <w:jc w:val="both"/>
              <w:rPr>
                <w:rFonts w:ascii="Times New Roman" w:hAnsi="Times New Roman" w:cs="Times New Roman"/>
                <w:strike/>
                <w:sz w:val="24"/>
                <w:szCs w:val="24"/>
              </w:rPr>
            </w:pPr>
            <w:r>
              <w:rPr>
                <w:rFonts w:ascii="Times New Roman" w:hAnsi="Times New Roman" w:cs="Times New Roman"/>
                <w:sz w:val="24"/>
                <w:szCs w:val="24"/>
              </w:rPr>
              <w:t xml:space="preserve">В 2019 году произошел рост количества ДТП с участием водителей, управляющих транспортными средствами с признаками опьянения, </w:t>
            </w:r>
            <w:r>
              <w:rPr>
                <w:rFonts w:ascii="Times New Roman" w:hAnsi="Times New Roman"/>
                <w:sz w:val="24"/>
                <w:szCs w:val="24"/>
              </w:rPr>
              <w:t>–</w:t>
            </w:r>
            <w:r>
              <w:rPr>
                <w:rFonts w:ascii="Times New Roman" w:hAnsi="Times New Roman" w:cs="Times New Roman"/>
                <w:sz w:val="24"/>
                <w:szCs w:val="24"/>
              </w:rPr>
              <w:t xml:space="preserve"> зарегистрировано 22 ДТП (2018 год – 14 ДТП), в результате которых погибли 29 человек.</w:t>
            </w:r>
          </w:p>
          <w:p w:rsidR="007E27CB" w:rsidRDefault="008F141F">
            <w:pPr>
              <w:ind w:firstLine="34"/>
              <w:jc w:val="both"/>
              <w:rPr>
                <w:rFonts w:ascii="Times New Roman" w:hAnsi="Times New Roman" w:cs="Times New Roman"/>
                <w:sz w:val="24"/>
                <w:szCs w:val="24"/>
              </w:rPr>
            </w:pPr>
            <w:r>
              <w:rPr>
                <w:rFonts w:ascii="Times New Roman" w:hAnsi="Times New Roman" w:cs="Times New Roman"/>
                <w:sz w:val="24"/>
                <w:szCs w:val="24"/>
              </w:rPr>
              <w:t>Для усиления ответственности участников дорожного движения в МВД России направлены предложения по введению дополнительных мер ответственности к нарушителям правил дорожного движения</w:t>
            </w:r>
          </w:p>
        </w:tc>
      </w:tr>
      <w:tr w:rsidR="007E27CB">
        <w:tc>
          <w:tcPr>
            <w:tcW w:w="15877" w:type="dxa"/>
            <w:gridSpan w:val="5"/>
          </w:tcPr>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Задача 3.5. Обеспечить развитие физической культуры и спорта, проведение эффективной молодежной политики в Томской области</w:t>
            </w:r>
          </w:p>
        </w:tc>
      </w:tr>
      <w:tr w:rsidR="007E27CB">
        <w:tc>
          <w:tcPr>
            <w:tcW w:w="4786" w:type="dxa"/>
          </w:tcPr>
          <w:p w:rsidR="007E27CB" w:rsidRDefault="008F141F">
            <w:pPr>
              <w:pStyle w:val="ConsPlusNormal"/>
              <w:tabs>
                <w:tab w:val="left" w:pos="4962"/>
              </w:tabs>
              <w:rPr>
                <w:rFonts w:ascii="Times New Roman" w:hAnsi="Times New Roman" w:cs="Times New Roman"/>
                <w:b w:val="0"/>
                <w:sz w:val="24"/>
                <w:szCs w:val="24"/>
              </w:rPr>
            </w:pPr>
            <w:r>
              <w:rPr>
                <w:rFonts w:ascii="Times New Roman" w:hAnsi="Times New Roman" w:cs="Times New Roman"/>
                <w:b w:val="0"/>
                <w:sz w:val="24"/>
                <w:szCs w:val="24"/>
              </w:rPr>
              <w:t>Доля населения, систематически занимающегося физической культурой и спортом, %</w:t>
            </w:r>
          </w:p>
        </w:tc>
        <w:tc>
          <w:tcPr>
            <w:tcW w:w="1594" w:type="dxa"/>
          </w:tcPr>
          <w:p w:rsidR="007E27CB" w:rsidRDefault="008F141F">
            <w:pPr>
              <w:tabs>
                <w:tab w:val="left" w:pos="4962"/>
              </w:tabs>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39,7</w:t>
            </w:r>
          </w:p>
        </w:tc>
        <w:tc>
          <w:tcPr>
            <w:tcW w:w="1417" w:type="dxa"/>
          </w:tcPr>
          <w:p w:rsidR="007E27CB" w:rsidRDefault="008F141F">
            <w:pPr>
              <w:tabs>
                <w:tab w:val="left" w:pos="4962"/>
              </w:tabs>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41</w:t>
            </w:r>
          </w:p>
        </w:tc>
        <w:tc>
          <w:tcPr>
            <w:tcW w:w="1418" w:type="dxa"/>
          </w:tcPr>
          <w:p w:rsidR="007E27CB" w:rsidRDefault="008F141F">
            <w:pPr>
              <w:tabs>
                <w:tab w:val="left" w:pos="4962"/>
              </w:tabs>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25</w:t>
            </w:r>
          </w:p>
        </w:tc>
        <w:tc>
          <w:tcPr>
            <w:tcW w:w="6662" w:type="dxa"/>
          </w:tcPr>
          <w:p w:rsidR="007E27CB" w:rsidRDefault="008F141F">
            <w:pPr>
              <w:tabs>
                <w:tab w:val="left" w:pos="4962"/>
              </w:tabs>
              <w:jc w:val="both"/>
              <w:rPr>
                <w:rFonts w:ascii="Times New Roman" w:hAnsi="Times New Roman" w:cs="Times New Roman"/>
                <w:sz w:val="24"/>
                <w:szCs w:val="24"/>
              </w:rPr>
            </w:pPr>
            <w:r>
              <w:rPr>
                <w:rFonts w:ascii="Times New Roman" w:eastAsia="Times New Roman" w:hAnsi="Times New Roman" w:cs="Times New Roman"/>
                <w:sz w:val="24"/>
                <w:szCs w:val="24"/>
              </w:rPr>
              <w:t xml:space="preserve">Доля населения региона, систематически занимающегося спортом, по итогам 2019 года увеличилась относительно уровня 2018 года на 3,6%. На повышение данного показателя положительно повлияла систематическая работа по вовлечению населения Томской области в занятия </w:t>
            </w:r>
            <w:r>
              <w:rPr>
                <w:rFonts w:ascii="Times New Roman" w:hAnsi="Times New Roman" w:cs="Times New Roman"/>
                <w:sz w:val="24"/>
                <w:szCs w:val="24"/>
              </w:rPr>
              <w:t>физической культурой и спортом</w:t>
            </w:r>
          </w:p>
        </w:tc>
      </w:tr>
      <w:tr w:rsidR="007E27CB">
        <w:tc>
          <w:tcPr>
            <w:tcW w:w="4786" w:type="dxa"/>
          </w:tcPr>
          <w:p w:rsidR="007E27CB" w:rsidRDefault="008F141F">
            <w:pPr>
              <w:pStyle w:val="ConsPlusNormal"/>
              <w:tabs>
                <w:tab w:val="left" w:pos="4962"/>
              </w:tabs>
              <w:rPr>
                <w:rFonts w:ascii="Times New Roman" w:hAnsi="Times New Roman" w:cs="Times New Roman"/>
                <w:b w:val="0"/>
                <w:sz w:val="24"/>
                <w:szCs w:val="24"/>
              </w:rPr>
            </w:pPr>
            <w:r>
              <w:rPr>
                <w:rFonts w:ascii="Times New Roman" w:hAnsi="Times New Roman" w:cs="Times New Roman"/>
                <w:b w:val="0"/>
                <w:sz w:val="24"/>
                <w:szCs w:val="24"/>
              </w:rPr>
              <w:t>Доля молодежи (14 - 30 лет), положительно оценивающей возможности для развития и самореализации молодежи в регионе, %</w:t>
            </w:r>
          </w:p>
        </w:tc>
        <w:tc>
          <w:tcPr>
            <w:tcW w:w="1594" w:type="dxa"/>
          </w:tcPr>
          <w:p w:rsidR="007E27CB" w:rsidRDefault="008F141F">
            <w:pPr>
              <w:tabs>
                <w:tab w:val="left" w:pos="4962"/>
              </w:tabs>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44</w:t>
            </w:r>
          </w:p>
        </w:tc>
        <w:tc>
          <w:tcPr>
            <w:tcW w:w="1417" w:type="dxa"/>
          </w:tcPr>
          <w:p w:rsidR="007E27CB" w:rsidRDefault="008F141F">
            <w:pPr>
              <w:tabs>
                <w:tab w:val="left" w:pos="4962"/>
              </w:tabs>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46</w:t>
            </w:r>
          </w:p>
        </w:tc>
        <w:tc>
          <w:tcPr>
            <w:tcW w:w="1418" w:type="dxa"/>
          </w:tcPr>
          <w:p w:rsidR="007E27CB" w:rsidRDefault="008F141F">
            <w:pPr>
              <w:tabs>
                <w:tab w:val="left" w:pos="4962"/>
              </w:tabs>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46</w:t>
            </w:r>
          </w:p>
        </w:tc>
        <w:tc>
          <w:tcPr>
            <w:tcW w:w="6662" w:type="dxa"/>
          </w:tcPr>
          <w:p w:rsidR="007E27CB" w:rsidRDefault="008F141F">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Достижение показателя связано со следующими факторами: изменение формата областных программ, добавление новой номинации в областном конкурсе программ молодежных и детских общественных объединений, в областном конкурсе «Твоя идея», активное участие Томской области в фестивале «Таврида-АРТ», увеличение количества молодежи, вовлеченной в творческую деятельность (с  41 610 до 73 802 человек).</w:t>
            </w:r>
          </w:p>
          <w:p w:rsidR="007E27CB" w:rsidRDefault="008F141F">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Количество молодежи, занимающейся волонтерской деятельностью, увеличилось на 9 000 человек, </w:t>
            </w:r>
            <w:r>
              <w:rPr>
                <w:rFonts w:ascii="Times New Roman" w:eastAsia="Times New Roman" w:hAnsi="Times New Roman" w:cs="Times New Roman"/>
                <w:color w:val="000000" w:themeColor="text1"/>
                <w:sz w:val="24"/>
                <w:szCs w:val="24"/>
              </w:rPr>
              <w:t>и составило     24 536 человек.</w:t>
            </w:r>
          </w:p>
          <w:p w:rsidR="007E27CB" w:rsidRDefault="008F141F">
            <w:pPr>
              <w:tabs>
                <w:tab w:val="left" w:pos="4962"/>
              </w:tabs>
              <w:jc w:val="both"/>
              <w:rPr>
                <w:rFonts w:ascii="Times New Roman" w:hAnsi="Times New Roman" w:cs="Times New Roman"/>
                <w:sz w:val="24"/>
                <w:szCs w:val="24"/>
              </w:rPr>
            </w:pPr>
            <w:r>
              <w:rPr>
                <w:rFonts w:ascii="Times New Roman" w:eastAsia="Times New Roman" w:hAnsi="Times New Roman" w:cs="Times New Roman"/>
                <w:sz w:val="24"/>
                <w:szCs w:val="24"/>
              </w:rPr>
              <w:t>Дальнейшему росту показателя будет способствовать создание «Ресурсного центра развития добровольчества Томской области «#БумерангДобра70»</w:t>
            </w:r>
          </w:p>
        </w:tc>
      </w:tr>
      <w:tr w:rsidR="007E27CB">
        <w:tc>
          <w:tcPr>
            <w:tcW w:w="15877" w:type="dxa"/>
            <w:gridSpan w:val="5"/>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Задача 3.6. Содействовать развитию эффективного рынка труда в Томской области</w:t>
            </w:r>
          </w:p>
        </w:tc>
      </w:tr>
      <w:tr w:rsidR="007E27CB">
        <w:trPr>
          <w:trHeight w:val="1220"/>
        </w:trPr>
        <w:tc>
          <w:tcPr>
            <w:tcW w:w="4786" w:type="dxa"/>
          </w:tcPr>
          <w:p w:rsidR="007E27CB" w:rsidRDefault="008F141F">
            <w:pPr>
              <w:pStyle w:val="ConsPlusNormal"/>
              <w:tabs>
                <w:tab w:val="left" w:pos="4962"/>
              </w:tabs>
              <w:rPr>
                <w:rFonts w:ascii="Times New Roman" w:hAnsi="Times New Roman" w:cs="Times New Roman"/>
                <w:b w:val="0"/>
                <w:sz w:val="24"/>
                <w:szCs w:val="24"/>
              </w:rPr>
            </w:pPr>
            <w:r>
              <w:rPr>
                <w:rFonts w:ascii="Times New Roman" w:hAnsi="Times New Roman" w:cs="Times New Roman"/>
                <w:b w:val="0"/>
                <w:sz w:val="24"/>
                <w:szCs w:val="24"/>
              </w:rPr>
              <w:t>Уровень безработицы (по методологии Международной организации труда), %</w:t>
            </w:r>
          </w:p>
        </w:tc>
        <w:tc>
          <w:tcPr>
            <w:tcW w:w="1594" w:type="dxa"/>
            <w:vAlign w:val="center"/>
          </w:tcPr>
          <w:p w:rsidR="007E27CB" w:rsidRDefault="008F141F">
            <w:pPr>
              <w:tabs>
                <w:tab w:val="left" w:pos="4962"/>
              </w:tabs>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5,5</w:t>
            </w:r>
          </w:p>
        </w:tc>
        <w:tc>
          <w:tcPr>
            <w:tcW w:w="1417"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5,5</w:t>
            </w:r>
          </w:p>
        </w:tc>
        <w:tc>
          <w:tcPr>
            <w:tcW w:w="1418"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7,0</w:t>
            </w:r>
          </w:p>
        </w:tc>
        <w:tc>
          <w:tcPr>
            <w:tcW w:w="6662" w:type="dxa"/>
          </w:tcPr>
          <w:p w:rsidR="007E27CB" w:rsidRDefault="008F141F">
            <w:pPr>
              <w:tabs>
                <w:tab w:val="left" w:pos="4962"/>
              </w:tabs>
              <w:jc w:val="both"/>
              <w:rPr>
                <w:rFonts w:ascii="Times New Roman" w:hAnsi="Times New Roman" w:cs="Times New Roman"/>
                <w:sz w:val="24"/>
                <w:szCs w:val="24"/>
              </w:rPr>
            </w:pPr>
            <w:r>
              <w:rPr>
                <w:rFonts w:ascii="Times New Roman" w:eastAsia="Times New Roman" w:hAnsi="Times New Roman" w:cs="Times New Roman"/>
                <w:sz w:val="24"/>
                <w:szCs w:val="24"/>
              </w:rPr>
              <w:t xml:space="preserve">Факторы, повлиявшие на значение показателя в отчетном периоде: тенденция к снижению безработицы </w:t>
            </w:r>
            <w:r>
              <w:rPr>
                <w:rFonts w:ascii="Times New Roman" w:eastAsia="Times New Roman" w:hAnsi="Times New Roman" w:cs="Times New Roman"/>
                <w:sz w:val="24"/>
                <w:szCs w:val="24"/>
              </w:rPr>
              <w:br/>
              <w:t xml:space="preserve">в связи с принятыми мерами по легализации трудовых отношений. </w:t>
            </w:r>
            <w:r>
              <w:rPr>
                <w:rFonts w:ascii="Times New Roman" w:eastAsia="Times New Roman" w:hAnsi="Times New Roman" w:cs="Times New Roman"/>
                <w:sz w:val="24"/>
                <w:szCs w:val="24"/>
              </w:rPr>
              <w:br/>
              <w:t xml:space="preserve">Сохранение экономического роста, дальнейшее развитие экономики и соответствующий рост потребности в трудовых </w:t>
            </w:r>
            <w:r>
              <w:rPr>
                <w:rFonts w:ascii="Times New Roman" w:eastAsia="Calibri" w:hAnsi="Times New Roman" w:cs="Times New Roman"/>
                <w:sz w:val="24"/>
                <w:szCs w:val="24"/>
                <w:lang w:eastAsia="ru-RU"/>
              </w:rPr>
              <w:t>ресурсах приведут к повышению уровня участия населения в рабочей силе</w:t>
            </w:r>
          </w:p>
        </w:tc>
      </w:tr>
      <w:tr w:rsidR="007E27CB">
        <w:tc>
          <w:tcPr>
            <w:tcW w:w="4786" w:type="dxa"/>
          </w:tcPr>
          <w:p w:rsidR="007E27CB" w:rsidRDefault="008F141F">
            <w:pPr>
              <w:pStyle w:val="ConsPlusNormal"/>
              <w:tabs>
                <w:tab w:val="left" w:pos="4962"/>
              </w:tabs>
              <w:rPr>
                <w:rFonts w:ascii="Times New Roman" w:hAnsi="Times New Roman" w:cs="Times New Roman"/>
                <w:b w:val="0"/>
                <w:sz w:val="24"/>
                <w:szCs w:val="24"/>
              </w:rPr>
            </w:pPr>
            <w:r>
              <w:rPr>
                <w:rFonts w:ascii="Times New Roman" w:hAnsi="Times New Roman" w:cs="Times New Roman"/>
                <w:b w:val="0"/>
                <w:sz w:val="24"/>
                <w:szCs w:val="24"/>
              </w:rPr>
              <w:t>Коэффициент напряженности на рынке труда</w:t>
            </w:r>
          </w:p>
        </w:tc>
        <w:tc>
          <w:tcPr>
            <w:tcW w:w="1594" w:type="dxa"/>
            <w:vAlign w:val="center"/>
          </w:tcPr>
          <w:p w:rsidR="007E27CB" w:rsidRDefault="008F141F">
            <w:pPr>
              <w:tabs>
                <w:tab w:val="left" w:pos="4962"/>
              </w:tabs>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0,5</w:t>
            </w:r>
          </w:p>
        </w:tc>
        <w:tc>
          <w:tcPr>
            <w:tcW w:w="1417"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0,6</w:t>
            </w:r>
          </w:p>
        </w:tc>
        <w:tc>
          <w:tcPr>
            <w:tcW w:w="1418"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0,7</w:t>
            </w:r>
          </w:p>
        </w:tc>
        <w:tc>
          <w:tcPr>
            <w:tcW w:w="6662" w:type="dxa"/>
          </w:tcPr>
          <w:p w:rsidR="007E27CB" w:rsidRDefault="008F141F">
            <w:pPr>
              <w:tabs>
                <w:tab w:val="left" w:pos="4962"/>
              </w:tabs>
              <w:jc w:val="both"/>
              <w:rPr>
                <w:rFonts w:ascii="Times New Roman" w:hAnsi="Times New Roman" w:cs="Times New Roman"/>
                <w:sz w:val="24"/>
                <w:szCs w:val="24"/>
              </w:rPr>
            </w:pPr>
            <w:r>
              <w:rPr>
                <w:rFonts w:ascii="Times New Roman" w:eastAsia="Times New Roman" w:hAnsi="Times New Roman" w:cs="Times New Roman"/>
                <w:sz w:val="24"/>
                <w:szCs w:val="24"/>
              </w:rPr>
              <w:t>Низкое значение показателя обусловлено существенным сокращением числа безработных. К 2020 году показатель ожидается на уровне 0,6 чел</w:t>
            </w:r>
          </w:p>
        </w:tc>
      </w:tr>
      <w:tr w:rsidR="007E27CB">
        <w:tc>
          <w:tcPr>
            <w:tcW w:w="15877" w:type="dxa"/>
            <w:gridSpan w:val="5"/>
          </w:tcPr>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Задача 3.7. Повысить качество и доступность услуг в сфере культуры и туризма в Томской области</w:t>
            </w:r>
          </w:p>
        </w:tc>
      </w:tr>
      <w:tr w:rsidR="007E27CB">
        <w:tc>
          <w:tcPr>
            <w:tcW w:w="4786" w:type="dxa"/>
          </w:tcPr>
          <w:p w:rsidR="007E27CB" w:rsidRDefault="008F141F">
            <w:pPr>
              <w:tabs>
                <w:tab w:val="left" w:pos="4962"/>
              </w:tabs>
              <w:autoSpaceDE w:val="0"/>
              <w:autoSpaceDN w:val="0"/>
              <w:adjustRightInd w:val="0"/>
              <w:rPr>
                <w:rFonts w:ascii="Times New Roman" w:eastAsia="Times New Roman" w:hAnsi="Times New Roman" w:cs="Times New Roman"/>
                <w:sz w:val="24"/>
                <w:szCs w:val="24"/>
              </w:rPr>
            </w:pPr>
            <w:r>
              <w:rPr>
                <w:rFonts w:ascii="Times New Roman" w:hAnsi="Times New Roman" w:cs="Times New Roman"/>
                <w:sz w:val="24"/>
                <w:szCs w:val="24"/>
              </w:rPr>
              <w:t>Индекс участия населения в  культурно-досуговых мероприятиях, проводимых государственными и муниципальными учреждениями культуры</w:t>
            </w:r>
          </w:p>
        </w:tc>
        <w:tc>
          <w:tcPr>
            <w:tcW w:w="1594" w:type="dxa"/>
            <w:vAlign w:val="center"/>
          </w:tcPr>
          <w:p w:rsidR="007E27CB" w:rsidRDefault="007E27CB">
            <w:pPr>
              <w:pStyle w:val="ConsPlusNormal"/>
              <w:tabs>
                <w:tab w:val="left" w:pos="4962"/>
              </w:tabs>
              <w:jc w:val="center"/>
              <w:rPr>
                <w:rFonts w:ascii="Times New Roman" w:hAnsi="Times New Roman" w:cs="Times New Roman"/>
                <w:b w:val="0"/>
                <w:sz w:val="24"/>
                <w:szCs w:val="24"/>
              </w:rPr>
            </w:pPr>
          </w:p>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5,67</w:t>
            </w:r>
          </w:p>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(оценка)</w:t>
            </w:r>
          </w:p>
        </w:tc>
        <w:tc>
          <w:tcPr>
            <w:tcW w:w="1417"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2,5</w:t>
            </w:r>
          </w:p>
        </w:tc>
        <w:tc>
          <w:tcPr>
            <w:tcW w:w="1418"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2,5</w:t>
            </w:r>
          </w:p>
        </w:tc>
        <w:tc>
          <w:tcPr>
            <w:tcW w:w="6662" w:type="dxa"/>
          </w:tcPr>
          <w:p w:rsidR="007E27CB" w:rsidRDefault="008F141F">
            <w:pPr>
              <w:jc w:val="both"/>
              <w:rPr>
                <w:rFonts w:ascii="Times New Roman" w:hAnsi="Times New Roman" w:cs="Times New Roman"/>
                <w:sz w:val="24"/>
                <w:szCs w:val="24"/>
              </w:rPr>
            </w:pPr>
            <w:r>
              <w:rPr>
                <w:rFonts w:ascii="Times New Roman" w:hAnsi="Times New Roman" w:cs="Times New Roman"/>
                <w:sz w:val="24"/>
                <w:szCs w:val="24"/>
              </w:rPr>
              <w:t>Значительный рост показателя обусловлен реализацией мероприятий национального проекта «Культура». По итогам 2019 года отмечен существенный прирост количества посещений библиотек и музеев</w:t>
            </w:r>
          </w:p>
        </w:tc>
      </w:tr>
      <w:tr w:rsidR="007E27CB">
        <w:tc>
          <w:tcPr>
            <w:tcW w:w="4786" w:type="dxa"/>
          </w:tcPr>
          <w:p w:rsidR="007E27CB" w:rsidRDefault="008F141F">
            <w:pPr>
              <w:tabs>
                <w:tab w:val="left" w:pos="4962"/>
              </w:tabs>
              <w:autoSpaceDE w:val="0"/>
              <w:autoSpaceDN w:val="0"/>
              <w:adjustRightInd w:val="0"/>
              <w:rPr>
                <w:rFonts w:ascii="Times New Roman" w:eastAsia="Times New Roman" w:hAnsi="Times New Roman" w:cs="Times New Roman"/>
                <w:sz w:val="24"/>
                <w:szCs w:val="24"/>
              </w:rPr>
            </w:pPr>
            <w:r>
              <w:rPr>
                <w:rFonts w:ascii="Times New Roman" w:hAnsi="Times New Roman" w:cs="Times New Roman"/>
                <w:sz w:val="24"/>
                <w:szCs w:val="24"/>
              </w:rPr>
              <w:t>Прирост числа лиц, размещенных в коллективных средствах размещения, расположенных на территории Томской области (по отношению к 2013 году), %</w:t>
            </w:r>
          </w:p>
        </w:tc>
        <w:tc>
          <w:tcPr>
            <w:tcW w:w="1594"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53,6</w:t>
            </w:r>
          </w:p>
        </w:tc>
        <w:tc>
          <w:tcPr>
            <w:tcW w:w="1417"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57,13</w:t>
            </w:r>
          </w:p>
        </w:tc>
        <w:tc>
          <w:tcPr>
            <w:tcW w:w="1418"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9,6</w:t>
            </w:r>
          </w:p>
        </w:tc>
        <w:tc>
          <w:tcPr>
            <w:tcW w:w="6662" w:type="dxa"/>
          </w:tcPr>
          <w:p w:rsidR="007E27CB" w:rsidRDefault="008F141F">
            <w:pPr>
              <w:tabs>
                <w:tab w:val="left" w:pos="4962"/>
              </w:tabs>
              <w:jc w:val="both"/>
              <w:rPr>
                <w:rFonts w:ascii="Times New Roman" w:hAnsi="Times New Roman" w:cs="Times New Roman"/>
                <w:sz w:val="24"/>
                <w:szCs w:val="24"/>
              </w:rPr>
            </w:pPr>
            <w:r>
              <w:rPr>
                <w:rFonts w:ascii="Times New Roman" w:hAnsi="Times New Roman" w:cs="Times New Roman"/>
                <w:sz w:val="24"/>
                <w:szCs w:val="24"/>
              </w:rPr>
              <w:t>В целях достижения показателя проводилась работа по созданию новых региональных турпродуктов, организации событийных мероприятий, их активному продвижению в целях стимулирования турпотока, развитию гостиничной инфраструктуры (создание новых средств размещения, повышение стандартов обслуживания). Кроме того росту показателя способствовала работа по корректировке количества обследуемых организаций, проведенная с Томскстатом.</w:t>
            </w:r>
          </w:p>
        </w:tc>
      </w:tr>
      <w:tr w:rsidR="007E27CB">
        <w:tc>
          <w:tcPr>
            <w:tcW w:w="15877" w:type="dxa"/>
            <w:gridSpan w:val="5"/>
          </w:tcPr>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Задача 3.8. Повысить качество и доступность социальной поддержки и социального обслуживания населения, в том числе детей</w:t>
            </w:r>
          </w:p>
        </w:tc>
      </w:tr>
      <w:tr w:rsidR="007E27CB">
        <w:tc>
          <w:tcPr>
            <w:tcW w:w="4786" w:type="dxa"/>
          </w:tcPr>
          <w:p w:rsidR="007E27CB" w:rsidRDefault="008F141F">
            <w:pPr>
              <w:pStyle w:val="ConsPlusNormal"/>
              <w:tabs>
                <w:tab w:val="left" w:pos="4962"/>
              </w:tabs>
              <w:rPr>
                <w:rFonts w:ascii="Times New Roman" w:hAnsi="Times New Roman" w:cs="Times New Roman"/>
                <w:b w:val="0"/>
                <w:sz w:val="24"/>
                <w:szCs w:val="24"/>
              </w:rPr>
            </w:pPr>
            <w:r>
              <w:rPr>
                <w:rFonts w:ascii="Times New Roman" w:hAnsi="Times New Roman" w:cs="Times New Roman"/>
                <w:b w:val="0"/>
                <w:sz w:val="24"/>
                <w:szCs w:val="24"/>
              </w:rPr>
              <w:t>Доля населения с денежными доходами ниже величины прожиточного минимума, %</w:t>
            </w:r>
          </w:p>
        </w:tc>
        <w:tc>
          <w:tcPr>
            <w:tcW w:w="1594" w:type="dxa"/>
            <w:vAlign w:val="center"/>
          </w:tcPr>
          <w:p w:rsidR="007E27CB" w:rsidRDefault="007E27CB">
            <w:pPr>
              <w:pStyle w:val="ConsPlusNormal"/>
              <w:tabs>
                <w:tab w:val="left" w:pos="4962"/>
              </w:tabs>
              <w:jc w:val="center"/>
              <w:rPr>
                <w:rFonts w:ascii="Times New Roman" w:hAnsi="Times New Roman" w:cs="Times New Roman"/>
                <w:b w:val="0"/>
                <w:sz w:val="24"/>
                <w:szCs w:val="24"/>
              </w:rPr>
            </w:pPr>
          </w:p>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14,5</w:t>
            </w:r>
          </w:p>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(оценка)</w:t>
            </w:r>
          </w:p>
        </w:tc>
        <w:tc>
          <w:tcPr>
            <w:tcW w:w="1417"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14,3</w:t>
            </w:r>
          </w:p>
        </w:tc>
        <w:tc>
          <w:tcPr>
            <w:tcW w:w="1418"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14,3</w:t>
            </w:r>
          </w:p>
        </w:tc>
        <w:tc>
          <w:tcPr>
            <w:tcW w:w="6662" w:type="dxa"/>
          </w:tcPr>
          <w:p w:rsidR="007E27CB" w:rsidRDefault="008F141F">
            <w:pPr>
              <w:tabs>
                <w:tab w:val="left" w:pos="4962"/>
              </w:tabs>
              <w:jc w:val="both"/>
              <w:rPr>
                <w:rFonts w:ascii="Times New Roman" w:hAnsi="Times New Roman" w:cs="Times New Roman"/>
                <w:sz w:val="24"/>
                <w:szCs w:val="24"/>
              </w:rPr>
            </w:pPr>
            <w:r>
              <w:rPr>
                <w:rFonts w:ascii="Times New Roman" w:eastAsia="Calibri" w:hAnsi="Times New Roman" w:cs="Times New Roman"/>
                <w:sz w:val="24"/>
                <w:szCs w:val="24"/>
              </w:rPr>
              <w:t>Более низкое значение показателя обусловлено пересчетом его ретроспективной линейки, обусловленной изменением методики учета показателя среднедушевых денежных доходов населения</w:t>
            </w:r>
          </w:p>
        </w:tc>
      </w:tr>
      <w:tr w:rsidR="007E27CB">
        <w:tc>
          <w:tcPr>
            <w:tcW w:w="4786" w:type="dxa"/>
          </w:tcPr>
          <w:p w:rsidR="007E27CB" w:rsidRDefault="008F141F">
            <w:pPr>
              <w:pStyle w:val="ConsPlusNormal"/>
              <w:tabs>
                <w:tab w:val="left" w:pos="4962"/>
              </w:tabs>
              <w:rPr>
                <w:rFonts w:ascii="Times New Roman" w:hAnsi="Times New Roman" w:cs="Times New Roman"/>
                <w:b w:val="0"/>
                <w:sz w:val="24"/>
                <w:szCs w:val="24"/>
              </w:rPr>
            </w:pPr>
            <w:r>
              <w:rPr>
                <w:rFonts w:ascii="Times New Roman" w:hAnsi="Times New Roman" w:cs="Times New Roman"/>
                <w:b w:val="0"/>
                <w:sz w:val="24"/>
                <w:szCs w:val="24"/>
              </w:rPr>
              <w:t>Доля детей-сирот и детей, оставшихся без попечения родителей, в общей численности детского населения, %</w:t>
            </w:r>
          </w:p>
        </w:tc>
        <w:tc>
          <w:tcPr>
            <w:tcW w:w="1594"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2,04</w:t>
            </w:r>
          </w:p>
        </w:tc>
        <w:tc>
          <w:tcPr>
            <w:tcW w:w="1417"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2,04</w:t>
            </w:r>
          </w:p>
        </w:tc>
        <w:tc>
          <w:tcPr>
            <w:tcW w:w="1418"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2,14</w:t>
            </w:r>
          </w:p>
        </w:tc>
        <w:tc>
          <w:tcPr>
            <w:tcW w:w="6662" w:type="dxa"/>
          </w:tcPr>
          <w:p w:rsidR="007E27CB" w:rsidRDefault="008F141F">
            <w:pPr>
              <w:tabs>
                <w:tab w:val="left" w:pos="4962"/>
              </w:tabs>
              <w:jc w:val="both"/>
              <w:rPr>
                <w:rFonts w:ascii="Times New Roman" w:hAnsi="Times New Roman" w:cs="Times New Roman"/>
                <w:sz w:val="24"/>
                <w:szCs w:val="24"/>
              </w:rPr>
            </w:pPr>
            <w:r>
              <w:rPr>
                <w:rFonts w:ascii="Times New Roman" w:eastAsia="Calibri" w:hAnsi="Times New Roman" w:cs="Times New Roman"/>
                <w:sz w:val="24"/>
                <w:szCs w:val="24"/>
              </w:rPr>
              <w:t>Благодаря качественно выстроенной работе по профилактике социального сиротства в Томской области удалось значительно снизить долю детей-сирот и детей, оставшихся без попечения родителей, в общей численности детского населения Томской области, превысив запланированные показатели</w:t>
            </w:r>
          </w:p>
        </w:tc>
      </w:tr>
      <w:tr w:rsidR="007E27CB">
        <w:tc>
          <w:tcPr>
            <w:tcW w:w="15877" w:type="dxa"/>
            <w:gridSpan w:val="5"/>
          </w:tcPr>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Цель 4. Сбалансированное территориальное развитие за счет развития инфраструктуры в Томской области</w:t>
            </w:r>
          </w:p>
        </w:tc>
      </w:tr>
      <w:tr w:rsidR="007E27CB">
        <w:tc>
          <w:tcPr>
            <w:tcW w:w="4786" w:type="dxa"/>
          </w:tcPr>
          <w:p w:rsidR="007E27CB" w:rsidRDefault="008F141F">
            <w:pPr>
              <w:pStyle w:val="ConsPlusNormal"/>
              <w:tabs>
                <w:tab w:val="left" w:pos="4962"/>
              </w:tabs>
              <w:rPr>
                <w:rFonts w:ascii="Times New Roman" w:hAnsi="Times New Roman" w:cs="Times New Roman"/>
                <w:b w:val="0"/>
                <w:sz w:val="24"/>
                <w:szCs w:val="24"/>
              </w:rPr>
            </w:pPr>
            <w:r>
              <w:rPr>
                <w:rFonts w:ascii="Times New Roman" w:hAnsi="Times New Roman" w:cs="Times New Roman"/>
                <w:b w:val="0"/>
                <w:sz w:val="24"/>
                <w:szCs w:val="24"/>
              </w:rPr>
              <w:t>Снижение энергоемкости ВРП (по отношению к уровню 2013 года), %</w:t>
            </w:r>
          </w:p>
        </w:tc>
        <w:tc>
          <w:tcPr>
            <w:tcW w:w="1594" w:type="dxa"/>
            <w:vAlign w:val="center"/>
          </w:tcPr>
          <w:p w:rsidR="007E27CB" w:rsidRDefault="007E27CB">
            <w:pPr>
              <w:tabs>
                <w:tab w:val="left" w:pos="4962"/>
              </w:tabs>
              <w:jc w:val="center"/>
              <w:rPr>
                <w:rFonts w:ascii="Times New Roman" w:hAnsi="Times New Roman" w:cs="Times New Roman"/>
                <w:sz w:val="24"/>
                <w:szCs w:val="24"/>
              </w:rPr>
            </w:pPr>
          </w:p>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25,5</w:t>
            </w:r>
          </w:p>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 xml:space="preserve"> (оценка)</w:t>
            </w:r>
          </w:p>
        </w:tc>
        <w:tc>
          <w:tcPr>
            <w:tcW w:w="1417" w:type="dxa"/>
            <w:vAlign w:val="center"/>
          </w:tcPr>
          <w:p w:rsidR="007E27CB" w:rsidRDefault="008F141F">
            <w:pPr>
              <w:pStyle w:val="ConsPlusNormal"/>
              <w:tabs>
                <w:tab w:val="left" w:pos="4962"/>
              </w:tabs>
              <w:autoSpaceDE/>
              <w:autoSpaceDN/>
              <w:adjustRightInd/>
              <w:jc w:val="center"/>
              <w:rPr>
                <w:rFonts w:ascii="Times New Roman" w:hAnsi="Times New Roman" w:cs="Times New Roman"/>
                <w:b w:val="0"/>
                <w:sz w:val="24"/>
                <w:szCs w:val="24"/>
              </w:rPr>
            </w:pPr>
            <w:r>
              <w:rPr>
                <w:rFonts w:ascii="Times New Roman" w:hAnsi="Times New Roman" w:cs="Times New Roman"/>
                <w:b w:val="0"/>
                <w:sz w:val="24"/>
                <w:szCs w:val="24"/>
              </w:rPr>
              <w:t>27</w:t>
            </w:r>
          </w:p>
        </w:tc>
        <w:tc>
          <w:tcPr>
            <w:tcW w:w="1418" w:type="dxa"/>
            <w:vAlign w:val="center"/>
          </w:tcPr>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7,7</w:t>
            </w:r>
          </w:p>
        </w:tc>
        <w:tc>
          <w:tcPr>
            <w:tcW w:w="6662" w:type="dxa"/>
          </w:tcPr>
          <w:p w:rsidR="007E27CB" w:rsidRDefault="008F141F">
            <w:pPr>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За последние годы сложилась устойчивая тенденция снижения энергоемкости ВРП. На снижение энергоемкости ВРП влияет модернизация топливно-энергетического комплекса Томской области, техническое переоснащение производственных предприятий области, рациональное использование энергетических ресурсов организациями и учреждениями, </w:t>
            </w:r>
            <w:r>
              <w:rPr>
                <w:rFonts w:ascii="Times New Roman" w:hAnsi="Times New Roman" w:cs="Times New Roman"/>
                <w:sz w:val="24"/>
                <w:szCs w:val="24"/>
              </w:rPr>
              <w:t>финансируемыми за счет средств бюджета</w:t>
            </w:r>
          </w:p>
        </w:tc>
      </w:tr>
      <w:tr w:rsidR="007E27CB">
        <w:tc>
          <w:tcPr>
            <w:tcW w:w="4786" w:type="dxa"/>
          </w:tcPr>
          <w:p w:rsidR="007E27CB" w:rsidRDefault="008F141F">
            <w:pPr>
              <w:pStyle w:val="ConsPlusNormal"/>
              <w:tabs>
                <w:tab w:val="left" w:pos="4962"/>
              </w:tabs>
              <w:rPr>
                <w:rFonts w:ascii="Times New Roman" w:hAnsi="Times New Roman" w:cs="Times New Roman"/>
                <w:b w:val="0"/>
                <w:sz w:val="24"/>
                <w:szCs w:val="24"/>
              </w:rPr>
            </w:pPr>
            <w:r>
              <w:rPr>
                <w:rFonts w:ascii="Times New Roman" w:hAnsi="Times New Roman" w:cs="Times New Roman"/>
                <w:b w:val="0"/>
                <w:sz w:val="24"/>
                <w:szCs w:val="24"/>
              </w:rPr>
              <w:t>Протяженность автомобильных дорог общего пользования с твердым покрытием, км</w:t>
            </w:r>
          </w:p>
        </w:tc>
        <w:tc>
          <w:tcPr>
            <w:tcW w:w="1594" w:type="dxa"/>
            <w:vAlign w:val="center"/>
          </w:tcPr>
          <w:p w:rsidR="007E27CB" w:rsidRDefault="007E27CB">
            <w:pPr>
              <w:tabs>
                <w:tab w:val="left" w:pos="4962"/>
              </w:tabs>
              <w:autoSpaceDE w:val="0"/>
              <w:autoSpaceDN w:val="0"/>
              <w:adjustRightInd w:val="0"/>
              <w:jc w:val="center"/>
              <w:rPr>
                <w:rFonts w:ascii="Times New Roman" w:eastAsia="Times New Roman" w:hAnsi="Times New Roman" w:cs="Times New Roman"/>
                <w:sz w:val="24"/>
                <w:szCs w:val="24"/>
              </w:rPr>
            </w:pPr>
          </w:p>
          <w:p w:rsidR="007E27CB" w:rsidRDefault="008F141F">
            <w:pPr>
              <w:tabs>
                <w:tab w:val="left" w:pos="4962"/>
              </w:tabs>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7 667,1</w:t>
            </w:r>
          </w:p>
          <w:p w:rsidR="007E27CB" w:rsidRDefault="008F141F">
            <w:pPr>
              <w:tabs>
                <w:tab w:val="left" w:pos="4962"/>
              </w:tabs>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(оценка)</w:t>
            </w:r>
          </w:p>
        </w:tc>
        <w:tc>
          <w:tcPr>
            <w:tcW w:w="1417"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7 667,1</w:t>
            </w:r>
          </w:p>
        </w:tc>
        <w:tc>
          <w:tcPr>
            <w:tcW w:w="1418"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7 382,3</w:t>
            </w:r>
          </w:p>
        </w:tc>
        <w:tc>
          <w:tcPr>
            <w:tcW w:w="6662" w:type="dxa"/>
          </w:tcPr>
          <w:p w:rsidR="007E27CB" w:rsidRDefault="008F141F">
            <w:pPr>
              <w:tabs>
                <w:tab w:val="left" w:pos="4962"/>
              </w:tabs>
              <w:jc w:val="both"/>
              <w:rPr>
                <w:rFonts w:ascii="Times New Roman" w:hAnsi="Times New Roman" w:cs="Times New Roman"/>
                <w:sz w:val="24"/>
                <w:szCs w:val="24"/>
              </w:rPr>
            </w:pPr>
            <w:r>
              <w:rPr>
                <w:rFonts w:ascii="Times New Roman" w:hAnsi="Times New Roman" w:cs="Times New Roman"/>
                <w:sz w:val="24"/>
                <w:szCs w:val="24"/>
              </w:rPr>
              <w:t>Рост показателя обеспечен проведением инвентаризации автомобильных дорог регионального и межмуниципального значения</w:t>
            </w:r>
          </w:p>
        </w:tc>
      </w:tr>
      <w:tr w:rsidR="007E27CB">
        <w:tc>
          <w:tcPr>
            <w:tcW w:w="15877" w:type="dxa"/>
            <w:gridSpan w:val="5"/>
          </w:tcPr>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Задача 4.1. Содействовать повышению эффективности транспортной системы Томской области</w:t>
            </w:r>
          </w:p>
        </w:tc>
      </w:tr>
      <w:tr w:rsidR="007E27CB">
        <w:tc>
          <w:tcPr>
            <w:tcW w:w="4786" w:type="dxa"/>
          </w:tcPr>
          <w:p w:rsidR="007E27CB" w:rsidRDefault="008F141F">
            <w:pPr>
              <w:pStyle w:val="ConsPlusNormal"/>
              <w:tabs>
                <w:tab w:val="left" w:pos="4962"/>
              </w:tabs>
              <w:rPr>
                <w:rFonts w:ascii="Times New Roman" w:hAnsi="Times New Roman" w:cs="Times New Roman"/>
                <w:b w:val="0"/>
                <w:sz w:val="24"/>
                <w:szCs w:val="24"/>
              </w:rPr>
            </w:pPr>
            <w:r>
              <w:rPr>
                <w:rFonts w:ascii="Times New Roman" w:hAnsi="Times New Roman" w:cs="Times New Roman"/>
                <w:b w:val="0"/>
                <w:sz w:val="24"/>
                <w:szCs w:val="24"/>
              </w:rPr>
              <w:t>Объем грузовых перевозок автомобильным транспортом, млн. тонн</w:t>
            </w:r>
          </w:p>
        </w:tc>
        <w:tc>
          <w:tcPr>
            <w:tcW w:w="1594" w:type="dxa"/>
            <w:vAlign w:val="center"/>
          </w:tcPr>
          <w:p w:rsidR="007E27CB" w:rsidRDefault="008F141F">
            <w:pPr>
              <w:tabs>
                <w:tab w:val="left" w:pos="4962"/>
              </w:tabs>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35,7 </w:t>
            </w:r>
          </w:p>
          <w:p w:rsidR="007E27CB" w:rsidRDefault="008F141F">
            <w:pPr>
              <w:tabs>
                <w:tab w:val="left" w:pos="4962"/>
              </w:tabs>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(оценка)</w:t>
            </w:r>
          </w:p>
        </w:tc>
        <w:tc>
          <w:tcPr>
            <w:tcW w:w="1417" w:type="dxa"/>
            <w:vAlign w:val="center"/>
          </w:tcPr>
          <w:p w:rsidR="007E27CB" w:rsidRDefault="008F141F">
            <w:pPr>
              <w:pStyle w:val="ConsPlusNormal"/>
              <w:tabs>
                <w:tab w:val="left" w:pos="4962"/>
              </w:tabs>
              <w:jc w:val="center"/>
              <w:rPr>
                <w:rFonts w:ascii="Times New Roman" w:eastAsia="Times New Roman" w:hAnsi="Times New Roman" w:cs="Times New Roman"/>
                <w:b w:val="0"/>
                <w:bCs w:val="0"/>
                <w:sz w:val="24"/>
                <w:szCs w:val="24"/>
              </w:rPr>
            </w:pPr>
            <w:r>
              <w:rPr>
                <w:rFonts w:ascii="Times New Roman" w:eastAsia="Times New Roman" w:hAnsi="Times New Roman" w:cs="Times New Roman"/>
                <w:b w:val="0"/>
                <w:bCs w:val="0"/>
                <w:sz w:val="24"/>
                <w:szCs w:val="24"/>
              </w:rPr>
              <w:t>41,9</w:t>
            </w:r>
          </w:p>
        </w:tc>
        <w:tc>
          <w:tcPr>
            <w:tcW w:w="1418" w:type="dxa"/>
            <w:vAlign w:val="center"/>
          </w:tcPr>
          <w:p w:rsidR="007E27CB" w:rsidRDefault="008F141F">
            <w:pPr>
              <w:pStyle w:val="ConsPlusNormal"/>
              <w:tabs>
                <w:tab w:val="left" w:pos="4962"/>
              </w:tabs>
              <w:jc w:val="center"/>
              <w:rPr>
                <w:rFonts w:ascii="Times New Roman" w:eastAsia="Times New Roman" w:hAnsi="Times New Roman" w:cs="Times New Roman"/>
                <w:b w:val="0"/>
                <w:bCs w:val="0"/>
                <w:sz w:val="24"/>
                <w:szCs w:val="24"/>
              </w:rPr>
            </w:pPr>
            <w:r>
              <w:rPr>
                <w:rFonts w:ascii="Times New Roman" w:eastAsia="Times New Roman" w:hAnsi="Times New Roman" w:cs="Times New Roman"/>
                <w:b w:val="0"/>
                <w:bCs w:val="0"/>
                <w:sz w:val="24"/>
                <w:szCs w:val="24"/>
              </w:rPr>
              <w:t>41,9</w:t>
            </w:r>
          </w:p>
        </w:tc>
        <w:tc>
          <w:tcPr>
            <w:tcW w:w="6662" w:type="dxa"/>
          </w:tcPr>
          <w:p w:rsidR="007E27CB" w:rsidRDefault="008F141F">
            <w:pPr>
              <w:tabs>
                <w:tab w:val="left" w:pos="4962"/>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Объем грузовых перевозок автомобильным транс</w:t>
            </w:r>
            <w:r>
              <w:rPr>
                <w:rFonts w:ascii="Times New Roman" w:eastAsia="Times New Roman" w:hAnsi="Times New Roman" w:cs="Times New Roman"/>
                <w:sz w:val="24"/>
                <w:szCs w:val="24"/>
              </w:rPr>
              <w:softHyphen/>
              <w:t xml:space="preserve">портом планируется на уровне целевого значения </w:t>
            </w:r>
          </w:p>
        </w:tc>
      </w:tr>
      <w:tr w:rsidR="007E27CB">
        <w:tc>
          <w:tcPr>
            <w:tcW w:w="4786" w:type="dxa"/>
          </w:tcPr>
          <w:p w:rsidR="007E27CB" w:rsidRDefault="008F141F">
            <w:pPr>
              <w:pStyle w:val="ConsPlusNormal"/>
              <w:tabs>
                <w:tab w:val="left" w:pos="4962"/>
              </w:tabs>
              <w:rPr>
                <w:rFonts w:ascii="Times New Roman" w:hAnsi="Times New Roman" w:cs="Times New Roman"/>
                <w:b w:val="0"/>
                <w:sz w:val="24"/>
                <w:szCs w:val="24"/>
              </w:rPr>
            </w:pPr>
            <w:r>
              <w:rPr>
                <w:rFonts w:ascii="Times New Roman" w:hAnsi="Times New Roman" w:cs="Times New Roman"/>
                <w:b w:val="0"/>
                <w:sz w:val="24"/>
                <w:szCs w:val="24"/>
              </w:rPr>
              <w:t>Количество авиарейсов в год, единиц</w:t>
            </w:r>
          </w:p>
        </w:tc>
        <w:tc>
          <w:tcPr>
            <w:tcW w:w="1594" w:type="dxa"/>
            <w:vAlign w:val="center"/>
          </w:tcPr>
          <w:p w:rsidR="007E27CB" w:rsidRDefault="008F141F">
            <w:pPr>
              <w:tabs>
                <w:tab w:val="left" w:pos="4962"/>
              </w:tabs>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5 175</w:t>
            </w:r>
          </w:p>
        </w:tc>
        <w:tc>
          <w:tcPr>
            <w:tcW w:w="1417" w:type="dxa"/>
            <w:vAlign w:val="center"/>
          </w:tcPr>
          <w:p w:rsidR="007E27CB" w:rsidRDefault="008F141F">
            <w:pPr>
              <w:pStyle w:val="ConsPlusNormal"/>
              <w:tabs>
                <w:tab w:val="left" w:pos="4962"/>
              </w:tabs>
              <w:jc w:val="center"/>
              <w:rPr>
                <w:rFonts w:ascii="Times New Roman" w:eastAsia="Times New Roman" w:hAnsi="Times New Roman" w:cs="Times New Roman"/>
                <w:b w:val="0"/>
                <w:bCs w:val="0"/>
                <w:sz w:val="24"/>
                <w:szCs w:val="24"/>
              </w:rPr>
            </w:pPr>
            <w:r>
              <w:rPr>
                <w:rFonts w:ascii="Times New Roman" w:eastAsia="Times New Roman" w:hAnsi="Times New Roman" w:cs="Times New Roman"/>
                <w:b w:val="0"/>
                <w:bCs w:val="0"/>
                <w:sz w:val="24"/>
                <w:szCs w:val="24"/>
              </w:rPr>
              <w:t>4 900</w:t>
            </w:r>
          </w:p>
        </w:tc>
        <w:tc>
          <w:tcPr>
            <w:tcW w:w="1418" w:type="dxa"/>
            <w:vAlign w:val="center"/>
          </w:tcPr>
          <w:p w:rsidR="007E27CB" w:rsidRDefault="008F141F">
            <w:pPr>
              <w:pStyle w:val="ConsPlusNormal"/>
              <w:tabs>
                <w:tab w:val="left" w:pos="4962"/>
              </w:tabs>
              <w:jc w:val="center"/>
              <w:rPr>
                <w:rFonts w:ascii="Times New Roman" w:eastAsia="Times New Roman" w:hAnsi="Times New Roman" w:cs="Times New Roman"/>
                <w:b w:val="0"/>
                <w:bCs w:val="0"/>
                <w:sz w:val="24"/>
                <w:szCs w:val="24"/>
              </w:rPr>
            </w:pPr>
            <w:r>
              <w:rPr>
                <w:rFonts w:ascii="Times New Roman" w:eastAsia="Times New Roman" w:hAnsi="Times New Roman" w:cs="Times New Roman"/>
                <w:b w:val="0"/>
                <w:bCs w:val="0"/>
                <w:sz w:val="24"/>
                <w:szCs w:val="24"/>
              </w:rPr>
              <w:t>4 220</w:t>
            </w:r>
          </w:p>
        </w:tc>
        <w:tc>
          <w:tcPr>
            <w:tcW w:w="6662" w:type="dxa"/>
          </w:tcPr>
          <w:p w:rsidR="007E27CB" w:rsidRDefault="008F141F">
            <w:pPr>
              <w:tabs>
                <w:tab w:val="left" w:pos="4962"/>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Значение показателя планируется на уровне выше целевого значения за счет реализации программы субсидирования полетов</w:t>
            </w:r>
          </w:p>
        </w:tc>
      </w:tr>
      <w:tr w:rsidR="007E27CB">
        <w:tc>
          <w:tcPr>
            <w:tcW w:w="4786" w:type="dxa"/>
            <w:vAlign w:val="center"/>
          </w:tcPr>
          <w:p w:rsidR="007E27CB" w:rsidRDefault="008F141F">
            <w:pPr>
              <w:pStyle w:val="ConsPlusNormal"/>
              <w:tabs>
                <w:tab w:val="left" w:pos="4962"/>
              </w:tabs>
              <w:rPr>
                <w:rFonts w:ascii="Times New Roman" w:hAnsi="Times New Roman" w:cs="Times New Roman"/>
                <w:b w:val="0"/>
                <w:sz w:val="24"/>
                <w:szCs w:val="24"/>
              </w:rPr>
            </w:pPr>
            <w:r>
              <w:rPr>
                <w:rFonts w:ascii="Times New Roman" w:hAnsi="Times New Roman" w:cs="Times New Roman"/>
                <w:b w:val="0"/>
                <w:sz w:val="24"/>
                <w:szCs w:val="24"/>
              </w:rPr>
              <w:t>Доля населенных пунктов, не обеспеченных регулярным транспортным сообщением в Томской области (дорогами с твердым покрытием), %</w:t>
            </w:r>
          </w:p>
        </w:tc>
        <w:tc>
          <w:tcPr>
            <w:tcW w:w="1594" w:type="dxa"/>
            <w:vAlign w:val="center"/>
          </w:tcPr>
          <w:p w:rsidR="007E27CB" w:rsidRDefault="008F141F">
            <w:pPr>
              <w:tabs>
                <w:tab w:val="left" w:pos="4962"/>
              </w:tabs>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35,29</w:t>
            </w:r>
          </w:p>
        </w:tc>
        <w:tc>
          <w:tcPr>
            <w:tcW w:w="1417" w:type="dxa"/>
            <w:vAlign w:val="center"/>
          </w:tcPr>
          <w:p w:rsidR="007E27CB" w:rsidRDefault="008F141F">
            <w:pPr>
              <w:pStyle w:val="ConsPlusNormal"/>
              <w:tabs>
                <w:tab w:val="left" w:pos="4962"/>
              </w:tabs>
              <w:jc w:val="center"/>
              <w:rPr>
                <w:rFonts w:ascii="Times New Roman" w:eastAsia="Times New Roman" w:hAnsi="Times New Roman" w:cs="Times New Roman"/>
                <w:b w:val="0"/>
                <w:bCs w:val="0"/>
                <w:sz w:val="24"/>
                <w:szCs w:val="24"/>
              </w:rPr>
            </w:pPr>
            <w:r>
              <w:rPr>
                <w:rFonts w:ascii="Times New Roman" w:eastAsia="Times New Roman" w:hAnsi="Times New Roman" w:cs="Times New Roman"/>
                <w:b w:val="0"/>
                <w:bCs w:val="0"/>
                <w:sz w:val="24"/>
                <w:szCs w:val="24"/>
              </w:rPr>
              <w:t>35,29</w:t>
            </w:r>
          </w:p>
        </w:tc>
        <w:tc>
          <w:tcPr>
            <w:tcW w:w="1418" w:type="dxa"/>
            <w:vAlign w:val="center"/>
          </w:tcPr>
          <w:p w:rsidR="007E27CB" w:rsidRDefault="008F141F">
            <w:pPr>
              <w:pStyle w:val="ConsPlusNormal"/>
              <w:tabs>
                <w:tab w:val="left" w:pos="4962"/>
              </w:tabs>
              <w:jc w:val="center"/>
              <w:rPr>
                <w:rFonts w:ascii="Times New Roman" w:eastAsia="Times New Roman" w:hAnsi="Times New Roman" w:cs="Times New Roman"/>
                <w:b w:val="0"/>
                <w:bCs w:val="0"/>
                <w:sz w:val="24"/>
                <w:szCs w:val="24"/>
              </w:rPr>
            </w:pPr>
            <w:r>
              <w:rPr>
                <w:rFonts w:ascii="Times New Roman" w:eastAsia="Times New Roman" w:hAnsi="Times New Roman" w:cs="Times New Roman"/>
                <w:b w:val="0"/>
                <w:bCs w:val="0"/>
                <w:sz w:val="24"/>
                <w:szCs w:val="24"/>
              </w:rPr>
              <w:t>33,8</w:t>
            </w:r>
          </w:p>
        </w:tc>
        <w:tc>
          <w:tcPr>
            <w:tcW w:w="6662" w:type="dxa"/>
          </w:tcPr>
          <w:p w:rsidR="007E27CB" w:rsidRDefault="008F141F">
            <w:pPr>
              <w:tabs>
                <w:tab w:val="left" w:pos="4962"/>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Риск недостижения целевого значения показателя связан с ограниченным объемом муниципальных дорожных фондов </w:t>
            </w:r>
          </w:p>
        </w:tc>
      </w:tr>
      <w:tr w:rsidR="007E27CB">
        <w:tc>
          <w:tcPr>
            <w:tcW w:w="15877" w:type="dxa"/>
            <w:gridSpan w:val="5"/>
          </w:tcPr>
          <w:p w:rsidR="007E27CB" w:rsidRDefault="008F141F">
            <w:pPr>
              <w:tabs>
                <w:tab w:val="left" w:pos="4962"/>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Задача 4.2. Обеспечить модернизацию и развитие коммунальной и информационно-коммуникационной инфраструктуры в Томской области</w:t>
            </w:r>
          </w:p>
        </w:tc>
      </w:tr>
      <w:tr w:rsidR="007E27CB">
        <w:tc>
          <w:tcPr>
            <w:tcW w:w="4786" w:type="dxa"/>
            <w:vAlign w:val="center"/>
          </w:tcPr>
          <w:p w:rsidR="007E27CB" w:rsidRDefault="008F141F">
            <w:pPr>
              <w:pStyle w:val="ConsPlusNormal"/>
              <w:tabs>
                <w:tab w:val="left" w:pos="4962"/>
              </w:tabs>
              <w:rPr>
                <w:rFonts w:ascii="Times New Roman" w:eastAsia="Times New Roman" w:hAnsi="Times New Roman" w:cs="Times New Roman"/>
                <w:b w:val="0"/>
                <w:bCs w:val="0"/>
                <w:sz w:val="24"/>
                <w:szCs w:val="24"/>
              </w:rPr>
            </w:pPr>
            <w:r>
              <w:rPr>
                <w:rFonts w:ascii="Times New Roman" w:eastAsia="Times New Roman" w:hAnsi="Times New Roman" w:cs="Times New Roman"/>
                <w:b w:val="0"/>
                <w:bCs w:val="0"/>
                <w:sz w:val="24"/>
                <w:szCs w:val="24"/>
              </w:rPr>
              <w:t>Доля населения Томской области, обеспеченного доступом к современным услугам связи (сотовая связь, широкополосный доступ в Интернет, цифровое телевидение), %</w:t>
            </w:r>
          </w:p>
        </w:tc>
        <w:tc>
          <w:tcPr>
            <w:tcW w:w="1594" w:type="dxa"/>
            <w:vAlign w:val="center"/>
          </w:tcPr>
          <w:p w:rsidR="007E27CB" w:rsidRDefault="008F141F">
            <w:pPr>
              <w:tabs>
                <w:tab w:val="left" w:pos="4962"/>
              </w:tabs>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97,5</w:t>
            </w:r>
          </w:p>
        </w:tc>
        <w:tc>
          <w:tcPr>
            <w:tcW w:w="1417" w:type="dxa"/>
            <w:vAlign w:val="center"/>
          </w:tcPr>
          <w:p w:rsidR="007E27CB" w:rsidRDefault="008F141F">
            <w:pPr>
              <w:pStyle w:val="ConsPlusNormal"/>
              <w:tabs>
                <w:tab w:val="left" w:pos="4962"/>
              </w:tabs>
              <w:jc w:val="center"/>
              <w:rPr>
                <w:rFonts w:ascii="Times New Roman" w:eastAsia="Times New Roman" w:hAnsi="Times New Roman" w:cs="Times New Roman"/>
                <w:b w:val="0"/>
                <w:bCs w:val="0"/>
                <w:sz w:val="24"/>
                <w:szCs w:val="24"/>
              </w:rPr>
            </w:pPr>
            <w:r>
              <w:rPr>
                <w:rFonts w:ascii="Times New Roman" w:eastAsia="Times New Roman" w:hAnsi="Times New Roman" w:cs="Times New Roman"/>
                <w:b w:val="0"/>
                <w:bCs w:val="0"/>
                <w:sz w:val="24"/>
                <w:szCs w:val="24"/>
              </w:rPr>
              <w:t>97,7</w:t>
            </w:r>
          </w:p>
        </w:tc>
        <w:tc>
          <w:tcPr>
            <w:tcW w:w="1418" w:type="dxa"/>
            <w:vAlign w:val="center"/>
          </w:tcPr>
          <w:p w:rsidR="007E27CB" w:rsidRDefault="008F141F">
            <w:pPr>
              <w:pStyle w:val="ConsPlusNormal"/>
              <w:tabs>
                <w:tab w:val="left" w:pos="4962"/>
              </w:tabs>
              <w:jc w:val="center"/>
              <w:rPr>
                <w:rFonts w:ascii="Times New Roman" w:eastAsia="Times New Roman" w:hAnsi="Times New Roman" w:cs="Times New Roman"/>
                <w:b w:val="0"/>
                <w:bCs w:val="0"/>
                <w:sz w:val="24"/>
                <w:szCs w:val="24"/>
              </w:rPr>
            </w:pPr>
            <w:r>
              <w:rPr>
                <w:rFonts w:ascii="Times New Roman" w:eastAsia="Times New Roman" w:hAnsi="Times New Roman" w:cs="Times New Roman"/>
                <w:b w:val="0"/>
                <w:bCs w:val="0"/>
                <w:sz w:val="24"/>
                <w:szCs w:val="24"/>
              </w:rPr>
              <w:t>98,8</w:t>
            </w:r>
          </w:p>
        </w:tc>
        <w:tc>
          <w:tcPr>
            <w:tcW w:w="6662" w:type="dxa"/>
          </w:tcPr>
          <w:p w:rsidR="007E27CB" w:rsidRDefault="008F141F">
            <w:pPr>
              <w:tabs>
                <w:tab w:val="left" w:pos="4962"/>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 риск недостижения целевого значения показа</w:t>
            </w:r>
            <w:r>
              <w:rPr>
                <w:rFonts w:ascii="Times New Roman" w:eastAsia="Times New Roman" w:hAnsi="Times New Roman" w:cs="Times New Roman"/>
                <w:sz w:val="24"/>
                <w:szCs w:val="24"/>
              </w:rPr>
              <w:softHyphen/>
              <w:t>теля влияет наличие труднодоступных и удаленных населенных пунктов, где прокладка линий связи и строительство инфраструктуры цифрового эфирно</w:t>
            </w:r>
            <w:r>
              <w:rPr>
                <w:rFonts w:ascii="Times New Roman" w:eastAsia="Times New Roman" w:hAnsi="Times New Roman" w:cs="Times New Roman"/>
                <w:sz w:val="24"/>
                <w:szCs w:val="24"/>
              </w:rPr>
              <w:softHyphen/>
              <w:t>го телевизионного вещания является технически и экономически нецелесообразным</w:t>
            </w:r>
          </w:p>
        </w:tc>
      </w:tr>
      <w:tr w:rsidR="007E27CB">
        <w:tc>
          <w:tcPr>
            <w:tcW w:w="4786" w:type="dxa"/>
          </w:tcPr>
          <w:p w:rsidR="007E27CB" w:rsidRDefault="008F141F">
            <w:pPr>
              <w:pStyle w:val="ConsPlusNormal"/>
              <w:tabs>
                <w:tab w:val="left" w:pos="4962"/>
              </w:tabs>
              <w:rPr>
                <w:rFonts w:ascii="Times New Roman" w:hAnsi="Times New Roman" w:cs="Times New Roman"/>
                <w:b w:val="0"/>
                <w:sz w:val="24"/>
                <w:szCs w:val="24"/>
              </w:rPr>
            </w:pPr>
            <w:r>
              <w:rPr>
                <w:rFonts w:ascii="Times New Roman" w:hAnsi="Times New Roman" w:cs="Times New Roman"/>
                <w:b w:val="0"/>
                <w:sz w:val="24"/>
                <w:szCs w:val="24"/>
              </w:rPr>
              <w:t>Доля жилищного фонда, оборудованного водопроводом, %</w:t>
            </w:r>
          </w:p>
        </w:tc>
        <w:tc>
          <w:tcPr>
            <w:tcW w:w="1594" w:type="dxa"/>
            <w:vAlign w:val="center"/>
          </w:tcPr>
          <w:p w:rsidR="007E27CB" w:rsidRDefault="007E27CB">
            <w:pPr>
              <w:tabs>
                <w:tab w:val="left" w:pos="4962"/>
              </w:tabs>
              <w:autoSpaceDE w:val="0"/>
              <w:autoSpaceDN w:val="0"/>
              <w:adjustRightInd w:val="0"/>
              <w:jc w:val="center"/>
              <w:rPr>
                <w:rFonts w:ascii="Times New Roman" w:eastAsia="Times New Roman" w:hAnsi="Times New Roman" w:cs="Times New Roman"/>
                <w:sz w:val="24"/>
                <w:szCs w:val="24"/>
              </w:rPr>
            </w:pPr>
          </w:p>
          <w:p w:rsidR="007E27CB" w:rsidRDefault="008F141F">
            <w:pPr>
              <w:tabs>
                <w:tab w:val="left" w:pos="4962"/>
              </w:tabs>
              <w:autoSpaceDE w:val="0"/>
              <w:autoSpaceDN w:val="0"/>
              <w:adjustRightInd w:val="0"/>
              <w:jc w:val="center"/>
              <w:rPr>
                <w:rFonts w:ascii="Times New Roman" w:hAnsi="Times New Roman" w:cs="Times New Roman"/>
                <w:sz w:val="24"/>
                <w:szCs w:val="24"/>
              </w:rPr>
            </w:pPr>
            <w:r>
              <w:rPr>
                <w:rFonts w:ascii="Times New Roman" w:eastAsia="Times New Roman" w:hAnsi="Times New Roman" w:cs="Times New Roman"/>
                <w:sz w:val="24"/>
                <w:szCs w:val="24"/>
              </w:rPr>
              <w:t>81,5</w:t>
            </w:r>
            <w:r>
              <w:rPr>
                <w:rFonts w:ascii="Times New Roman" w:hAnsi="Times New Roman" w:cs="Times New Roman"/>
                <w:sz w:val="24"/>
                <w:szCs w:val="24"/>
              </w:rPr>
              <w:t xml:space="preserve"> </w:t>
            </w:r>
          </w:p>
          <w:p w:rsidR="007E27CB" w:rsidRDefault="008F141F">
            <w:pPr>
              <w:tabs>
                <w:tab w:val="left" w:pos="4962"/>
              </w:tabs>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(оценка)</w:t>
            </w:r>
          </w:p>
        </w:tc>
        <w:tc>
          <w:tcPr>
            <w:tcW w:w="1417"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81,2</w:t>
            </w:r>
          </w:p>
        </w:tc>
        <w:tc>
          <w:tcPr>
            <w:tcW w:w="1418"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87,0</w:t>
            </w:r>
          </w:p>
        </w:tc>
        <w:tc>
          <w:tcPr>
            <w:tcW w:w="6662" w:type="dxa"/>
          </w:tcPr>
          <w:p w:rsidR="007E27CB" w:rsidRDefault="008F141F">
            <w:pPr>
              <w:tabs>
                <w:tab w:val="left" w:pos="4962"/>
              </w:tabs>
              <w:jc w:val="both"/>
              <w:rPr>
                <w:rFonts w:ascii="Times New Roman" w:hAnsi="Times New Roman" w:cs="Times New Roman"/>
                <w:sz w:val="24"/>
                <w:szCs w:val="24"/>
              </w:rPr>
            </w:pPr>
            <w:r>
              <w:rPr>
                <w:rFonts w:ascii="Times New Roman" w:eastAsia="Times New Roman" w:hAnsi="Times New Roman" w:cs="Times New Roman"/>
                <w:sz w:val="24"/>
                <w:szCs w:val="24"/>
              </w:rPr>
              <w:t>Текущая обеспеченность жилищного фонда водопроводом (ниже 87%) обусловлена низкой долей оборудования водопроводом частных жилых домов в сельских территориях. Для увеличения показателя необходимы значительные вложения в строительство сетей водоснабжения, при этом не гарантировано подключение домовладений потребителей к вновь построенным сетям. Цели регионального проекта «Чистая вода» предполагают в первую очередь увеличение доли обеспеченности питьевой водой из централизованных систем водоснабжения городских территорий. В связи с этим имеется высокий риск недостижения данного показателя</w:t>
            </w:r>
          </w:p>
        </w:tc>
      </w:tr>
      <w:tr w:rsidR="007E27CB">
        <w:tc>
          <w:tcPr>
            <w:tcW w:w="4786" w:type="dxa"/>
          </w:tcPr>
          <w:p w:rsidR="007E27CB" w:rsidRDefault="008F141F">
            <w:pPr>
              <w:pStyle w:val="ConsPlusNormal"/>
              <w:tabs>
                <w:tab w:val="left" w:pos="4962"/>
              </w:tabs>
              <w:rPr>
                <w:rFonts w:ascii="Times New Roman" w:hAnsi="Times New Roman" w:cs="Times New Roman"/>
                <w:b w:val="0"/>
                <w:sz w:val="24"/>
                <w:szCs w:val="24"/>
              </w:rPr>
            </w:pPr>
            <w:r>
              <w:rPr>
                <w:rFonts w:ascii="Times New Roman" w:hAnsi="Times New Roman" w:cs="Times New Roman"/>
                <w:b w:val="0"/>
                <w:sz w:val="24"/>
                <w:szCs w:val="24"/>
              </w:rPr>
              <w:t>Количество аварий в системах теплоснабжения, водоснабжения и очистки сточных вод, единиц</w:t>
            </w:r>
          </w:p>
        </w:tc>
        <w:tc>
          <w:tcPr>
            <w:tcW w:w="1594" w:type="dxa"/>
            <w:vAlign w:val="center"/>
          </w:tcPr>
          <w:p w:rsidR="007E27CB" w:rsidRDefault="007E27CB">
            <w:pPr>
              <w:tabs>
                <w:tab w:val="left" w:pos="4962"/>
              </w:tabs>
              <w:autoSpaceDE w:val="0"/>
              <w:autoSpaceDN w:val="0"/>
              <w:adjustRightInd w:val="0"/>
              <w:jc w:val="center"/>
              <w:rPr>
                <w:rFonts w:ascii="Times New Roman" w:eastAsia="Times New Roman" w:hAnsi="Times New Roman" w:cs="Times New Roman"/>
                <w:sz w:val="24"/>
                <w:szCs w:val="24"/>
              </w:rPr>
            </w:pPr>
          </w:p>
          <w:p w:rsidR="007E27CB" w:rsidRDefault="008F141F">
            <w:pPr>
              <w:tabs>
                <w:tab w:val="left" w:pos="4962"/>
              </w:tabs>
              <w:autoSpaceDE w:val="0"/>
              <w:autoSpaceDN w:val="0"/>
              <w:adjustRightInd w:val="0"/>
              <w:jc w:val="center"/>
              <w:rPr>
                <w:rFonts w:ascii="Times New Roman" w:hAnsi="Times New Roman" w:cs="Times New Roman"/>
                <w:sz w:val="24"/>
                <w:szCs w:val="24"/>
              </w:rPr>
            </w:pPr>
            <w:r>
              <w:rPr>
                <w:rFonts w:ascii="Times New Roman" w:eastAsia="Times New Roman" w:hAnsi="Times New Roman" w:cs="Times New Roman"/>
                <w:sz w:val="24"/>
                <w:szCs w:val="24"/>
              </w:rPr>
              <w:t>168</w:t>
            </w:r>
          </w:p>
          <w:p w:rsidR="007E27CB" w:rsidRDefault="007E27CB">
            <w:pPr>
              <w:tabs>
                <w:tab w:val="left" w:pos="4962"/>
              </w:tabs>
              <w:autoSpaceDE w:val="0"/>
              <w:autoSpaceDN w:val="0"/>
              <w:adjustRightInd w:val="0"/>
              <w:jc w:val="center"/>
              <w:rPr>
                <w:rFonts w:ascii="Times New Roman" w:eastAsia="Times New Roman" w:hAnsi="Times New Roman" w:cs="Times New Roman"/>
                <w:sz w:val="24"/>
                <w:szCs w:val="24"/>
              </w:rPr>
            </w:pPr>
          </w:p>
        </w:tc>
        <w:tc>
          <w:tcPr>
            <w:tcW w:w="1417"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260</w:t>
            </w:r>
          </w:p>
        </w:tc>
        <w:tc>
          <w:tcPr>
            <w:tcW w:w="1418"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300</w:t>
            </w:r>
          </w:p>
        </w:tc>
        <w:tc>
          <w:tcPr>
            <w:tcW w:w="6662" w:type="dxa"/>
          </w:tcPr>
          <w:p w:rsidR="007E27CB" w:rsidRDefault="008F141F">
            <w:pPr>
              <w:tabs>
                <w:tab w:val="left" w:pos="4962"/>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Улучшение показателя связано с усилением контроля за реализацией работ по подготовке к отопительному периоду, созданием запасов топлива в коммунальных предприятиях.</w:t>
            </w:r>
          </w:p>
          <w:p w:rsidR="007E27CB" w:rsidRDefault="008F141F">
            <w:pPr>
              <w:tabs>
                <w:tab w:val="left" w:pos="4962"/>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Увеличение количества капитально отремонтированных объектов коммунальной инфраструктуры за счет повышения бюджетной эффективности расходов на капитальный ремонт.</w:t>
            </w:r>
          </w:p>
          <w:p w:rsidR="007E27CB" w:rsidRDefault="008F141F">
            <w:pPr>
              <w:tabs>
                <w:tab w:val="left" w:pos="4962"/>
              </w:tabs>
              <w:jc w:val="both"/>
              <w:rPr>
                <w:rFonts w:ascii="Times New Roman" w:hAnsi="Times New Roman" w:cs="Times New Roman"/>
                <w:sz w:val="24"/>
                <w:szCs w:val="24"/>
              </w:rPr>
            </w:pPr>
            <w:r>
              <w:rPr>
                <w:rFonts w:ascii="Times New Roman" w:eastAsia="Times New Roman" w:hAnsi="Times New Roman" w:cs="Times New Roman"/>
                <w:sz w:val="24"/>
                <w:szCs w:val="24"/>
              </w:rPr>
              <w:t>При этом, из-за недостаточного бюджетного финансирования капитальных ремонтов объектов коммунальной инфраструктуры сохраняется риск увеличения роста аварийности таких объектов в будущих периодах</w:t>
            </w:r>
          </w:p>
        </w:tc>
      </w:tr>
      <w:tr w:rsidR="007E27CB">
        <w:tc>
          <w:tcPr>
            <w:tcW w:w="15877" w:type="dxa"/>
            <w:gridSpan w:val="5"/>
          </w:tcPr>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Задача 4.3. Повысить энергоэффективность и обеспечить развитие энергетической инфраструктуры</w:t>
            </w:r>
          </w:p>
        </w:tc>
      </w:tr>
      <w:tr w:rsidR="007E27CB">
        <w:tc>
          <w:tcPr>
            <w:tcW w:w="4786" w:type="dxa"/>
          </w:tcPr>
          <w:p w:rsidR="007E27CB" w:rsidRDefault="008F141F">
            <w:pPr>
              <w:pStyle w:val="ConsPlusNormal"/>
              <w:tabs>
                <w:tab w:val="left" w:pos="4962"/>
              </w:tabs>
              <w:rPr>
                <w:rFonts w:ascii="Times New Roman" w:hAnsi="Times New Roman" w:cs="Times New Roman"/>
                <w:b w:val="0"/>
                <w:sz w:val="24"/>
                <w:szCs w:val="24"/>
              </w:rPr>
            </w:pPr>
            <w:r>
              <w:rPr>
                <w:rFonts w:ascii="Times New Roman" w:hAnsi="Times New Roman" w:cs="Times New Roman"/>
                <w:b w:val="0"/>
                <w:sz w:val="24"/>
                <w:szCs w:val="24"/>
              </w:rPr>
              <w:t>Уровень газификации природным газом жилого фонда Томской области, подлежащего газификации, %</w:t>
            </w:r>
          </w:p>
        </w:tc>
        <w:tc>
          <w:tcPr>
            <w:tcW w:w="1594" w:type="dxa"/>
            <w:vAlign w:val="center"/>
          </w:tcPr>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37</w:t>
            </w:r>
          </w:p>
        </w:tc>
        <w:tc>
          <w:tcPr>
            <w:tcW w:w="1417" w:type="dxa"/>
            <w:vAlign w:val="center"/>
          </w:tcPr>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40</w:t>
            </w:r>
          </w:p>
        </w:tc>
        <w:tc>
          <w:tcPr>
            <w:tcW w:w="1418" w:type="dxa"/>
            <w:vAlign w:val="center"/>
          </w:tcPr>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50</w:t>
            </w:r>
          </w:p>
        </w:tc>
        <w:tc>
          <w:tcPr>
            <w:tcW w:w="6662" w:type="dxa"/>
          </w:tcPr>
          <w:p w:rsidR="007E27CB" w:rsidRDefault="008F141F">
            <w:pPr>
              <w:tabs>
                <w:tab w:val="left" w:pos="4962"/>
              </w:tabs>
              <w:jc w:val="both"/>
              <w:rPr>
                <w:rFonts w:ascii="Times New Roman" w:hAnsi="Times New Roman" w:cs="Times New Roman"/>
                <w:sz w:val="24"/>
                <w:szCs w:val="24"/>
              </w:rPr>
            </w:pPr>
            <w:r>
              <w:rPr>
                <w:rStyle w:val="A80"/>
                <w:rFonts w:ascii="Times New Roman" w:hAnsi="Times New Roman" w:cs="Times New Roman"/>
                <w:sz w:val="24"/>
                <w:szCs w:val="24"/>
              </w:rPr>
              <w:t xml:space="preserve">Недостижение заявленного уровня (50%) показателя в 2020 году связано с тем, что в 2016 </w:t>
            </w:r>
            <w:r>
              <w:rPr>
                <w:rFonts w:ascii="Times New Roman" w:hAnsi="Times New Roman"/>
                <w:sz w:val="24"/>
                <w:szCs w:val="24"/>
              </w:rPr>
              <w:t xml:space="preserve">– </w:t>
            </w:r>
            <w:r>
              <w:rPr>
                <w:rStyle w:val="A80"/>
                <w:rFonts w:ascii="Times New Roman" w:hAnsi="Times New Roman" w:cs="Times New Roman"/>
                <w:sz w:val="24"/>
                <w:szCs w:val="24"/>
              </w:rPr>
              <w:t xml:space="preserve">2017 годах бюджетное финансирование мероприятий по газификации в рамках государственной программы не осуществлялось. А в 2018 </w:t>
            </w:r>
            <w:r>
              <w:rPr>
                <w:rFonts w:ascii="Times New Roman" w:hAnsi="Times New Roman"/>
                <w:sz w:val="24"/>
                <w:szCs w:val="24"/>
              </w:rPr>
              <w:t>–</w:t>
            </w:r>
            <w:r>
              <w:rPr>
                <w:rStyle w:val="A80"/>
                <w:rFonts w:ascii="Times New Roman" w:hAnsi="Times New Roman" w:cs="Times New Roman"/>
                <w:sz w:val="24"/>
                <w:szCs w:val="24"/>
              </w:rPr>
              <w:t>2019 годах бюджетное финансирование было недостаточным для достижения целевого значения показателя</w:t>
            </w:r>
          </w:p>
        </w:tc>
      </w:tr>
      <w:tr w:rsidR="007E27CB">
        <w:tc>
          <w:tcPr>
            <w:tcW w:w="4786" w:type="dxa"/>
            <w:vAlign w:val="center"/>
          </w:tcPr>
          <w:p w:rsidR="007E27CB" w:rsidRDefault="008F141F">
            <w:pPr>
              <w:pStyle w:val="ConsPlusNormal"/>
              <w:tabs>
                <w:tab w:val="left" w:pos="4962"/>
              </w:tabs>
              <w:rPr>
                <w:rFonts w:ascii="Times New Roman" w:hAnsi="Times New Roman" w:cs="Times New Roman"/>
                <w:b w:val="0"/>
                <w:sz w:val="24"/>
                <w:szCs w:val="24"/>
              </w:rPr>
            </w:pPr>
            <w:r>
              <w:rPr>
                <w:rFonts w:ascii="Times New Roman" w:hAnsi="Times New Roman" w:cs="Times New Roman"/>
                <w:b w:val="0"/>
                <w:sz w:val="24"/>
                <w:szCs w:val="24"/>
              </w:rPr>
              <w:t>Доля возобновляемых и местных источников энергии из общей мощности источников электрической и тепловой энергии, %</w:t>
            </w:r>
          </w:p>
        </w:tc>
        <w:tc>
          <w:tcPr>
            <w:tcW w:w="1594" w:type="dxa"/>
            <w:vAlign w:val="center"/>
          </w:tcPr>
          <w:p w:rsidR="007E27CB" w:rsidRDefault="007E27CB">
            <w:pPr>
              <w:tabs>
                <w:tab w:val="left" w:pos="4962"/>
              </w:tabs>
              <w:jc w:val="center"/>
              <w:rPr>
                <w:rFonts w:ascii="Times New Roman" w:hAnsi="Times New Roman" w:cs="Times New Roman"/>
                <w:sz w:val="24"/>
                <w:szCs w:val="24"/>
              </w:rPr>
            </w:pPr>
          </w:p>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 xml:space="preserve">0,19 </w:t>
            </w:r>
            <w:r>
              <w:rPr>
                <w:rFonts w:ascii="Times New Roman" w:hAnsi="Times New Roman" w:cs="Times New Roman"/>
                <w:sz w:val="24"/>
                <w:szCs w:val="24"/>
              </w:rPr>
              <w:br/>
            </w:r>
          </w:p>
        </w:tc>
        <w:tc>
          <w:tcPr>
            <w:tcW w:w="1417" w:type="dxa"/>
            <w:vAlign w:val="center"/>
          </w:tcPr>
          <w:p w:rsidR="007E27CB" w:rsidRDefault="008F141F">
            <w:pPr>
              <w:pStyle w:val="ConsPlusNormal"/>
              <w:tabs>
                <w:tab w:val="left" w:pos="4962"/>
              </w:tabs>
              <w:autoSpaceDE/>
              <w:autoSpaceDN/>
              <w:adjustRightInd/>
              <w:jc w:val="center"/>
              <w:rPr>
                <w:rFonts w:ascii="Times New Roman" w:hAnsi="Times New Roman" w:cs="Times New Roman"/>
                <w:b w:val="0"/>
                <w:sz w:val="24"/>
                <w:szCs w:val="24"/>
              </w:rPr>
            </w:pPr>
            <w:r>
              <w:rPr>
                <w:rFonts w:ascii="Times New Roman" w:hAnsi="Times New Roman" w:cs="Times New Roman"/>
                <w:b w:val="0"/>
                <w:sz w:val="24"/>
                <w:szCs w:val="24"/>
              </w:rPr>
              <w:t>0,19</w:t>
            </w:r>
          </w:p>
        </w:tc>
        <w:tc>
          <w:tcPr>
            <w:tcW w:w="1418" w:type="dxa"/>
            <w:vAlign w:val="center"/>
          </w:tcPr>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1,10</w:t>
            </w:r>
          </w:p>
        </w:tc>
        <w:tc>
          <w:tcPr>
            <w:tcW w:w="6662" w:type="dxa"/>
          </w:tcPr>
          <w:p w:rsidR="007E27CB" w:rsidRDefault="008F141F">
            <w:pPr>
              <w:tabs>
                <w:tab w:val="left" w:pos="4962"/>
              </w:tabs>
              <w:jc w:val="both"/>
              <w:rPr>
                <w:rFonts w:ascii="Times New Roman" w:hAnsi="Times New Roman" w:cs="Times New Roman"/>
                <w:sz w:val="24"/>
                <w:szCs w:val="24"/>
              </w:rPr>
            </w:pPr>
            <w:r>
              <w:rPr>
                <w:rFonts w:ascii="Times New Roman" w:eastAsia="Times New Roman" w:hAnsi="Times New Roman" w:cs="Times New Roman"/>
                <w:sz w:val="24"/>
                <w:szCs w:val="24"/>
              </w:rPr>
              <w:t>Мероприятия по строительству объектов, использующих возобновляемые ресурсы, не финансировались с 2015 года.  Достижение данного показателя не представляется возможным</w:t>
            </w:r>
          </w:p>
        </w:tc>
      </w:tr>
      <w:tr w:rsidR="007E27CB">
        <w:tc>
          <w:tcPr>
            <w:tcW w:w="4786" w:type="dxa"/>
          </w:tcPr>
          <w:p w:rsidR="007E27CB" w:rsidRDefault="008F141F">
            <w:pPr>
              <w:pStyle w:val="ConsPlusNormal"/>
              <w:tabs>
                <w:tab w:val="left" w:pos="4962"/>
              </w:tabs>
              <w:rPr>
                <w:rFonts w:ascii="Times New Roman" w:hAnsi="Times New Roman" w:cs="Times New Roman"/>
                <w:b w:val="0"/>
                <w:sz w:val="24"/>
                <w:szCs w:val="24"/>
              </w:rPr>
            </w:pPr>
            <w:r>
              <w:rPr>
                <w:rFonts w:ascii="Times New Roman" w:hAnsi="Times New Roman" w:cs="Times New Roman"/>
                <w:b w:val="0"/>
                <w:sz w:val="24"/>
                <w:szCs w:val="24"/>
              </w:rPr>
              <w:t>Удельный вес расхода условного топлива на выработку электрической энергии, г.у.т/кВт x ч</w:t>
            </w:r>
          </w:p>
        </w:tc>
        <w:tc>
          <w:tcPr>
            <w:tcW w:w="1594" w:type="dxa"/>
            <w:vAlign w:val="center"/>
          </w:tcPr>
          <w:p w:rsidR="007E27CB" w:rsidRDefault="007E27CB">
            <w:pPr>
              <w:tabs>
                <w:tab w:val="left" w:pos="4962"/>
              </w:tabs>
              <w:jc w:val="center"/>
              <w:rPr>
                <w:rFonts w:ascii="Times New Roman" w:hAnsi="Times New Roman" w:cs="Times New Roman"/>
                <w:sz w:val="24"/>
                <w:szCs w:val="24"/>
              </w:rPr>
            </w:pPr>
          </w:p>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299,0</w:t>
            </w:r>
          </w:p>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(оценка)</w:t>
            </w:r>
          </w:p>
        </w:tc>
        <w:tc>
          <w:tcPr>
            <w:tcW w:w="1417" w:type="dxa"/>
            <w:vAlign w:val="center"/>
          </w:tcPr>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301,4</w:t>
            </w:r>
          </w:p>
        </w:tc>
        <w:tc>
          <w:tcPr>
            <w:tcW w:w="1418" w:type="dxa"/>
            <w:vAlign w:val="center"/>
          </w:tcPr>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301,4</w:t>
            </w:r>
          </w:p>
        </w:tc>
        <w:tc>
          <w:tcPr>
            <w:tcW w:w="6662" w:type="dxa"/>
          </w:tcPr>
          <w:p w:rsidR="007E27CB" w:rsidRDefault="008F141F">
            <w:pPr>
              <w:tabs>
                <w:tab w:val="left" w:pos="4962"/>
              </w:tabs>
              <w:jc w:val="both"/>
              <w:rPr>
                <w:rFonts w:ascii="Times New Roman" w:hAnsi="Times New Roman" w:cs="Times New Roman"/>
                <w:sz w:val="24"/>
                <w:szCs w:val="24"/>
              </w:rPr>
            </w:pPr>
            <w:r>
              <w:rPr>
                <w:rFonts w:ascii="Times New Roman" w:eastAsia="Times New Roman" w:hAnsi="Times New Roman" w:cs="Times New Roman"/>
                <w:sz w:val="24"/>
                <w:szCs w:val="24"/>
              </w:rPr>
              <w:t>Производство электрической энергии в регионе на 83% осуществляется крупными источниками с комбинированной выработкой тепла и электроэнергии. Значение показателя преимущественно достигается за счет реализации мероприятий по энергоэффективности на тепловых электростанциях</w:t>
            </w:r>
          </w:p>
        </w:tc>
      </w:tr>
      <w:tr w:rsidR="007E27CB">
        <w:tc>
          <w:tcPr>
            <w:tcW w:w="15877" w:type="dxa"/>
            <w:gridSpan w:val="5"/>
          </w:tcPr>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Цель 5. Эффективное управление регионом</w:t>
            </w:r>
          </w:p>
        </w:tc>
      </w:tr>
      <w:tr w:rsidR="007E27CB">
        <w:tc>
          <w:tcPr>
            <w:tcW w:w="4786" w:type="dxa"/>
          </w:tcPr>
          <w:p w:rsidR="007E27CB" w:rsidRDefault="008F141F">
            <w:pPr>
              <w:pStyle w:val="ConsPlusNormal"/>
              <w:tabs>
                <w:tab w:val="left" w:pos="4962"/>
              </w:tabs>
              <w:rPr>
                <w:rFonts w:ascii="Times New Roman" w:hAnsi="Times New Roman" w:cs="Times New Roman"/>
                <w:b w:val="0"/>
                <w:sz w:val="24"/>
                <w:szCs w:val="24"/>
              </w:rPr>
            </w:pPr>
            <w:r>
              <w:rPr>
                <w:rFonts w:ascii="Times New Roman" w:hAnsi="Times New Roman" w:cs="Times New Roman"/>
                <w:b w:val="0"/>
                <w:sz w:val="24"/>
                <w:szCs w:val="24"/>
              </w:rPr>
              <w:t>Степень удовлетворенности жителей Томской области качеством предоставления государственных и муниципальных услуг, % от числа опрошенных</w:t>
            </w:r>
          </w:p>
        </w:tc>
        <w:tc>
          <w:tcPr>
            <w:tcW w:w="1594" w:type="dxa"/>
            <w:vAlign w:val="center"/>
          </w:tcPr>
          <w:p w:rsidR="007E27CB" w:rsidRDefault="008F141F">
            <w:pPr>
              <w:tabs>
                <w:tab w:val="left" w:pos="4962"/>
              </w:tabs>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95,1</w:t>
            </w:r>
          </w:p>
        </w:tc>
        <w:tc>
          <w:tcPr>
            <w:tcW w:w="1417"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90</w:t>
            </w:r>
          </w:p>
        </w:tc>
        <w:tc>
          <w:tcPr>
            <w:tcW w:w="1418" w:type="dxa"/>
            <w:vAlign w:val="center"/>
          </w:tcPr>
          <w:p w:rsidR="007E27CB" w:rsidRDefault="008F141F">
            <w:pPr>
              <w:tabs>
                <w:tab w:val="left" w:pos="4962"/>
              </w:tabs>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90</w:t>
            </w:r>
          </w:p>
        </w:tc>
        <w:tc>
          <w:tcPr>
            <w:tcW w:w="6662" w:type="dxa"/>
          </w:tcPr>
          <w:p w:rsidR="007E27CB" w:rsidRDefault="008F141F">
            <w:pPr>
              <w:tabs>
                <w:tab w:val="left" w:pos="237"/>
              </w:tabs>
              <w:jc w:val="both"/>
              <w:rPr>
                <w:rFonts w:ascii="Times New Roman" w:hAnsi="Times New Roman" w:cs="Times New Roman"/>
                <w:sz w:val="24"/>
                <w:szCs w:val="24"/>
              </w:rPr>
            </w:pPr>
            <w:r>
              <w:rPr>
                <w:rFonts w:ascii="Times New Roman" w:hAnsi="Times New Roman" w:cs="Times New Roman"/>
                <w:sz w:val="24"/>
                <w:szCs w:val="24"/>
              </w:rPr>
              <w:t>Повышению степени удовлетворенности граждан Томской области качеством предоставления государственных и муниципальных услуг способствовали следующие факторы:</w:t>
            </w:r>
          </w:p>
          <w:p w:rsidR="007E27CB" w:rsidRDefault="008F141F">
            <w:pPr>
              <w:pStyle w:val="a6"/>
              <w:numPr>
                <w:ilvl w:val="0"/>
                <w:numId w:val="214"/>
              </w:numPr>
              <w:tabs>
                <w:tab w:val="left" w:pos="459"/>
              </w:tabs>
              <w:ind w:left="34" w:firstLine="0"/>
              <w:jc w:val="both"/>
              <w:rPr>
                <w:rFonts w:ascii="Times New Roman" w:hAnsi="Times New Roman" w:cs="Times New Roman"/>
                <w:sz w:val="24"/>
                <w:szCs w:val="24"/>
              </w:rPr>
            </w:pPr>
            <w:r>
              <w:rPr>
                <w:rFonts w:ascii="Times New Roman" w:hAnsi="Times New Roman" w:cs="Times New Roman"/>
                <w:sz w:val="24"/>
                <w:szCs w:val="24"/>
              </w:rPr>
              <w:t>развитая региональная инфраструктура электронного правительства Томской области, в которую подключены все исполнительные органы власти и органы местного самоуправления Томской области;</w:t>
            </w:r>
          </w:p>
          <w:p w:rsidR="007E27CB" w:rsidRDefault="008F141F">
            <w:pPr>
              <w:pStyle w:val="a6"/>
              <w:numPr>
                <w:ilvl w:val="0"/>
                <w:numId w:val="214"/>
              </w:numPr>
              <w:tabs>
                <w:tab w:val="left" w:pos="459"/>
              </w:tabs>
              <w:ind w:left="34" w:firstLine="0"/>
              <w:jc w:val="both"/>
              <w:rPr>
                <w:rFonts w:ascii="Times New Roman" w:hAnsi="Times New Roman" w:cs="Times New Roman"/>
                <w:sz w:val="24"/>
                <w:szCs w:val="24"/>
              </w:rPr>
            </w:pPr>
            <w:r>
              <w:rPr>
                <w:rFonts w:ascii="Times New Roman" w:hAnsi="Times New Roman" w:cs="Times New Roman"/>
                <w:sz w:val="24"/>
                <w:szCs w:val="24"/>
              </w:rPr>
              <w:t>обеспечено функционирование и развитие сети МФЦ и центров общественного доступа в Томской области (18 отделов МФЦ, 38 территориальных подразделений и 119 центров общественного доступа);</w:t>
            </w:r>
          </w:p>
          <w:p w:rsidR="007E27CB" w:rsidRDefault="008F141F">
            <w:pPr>
              <w:pStyle w:val="a6"/>
              <w:numPr>
                <w:ilvl w:val="0"/>
                <w:numId w:val="214"/>
              </w:numPr>
              <w:tabs>
                <w:tab w:val="left" w:pos="459"/>
              </w:tabs>
              <w:ind w:left="34" w:firstLine="0"/>
              <w:jc w:val="both"/>
              <w:rPr>
                <w:rFonts w:ascii="Times New Roman" w:hAnsi="Times New Roman" w:cs="Times New Roman"/>
                <w:sz w:val="24"/>
                <w:szCs w:val="24"/>
              </w:rPr>
            </w:pPr>
            <w:r>
              <w:rPr>
                <w:rFonts w:ascii="Times New Roman" w:hAnsi="Times New Roman" w:cs="Times New Roman"/>
                <w:sz w:val="24"/>
                <w:szCs w:val="24"/>
              </w:rPr>
              <w:t>организовано межведомственное электронное взаимодействие (направлено 349 тысяч запросов сведений, исключающие истребование справок от заявителей);</w:t>
            </w:r>
          </w:p>
          <w:p w:rsidR="007E27CB" w:rsidRDefault="008F141F">
            <w:pPr>
              <w:pStyle w:val="a6"/>
              <w:numPr>
                <w:ilvl w:val="0"/>
                <w:numId w:val="214"/>
              </w:numPr>
              <w:tabs>
                <w:tab w:val="left" w:pos="459"/>
              </w:tabs>
              <w:ind w:left="34" w:firstLine="0"/>
              <w:jc w:val="both"/>
              <w:rPr>
                <w:rFonts w:ascii="Times New Roman" w:hAnsi="Times New Roman" w:cs="Times New Roman"/>
                <w:sz w:val="24"/>
                <w:szCs w:val="24"/>
              </w:rPr>
            </w:pPr>
            <w:r>
              <w:rPr>
                <w:rFonts w:ascii="Times New Roman" w:hAnsi="Times New Roman" w:cs="Times New Roman"/>
                <w:sz w:val="24"/>
                <w:szCs w:val="24"/>
              </w:rPr>
              <w:t>повышение востребованности услуг в электронной форме (оказано более 1 млн. 179 тыс. электронных услуг);</w:t>
            </w:r>
          </w:p>
          <w:p w:rsidR="007E27CB" w:rsidRDefault="008F141F">
            <w:pPr>
              <w:pStyle w:val="a6"/>
              <w:numPr>
                <w:ilvl w:val="0"/>
                <w:numId w:val="214"/>
              </w:numPr>
              <w:tabs>
                <w:tab w:val="left" w:pos="459"/>
                <w:tab w:val="left" w:pos="4962"/>
              </w:tabs>
              <w:ind w:left="34" w:firstLine="0"/>
              <w:jc w:val="both"/>
              <w:rPr>
                <w:sz w:val="24"/>
                <w:szCs w:val="24"/>
              </w:rPr>
            </w:pPr>
            <w:r>
              <w:rPr>
                <w:rFonts w:ascii="Times New Roman" w:hAnsi="Times New Roman" w:cs="Times New Roman"/>
                <w:sz w:val="24"/>
                <w:szCs w:val="24"/>
              </w:rPr>
              <w:t>обеспечение возможности гражданам подачи в электронной форме жалоб на нарушение порядка предоставления государственных услуг, выразившееся в неправомерных решениях и действии (бездействии) должностных лиц органов исполнительной власти</w:t>
            </w:r>
          </w:p>
        </w:tc>
      </w:tr>
      <w:tr w:rsidR="007E27CB">
        <w:tc>
          <w:tcPr>
            <w:tcW w:w="15877" w:type="dxa"/>
            <w:gridSpan w:val="5"/>
          </w:tcPr>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Задача 5.1. Обеспечить развитие информационного общества в Томской области</w:t>
            </w:r>
          </w:p>
        </w:tc>
      </w:tr>
      <w:tr w:rsidR="007E27CB">
        <w:tc>
          <w:tcPr>
            <w:tcW w:w="4786" w:type="dxa"/>
          </w:tcPr>
          <w:p w:rsidR="007E27CB" w:rsidRDefault="008F141F">
            <w:pPr>
              <w:pStyle w:val="ConsPlusNormal"/>
              <w:tabs>
                <w:tab w:val="left" w:pos="4962"/>
              </w:tabs>
              <w:rPr>
                <w:rFonts w:ascii="Times New Roman" w:hAnsi="Times New Roman" w:cs="Times New Roman"/>
                <w:b w:val="0"/>
                <w:sz w:val="24"/>
                <w:szCs w:val="24"/>
              </w:rPr>
            </w:pPr>
            <w:r>
              <w:rPr>
                <w:rFonts w:ascii="Times New Roman" w:hAnsi="Times New Roman" w:cs="Times New Roman"/>
                <w:b w:val="0"/>
                <w:sz w:val="24"/>
                <w:szCs w:val="24"/>
              </w:rPr>
              <w:t>Доля граждан, имеющих доступ к получению государственных и муниципальных услуг по принципу «одного окна» по месту пребывания, в том числе в многофункциональных центрах оказания государственных и муниципальных услуг, %</w:t>
            </w:r>
          </w:p>
        </w:tc>
        <w:tc>
          <w:tcPr>
            <w:tcW w:w="1594" w:type="dxa"/>
            <w:vAlign w:val="center"/>
          </w:tcPr>
          <w:p w:rsidR="007E27CB" w:rsidRDefault="008F141F">
            <w:pPr>
              <w:tabs>
                <w:tab w:val="left" w:pos="4962"/>
              </w:tabs>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92,19</w:t>
            </w:r>
          </w:p>
        </w:tc>
        <w:tc>
          <w:tcPr>
            <w:tcW w:w="1417"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90</w:t>
            </w:r>
          </w:p>
        </w:tc>
        <w:tc>
          <w:tcPr>
            <w:tcW w:w="1418" w:type="dxa"/>
            <w:vAlign w:val="center"/>
          </w:tcPr>
          <w:p w:rsidR="007E27CB" w:rsidRDefault="008F141F">
            <w:pPr>
              <w:tabs>
                <w:tab w:val="left" w:pos="4962"/>
              </w:tabs>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90</w:t>
            </w:r>
          </w:p>
        </w:tc>
        <w:tc>
          <w:tcPr>
            <w:tcW w:w="6662" w:type="dxa"/>
          </w:tcPr>
          <w:p w:rsidR="007E27CB" w:rsidRDefault="008F141F">
            <w:pPr>
              <w:jc w:val="both"/>
              <w:rPr>
                <w:rFonts w:ascii="Times New Roman" w:hAnsi="Times New Roman" w:cs="Times New Roman"/>
                <w:sz w:val="24"/>
                <w:szCs w:val="24"/>
              </w:rPr>
            </w:pPr>
            <w:r>
              <w:rPr>
                <w:rFonts w:ascii="Times New Roman" w:hAnsi="Times New Roman" w:cs="Times New Roman"/>
                <w:sz w:val="24"/>
                <w:szCs w:val="24"/>
              </w:rPr>
              <w:t>Высокая оценка со стороны граждан достигнута за счет надежности и бесперебойного функционирования информационно-коммуникационных технологий (доступность информационно-коммуникационных технологий) 18 отделов МФЦ и 38 территориально обособленных подразделений</w:t>
            </w:r>
          </w:p>
          <w:p w:rsidR="007E27CB" w:rsidRDefault="008F141F">
            <w:pPr>
              <w:tabs>
                <w:tab w:val="left" w:pos="4962"/>
              </w:tabs>
              <w:jc w:val="both"/>
              <w:rPr>
                <w:rFonts w:ascii="Times New Roman" w:hAnsi="Times New Roman" w:cs="Times New Roman"/>
                <w:sz w:val="24"/>
                <w:szCs w:val="24"/>
              </w:rPr>
            </w:pPr>
            <w:r>
              <w:rPr>
                <w:rFonts w:ascii="Times New Roman" w:hAnsi="Times New Roman" w:cs="Times New Roman"/>
                <w:sz w:val="24"/>
                <w:szCs w:val="24"/>
              </w:rPr>
              <w:t>Для юридических лиц и индивидуальных предпринимателей открыты центры оказания услуг на базе 7 кредитных организаций (предоставлено более 34 000 услуг)</w:t>
            </w:r>
          </w:p>
        </w:tc>
      </w:tr>
      <w:tr w:rsidR="007E27CB">
        <w:tc>
          <w:tcPr>
            <w:tcW w:w="15877" w:type="dxa"/>
            <w:gridSpan w:val="5"/>
          </w:tcPr>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Задача 5.2. Обеспечить эффективное управление региональными финансами и совершенствование межбюджетных отношений, в том числе повысить эффективность управления государственными закупками</w:t>
            </w:r>
          </w:p>
          <w:p w:rsidR="007E27CB" w:rsidRDefault="007E27CB">
            <w:pPr>
              <w:tabs>
                <w:tab w:val="left" w:pos="4962"/>
              </w:tabs>
              <w:jc w:val="center"/>
              <w:rPr>
                <w:rFonts w:ascii="Times New Roman" w:hAnsi="Times New Roman" w:cs="Times New Roman"/>
                <w:sz w:val="24"/>
                <w:szCs w:val="24"/>
              </w:rPr>
            </w:pPr>
          </w:p>
        </w:tc>
      </w:tr>
      <w:tr w:rsidR="007E27CB">
        <w:tc>
          <w:tcPr>
            <w:tcW w:w="4786" w:type="dxa"/>
          </w:tcPr>
          <w:p w:rsidR="007E27CB" w:rsidRDefault="008F141F">
            <w:pPr>
              <w:pStyle w:val="ConsPlusNormal"/>
              <w:tabs>
                <w:tab w:val="left" w:pos="4962"/>
              </w:tabs>
              <w:rPr>
                <w:rFonts w:ascii="Times New Roman" w:hAnsi="Times New Roman" w:cs="Times New Roman"/>
                <w:b w:val="0"/>
                <w:sz w:val="24"/>
                <w:szCs w:val="24"/>
              </w:rPr>
            </w:pPr>
            <w:r>
              <w:rPr>
                <w:rFonts w:ascii="Times New Roman" w:hAnsi="Times New Roman" w:cs="Times New Roman"/>
                <w:b w:val="0"/>
                <w:sz w:val="24"/>
                <w:szCs w:val="24"/>
              </w:rPr>
              <w:t>Рейтинг Томской области среди субъектов Российской Федерации по качеству управления региональными финансами</w:t>
            </w:r>
          </w:p>
        </w:tc>
        <w:tc>
          <w:tcPr>
            <w:tcW w:w="1594" w:type="dxa"/>
            <w:vAlign w:val="center"/>
          </w:tcPr>
          <w:p w:rsidR="007E27CB" w:rsidRDefault="008F141F">
            <w:pPr>
              <w:tabs>
                <w:tab w:val="left" w:pos="4962"/>
              </w:tabs>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II степень</w:t>
            </w:r>
          </w:p>
        </w:tc>
        <w:tc>
          <w:tcPr>
            <w:tcW w:w="1417"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Не ниже II степени</w:t>
            </w:r>
          </w:p>
        </w:tc>
        <w:tc>
          <w:tcPr>
            <w:tcW w:w="1418" w:type="dxa"/>
            <w:vAlign w:val="center"/>
          </w:tcPr>
          <w:p w:rsidR="007E27CB" w:rsidRDefault="008F141F">
            <w:pPr>
              <w:tabs>
                <w:tab w:val="left" w:pos="4962"/>
              </w:tabs>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Не ниже II степени</w:t>
            </w:r>
          </w:p>
        </w:tc>
        <w:tc>
          <w:tcPr>
            <w:tcW w:w="6662" w:type="dxa"/>
          </w:tcPr>
          <w:p w:rsidR="007E27CB" w:rsidRDefault="008F141F">
            <w:pPr>
              <w:tabs>
                <w:tab w:val="left" w:pos="4962"/>
              </w:tabs>
              <w:jc w:val="both"/>
              <w:rPr>
                <w:rFonts w:ascii="Times New Roman" w:hAnsi="Times New Roman" w:cs="Times New Roman"/>
                <w:sz w:val="24"/>
                <w:szCs w:val="24"/>
              </w:rPr>
            </w:pPr>
            <w:r>
              <w:rPr>
                <w:rFonts w:ascii="Times New Roman" w:hAnsi="Times New Roman" w:cs="Times New Roman"/>
                <w:sz w:val="24"/>
                <w:szCs w:val="24"/>
              </w:rPr>
              <w:t>В соответствии с рейтингом Министерства финансов Российской Федерации управление финансами в Томской области осуществлялось на уровне надлежащего качества</w:t>
            </w:r>
          </w:p>
        </w:tc>
      </w:tr>
      <w:tr w:rsidR="007E27CB">
        <w:tc>
          <w:tcPr>
            <w:tcW w:w="4786" w:type="dxa"/>
          </w:tcPr>
          <w:p w:rsidR="007E27CB" w:rsidRDefault="008F141F">
            <w:pPr>
              <w:pStyle w:val="ConsPlusNormal"/>
              <w:tabs>
                <w:tab w:val="left" w:pos="4962"/>
              </w:tabs>
              <w:rPr>
                <w:rFonts w:ascii="Times New Roman" w:hAnsi="Times New Roman" w:cs="Times New Roman"/>
                <w:b w:val="0"/>
                <w:sz w:val="24"/>
                <w:szCs w:val="24"/>
              </w:rPr>
            </w:pPr>
            <w:r>
              <w:rPr>
                <w:rFonts w:ascii="Times New Roman" w:hAnsi="Times New Roman" w:cs="Times New Roman"/>
                <w:b w:val="0"/>
                <w:sz w:val="24"/>
                <w:szCs w:val="24"/>
              </w:rPr>
              <w:t>Доля средств, сэкономленных при осуществлении закупок товаров, работ, услуг для государственных нужд и нужд бюджетных учреждений Томской области, в общем объеме средств, %</w:t>
            </w:r>
          </w:p>
        </w:tc>
        <w:tc>
          <w:tcPr>
            <w:tcW w:w="1594" w:type="dxa"/>
            <w:vAlign w:val="center"/>
          </w:tcPr>
          <w:p w:rsidR="007E27CB" w:rsidRDefault="008F141F">
            <w:pPr>
              <w:tabs>
                <w:tab w:val="left" w:pos="4962"/>
              </w:tabs>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12,3 %</w:t>
            </w:r>
          </w:p>
        </w:tc>
        <w:tc>
          <w:tcPr>
            <w:tcW w:w="1417" w:type="dxa"/>
            <w:vAlign w:val="center"/>
          </w:tcPr>
          <w:p w:rsidR="007E27CB" w:rsidRDefault="007E27CB">
            <w:pPr>
              <w:pStyle w:val="ConsPlusNormal"/>
              <w:tabs>
                <w:tab w:val="left" w:pos="4962"/>
              </w:tabs>
              <w:jc w:val="center"/>
              <w:rPr>
                <w:rFonts w:ascii="Times New Roman" w:hAnsi="Times New Roman" w:cs="Times New Roman"/>
                <w:b w:val="0"/>
                <w:sz w:val="24"/>
                <w:szCs w:val="24"/>
              </w:rPr>
            </w:pPr>
          </w:p>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От 7,5 и выше</w:t>
            </w:r>
          </w:p>
        </w:tc>
        <w:tc>
          <w:tcPr>
            <w:tcW w:w="1418" w:type="dxa"/>
            <w:vAlign w:val="center"/>
          </w:tcPr>
          <w:p w:rsidR="007E27CB" w:rsidRDefault="007E27CB">
            <w:pPr>
              <w:tabs>
                <w:tab w:val="left" w:pos="4962"/>
              </w:tabs>
              <w:jc w:val="center"/>
              <w:rPr>
                <w:rFonts w:ascii="Times New Roman" w:eastAsia="Calibri" w:hAnsi="Times New Roman" w:cs="Times New Roman"/>
                <w:sz w:val="24"/>
                <w:szCs w:val="24"/>
                <w:lang w:eastAsia="ru-RU"/>
              </w:rPr>
            </w:pPr>
          </w:p>
          <w:p w:rsidR="007E27CB" w:rsidRDefault="008F141F">
            <w:pPr>
              <w:tabs>
                <w:tab w:val="left" w:pos="4962"/>
              </w:tabs>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От 7 и выше</w:t>
            </w:r>
          </w:p>
        </w:tc>
        <w:tc>
          <w:tcPr>
            <w:tcW w:w="6662" w:type="dxa"/>
          </w:tcPr>
          <w:p w:rsidR="007E27CB" w:rsidRDefault="008F141F">
            <w:pPr>
              <w:tabs>
                <w:tab w:val="left" w:pos="4962"/>
              </w:tabs>
              <w:jc w:val="both"/>
              <w:rPr>
                <w:rFonts w:ascii="Times New Roman" w:hAnsi="Times New Roman" w:cs="Times New Roman"/>
                <w:sz w:val="24"/>
                <w:szCs w:val="24"/>
              </w:rPr>
            </w:pPr>
            <w:r>
              <w:rPr>
                <w:rFonts w:ascii="Times New Roman" w:hAnsi="Times New Roman" w:cs="Times New Roman"/>
                <w:sz w:val="24"/>
                <w:szCs w:val="24"/>
              </w:rPr>
              <w:t>Достигнутое значение показателя обусловлено мерами по повышению эффективности государственных закупок, в том числе активной практикой проведения совместных закупок, позволивших увеличить экономию бюджетных средств за счет укрупнения лота, и мероприятий по унификации закупочной деятельности (разработка типовых форм документов, выработка единых подходов в работе комиссии и т.д.)</w:t>
            </w:r>
          </w:p>
        </w:tc>
      </w:tr>
      <w:tr w:rsidR="007E27CB">
        <w:tc>
          <w:tcPr>
            <w:tcW w:w="15877" w:type="dxa"/>
            <w:gridSpan w:val="5"/>
          </w:tcPr>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Задача 5.3. Повысить эффективность управления государственным имуществом</w:t>
            </w:r>
          </w:p>
        </w:tc>
      </w:tr>
      <w:tr w:rsidR="007E27CB">
        <w:tc>
          <w:tcPr>
            <w:tcW w:w="4786" w:type="dxa"/>
          </w:tcPr>
          <w:p w:rsidR="007E27CB" w:rsidRDefault="008F141F">
            <w:pPr>
              <w:pStyle w:val="ConsPlusNormal"/>
              <w:tabs>
                <w:tab w:val="left" w:pos="4962"/>
              </w:tabs>
              <w:rPr>
                <w:rFonts w:ascii="Times New Roman" w:hAnsi="Times New Roman" w:cs="Times New Roman"/>
                <w:b w:val="0"/>
                <w:sz w:val="24"/>
                <w:szCs w:val="24"/>
              </w:rPr>
            </w:pPr>
            <w:r>
              <w:rPr>
                <w:rFonts w:ascii="Times New Roman" w:hAnsi="Times New Roman" w:cs="Times New Roman"/>
                <w:b w:val="0"/>
                <w:sz w:val="24"/>
                <w:szCs w:val="24"/>
              </w:rPr>
              <w:t>Доля областного государственного недвижимого имущества (за исключением земельных участков), используемого для выполнения полномочий Томской области, от недвижимого имущества, находящегося в собственности Томской области, %</w:t>
            </w:r>
          </w:p>
        </w:tc>
        <w:tc>
          <w:tcPr>
            <w:tcW w:w="1594" w:type="dxa"/>
            <w:vAlign w:val="center"/>
          </w:tcPr>
          <w:p w:rsidR="007E27CB" w:rsidRDefault="008F141F">
            <w:pPr>
              <w:tabs>
                <w:tab w:val="left" w:pos="4962"/>
              </w:tabs>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92</w:t>
            </w:r>
          </w:p>
        </w:tc>
        <w:tc>
          <w:tcPr>
            <w:tcW w:w="1417" w:type="dxa"/>
            <w:vAlign w:val="center"/>
          </w:tcPr>
          <w:p w:rsidR="007E27CB" w:rsidRDefault="008F141F">
            <w:pPr>
              <w:pStyle w:val="ConsPlusNormal"/>
              <w:tabs>
                <w:tab w:val="left" w:pos="4962"/>
              </w:tabs>
              <w:jc w:val="center"/>
              <w:rPr>
                <w:rFonts w:ascii="Times New Roman" w:hAnsi="Times New Roman" w:cs="Times New Roman"/>
                <w:b w:val="0"/>
                <w:sz w:val="24"/>
                <w:szCs w:val="24"/>
              </w:rPr>
            </w:pPr>
            <w:r>
              <w:rPr>
                <w:rFonts w:ascii="Times New Roman" w:hAnsi="Times New Roman" w:cs="Times New Roman"/>
                <w:b w:val="0"/>
                <w:sz w:val="24"/>
                <w:szCs w:val="24"/>
              </w:rPr>
              <w:t>90</w:t>
            </w:r>
          </w:p>
        </w:tc>
        <w:tc>
          <w:tcPr>
            <w:tcW w:w="1418" w:type="dxa"/>
            <w:vAlign w:val="center"/>
          </w:tcPr>
          <w:p w:rsidR="007E27CB" w:rsidRDefault="008F141F">
            <w:pPr>
              <w:tabs>
                <w:tab w:val="left" w:pos="4962"/>
              </w:tabs>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90</w:t>
            </w:r>
          </w:p>
        </w:tc>
        <w:tc>
          <w:tcPr>
            <w:tcW w:w="6662" w:type="dxa"/>
          </w:tcPr>
          <w:p w:rsidR="007E27CB" w:rsidRDefault="008F141F">
            <w:pPr>
              <w:tabs>
                <w:tab w:val="left" w:pos="4962"/>
              </w:tabs>
              <w:jc w:val="both"/>
              <w:rPr>
                <w:rFonts w:ascii="Times New Roman" w:hAnsi="Times New Roman" w:cs="Times New Roman"/>
                <w:sz w:val="24"/>
                <w:szCs w:val="24"/>
              </w:rPr>
            </w:pPr>
            <w:r>
              <w:rPr>
                <w:rFonts w:ascii="Times New Roman" w:hAnsi="Times New Roman" w:cs="Times New Roman"/>
                <w:sz w:val="24"/>
                <w:szCs w:val="24"/>
              </w:rPr>
              <w:t>Для достижения планового значения показателя проводится работа, направленная на популяризацию объектов государственной собственности Томской области с целью вовлечения их в хозяйственный оборот. Кроме того, на постоянной основе проводятся мероприятия по обеспечению сохранения областного государственного имущества</w:t>
            </w:r>
          </w:p>
        </w:tc>
      </w:tr>
      <w:tr w:rsidR="007E27CB">
        <w:tc>
          <w:tcPr>
            <w:tcW w:w="15877" w:type="dxa"/>
            <w:gridSpan w:val="5"/>
          </w:tcPr>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Задача 5.4. Обеспечить повышение эффективности регионального и муниципального управления</w:t>
            </w:r>
          </w:p>
        </w:tc>
      </w:tr>
      <w:tr w:rsidR="007E27CB">
        <w:tc>
          <w:tcPr>
            <w:tcW w:w="4786" w:type="dxa"/>
          </w:tcPr>
          <w:p w:rsidR="007E27CB" w:rsidRDefault="008F141F">
            <w:pPr>
              <w:pStyle w:val="ConsPlusNormal"/>
              <w:tabs>
                <w:tab w:val="left" w:pos="4962"/>
              </w:tabs>
              <w:rPr>
                <w:rFonts w:ascii="Times New Roman" w:hAnsi="Times New Roman" w:cs="Times New Roman"/>
                <w:b w:val="0"/>
                <w:sz w:val="24"/>
                <w:szCs w:val="24"/>
              </w:rPr>
            </w:pPr>
            <w:r>
              <w:rPr>
                <w:rFonts w:ascii="Times New Roman" w:hAnsi="Times New Roman" w:cs="Times New Roman"/>
                <w:b w:val="0"/>
                <w:sz w:val="24"/>
                <w:szCs w:val="24"/>
              </w:rPr>
              <w:t>Доля населения, удовлетворенного деятельностью государственных органов исполнительной власти региона, % от числа опрошенных</w:t>
            </w:r>
          </w:p>
        </w:tc>
        <w:tc>
          <w:tcPr>
            <w:tcW w:w="1594" w:type="dxa"/>
            <w:vAlign w:val="center"/>
          </w:tcPr>
          <w:p w:rsidR="007E27CB" w:rsidRDefault="008F141F">
            <w:pPr>
              <w:tabs>
                <w:tab w:val="left" w:pos="4962"/>
              </w:tabs>
              <w:autoSpaceDE w:val="0"/>
              <w:autoSpaceDN w:val="0"/>
              <w:adjustRightInd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p>
        </w:tc>
        <w:tc>
          <w:tcPr>
            <w:tcW w:w="1417" w:type="dxa"/>
            <w:vAlign w:val="center"/>
          </w:tcPr>
          <w:p w:rsidR="007E27CB" w:rsidRDefault="008F141F">
            <w:pPr>
              <w:tabs>
                <w:tab w:val="left" w:pos="4962"/>
              </w:tabs>
              <w:jc w:val="center"/>
              <w:rPr>
                <w:rFonts w:ascii="Times New Roman" w:hAnsi="Times New Roman" w:cs="Times New Roman"/>
                <w:sz w:val="24"/>
                <w:szCs w:val="24"/>
              </w:rPr>
            </w:pPr>
            <w:r>
              <w:rPr>
                <w:rFonts w:ascii="Times New Roman" w:hAnsi="Times New Roman" w:cs="Times New Roman"/>
                <w:sz w:val="24"/>
                <w:szCs w:val="24"/>
              </w:rPr>
              <w:t>не менее 40</w:t>
            </w:r>
          </w:p>
        </w:tc>
        <w:tc>
          <w:tcPr>
            <w:tcW w:w="1418" w:type="dxa"/>
            <w:vAlign w:val="center"/>
          </w:tcPr>
          <w:p w:rsidR="007E27CB" w:rsidRDefault="008F141F">
            <w:pPr>
              <w:tabs>
                <w:tab w:val="left" w:pos="4962"/>
              </w:tabs>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37</w:t>
            </w:r>
          </w:p>
        </w:tc>
        <w:tc>
          <w:tcPr>
            <w:tcW w:w="6662" w:type="dxa"/>
          </w:tcPr>
          <w:p w:rsidR="007E27CB" w:rsidRDefault="008F141F">
            <w:pPr>
              <w:autoSpaceDE w:val="0"/>
              <w:autoSpaceDN w:val="0"/>
              <w:jc w:val="both"/>
              <w:rPr>
                <w:rFonts w:ascii="Times New Roman" w:hAnsi="Times New Roman" w:cs="Times New Roman"/>
                <w:sz w:val="24"/>
                <w:szCs w:val="24"/>
              </w:rPr>
            </w:pPr>
            <w:r>
              <w:rPr>
                <w:rFonts w:ascii="Times New Roman" w:hAnsi="Times New Roman" w:cs="Times New Roman"/>
                <w:sz w:val="24"/>
                <w:szCs w:val="24"/>
              </w:rPr>
              <w:t>Данный показатель является агрегированным и формируется обобщением нескольких компонентов: оценки качества предоставляемых услуг в сферах здравоохранения, образования, создания условий для занятия физической культурой и спортом, оказания жилищно-коммунальных услуг, обеспечения безопасности от характерных для данного субъекта Российской Федерации чрезвычайных ситуаций, а также из оценки деятельности руководителя исполнительной власти региона и рассчитывается в рамках социологического исследования</w:t>
            </w:r>
          </w:p>
        </w:tc>
      </w:tr>
    </w:tbl>
    <w:p w:rsidR="007E27CB" w:rsidRDefault="007E27CB">
      <w:pPr>
        <w:tabs>
          <w:tab w:val="left" w:pos="993"/>
          <w:tab w:val="left" w:pos="4962"/>
        </w:tabs>
        <w:spacing w:after="0" w:line="240" w:lineRule="auto"/>
        <w:ind w:firstLine="709"/>
        <w:jc w:val="right"/>
        <w:rPr>
          <w:rFonts w:eastAsia="Calibri"/>
          <w:b/>
          <w:color w:val="FF0000"/>
          <w:sz w:val="24"/>
          <w:szCs w:val="24"/>
        </w:rPr>
        <w:sectPr w:rsidR="007E27CB">
          <w:pgSz w:w="16838" w:h="11906" w:orient="landscape"/>
          <w:pgMar w:top="1701" w:right="1134" w:bottom="851" w:left="1134" w:header="709" w:footer="289" w:gutter="0"/>
          <w:cols w:space="708"/>
          <w:docGrid w:linePitch="360"/>
        </w:sectPr>
      </w:pPr>
    </w:p>
    <w:p w:rsidR="007E27CB" w:rsidRDefault="008F141F">
      <w:pPr>
        <w:tabs>
          <w:tab w:val="left" w:pos="993"/>
        </w:tabs>
        <w:spacing w:after="0" w:line="240" w:lineRule="auto"/>
        <w:ind w:left="-1134"/>
        <w:jc w:val="center"/>
        <w:rPr>
          <w:b/>
          <w:sz w:val="24"/>
          <w:szCs w:val="24"/>
        </w:rPr>
      </w:pPr>
      <w:r>
        <w:rPr>
          <w:b/>
          <w:sz w:val="24"/>
          <w:szCs w:val="24"/>
        </w:rPr>
        <w:t>Приложение №3. Мониторинг реализации прогноза социально-экономического развития Томской области на долгосрочный и среднесрочный периоды</w:t>
      </w:r>
    </w:p>
    <w:p w:rsidR="007E27CB" w:rsidRDefault="007E27CB">
      <w:pPr>
        <w:tabs>
          <w:tab w:val="left" w:pos="993"/>
        </w:tabs>
        <w:spacing w:after="0" w:line="240" w:lineRule="auto"/>
        <w:ind w:left="-1134"/>
        <w:rPr>
          <w:b/>
          <w:sz w:val="24"/>
          <w:szCs w:val="24"/>
        </w:rPr>
      </w:pPr>
    </w:p>
    <w:tbl>
      <w:tblPr>
        <w:tblW w:w="10632"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1418"/>
        <w:gridCol w:w="1417"/>
        <w:gridCol w:w="1134"/>
        <w:gridCol w:w="4253"/>
      </w:tblGrid>
      <w:tr w:rsidR="007E27CB">
        <w:trPr>
          <w:trHeight w:val="662"/>
        </w:trPr>
        <w:tc>
          <w:tcPr>
            <w:tcW w:w="2410" w:type="dxa"/>
            <w:shd w:val="clear" w:color="auto" w:fill="F2F2F2" w:themeFill="background1" w:themeFillShade="F2"/>
            <w:vAlign w:val="center"/>
          </w:tcPr>
          <w:p w:rsidR="007E27CB" w:rsidRDefault="008F141F">
            <w:pPr>
              <w:spacing w:after="0" w:line="240" w:lineRule="auto"/>
              <w:jc w:val="center"/>
              <w:rPr>
                <w:sz w:val="24"/>
                <w:szCs w:val="24"/>
              </w:rPr>
            </w:pPr>
            <w:r>
              <w:rPr>
                <w:sz w:val="24"/>
                <w:szCs w:val="24"/>
              </w:rPr>
              <w:t>Наименование</w:t>
            </w:r>
          </w:p>
        </w:tc>
        <w:tc>
          <w:tcPr>
            <w:tcW w:w="1418" w:type="dxa"/>
            <w:shd w:val="clear" w:color="auto" w:fill="F2F2F2" w:themeFill="background1" w:themeFillShade="F2"/>
            <w:vAlign w:val="center"/>
          </w:tcPr>
          <w:p w:rsidR="007E27CB" w:rsidRDefault="008F141F">
            <w:pPr>
              <w:spacing w:after="0" w:line="240" w:lineRule="auto"/>
              <w:jc w:val="center"/>
              <w:rPr>
                <w:sz w:val="24"/>
                <w:szCs w:val="24"/>
              </w:rPr>
            </w:pPr>
            <w:r>
              <w:rPr>
                <w:sz w:val="24"/>
                <w:szCs w:val="24"/>
              </w:rPr>
              <w:t>Сценарий</w:t>
            </w:r>
          </w:p>
        </w:tc>
        <w:tc>
          <w:tcPr>
            <w:tcW w:w="1417" w:type="dxa"/>
            <w:shd w:val="clear" w:color="auto" w:fill="F2F2F2" w:themeFill="background1" w:themeFillShade="F2"/>
            <w:vAlign w:val="center"/>
          </w:tcPr>
          <w:p w:rsidR="007E27CB" w:rsidRDefault="008F141F">
            <w:pPr>
              <w:spacing w:after="0" w:line="240" w:lineRule="auto"/>
              <w:jc w:val="center"/>
              <w:rPr>
                <w:sz w:val="24"/>
                <w:szCs w:val="24"/>
              </w:rPr>
            </w:pPr>
            <w:r>
              <w:rPr>
                <w:sz w:val="24"/>
                <w:szCs w:val="24"/>
                <w:lang w:val="en-US"/>
              </w:rPr>
              <w:t xml:space="preserve">2019 </w:t>
            </w:r>
            <w:r>
              <w:rPr>
                <w:sz w:val="24"/>
                <w:szCs w:val="24"/>
              </w:rPr>
              <w:t>год</w:t>
            </w:r>
          </w:p>
          <w:p w:rsidR="007E27CB" w:rsidRDefault="008F141F">
            <w:pPr>
              <w:spacing w:after="0" w:line="240" w:lineRule="auto"/>
              <w:jc w:val="center"/>
              <w:rPr>
                <w:sz w:val="24"/>
                <w:szCs w:val="24"/>
              </w:rPr>
            </w:pPr>
            <w:r>
              <w:rPr>
                <w:sz w:val="24"/>
                <w:szCs w:val="24"/>
              </w:rPr>
              <w:t>ПРОГНОЗ</w:t>
            </w:r>
          </w:p>
        </w:tc>
        <w:tc>
          <w:tcPr>
            <w:tcW w:w="1134" w:type="dxa"/>
            <w:shd w:val="clear" w:color="auto" w:fill="F2F2F2" w:themeFill="background1" w:themeFillShade="F2"/>
            <w:vAlign w:val="center"/>
          </w:tcPr>
          <w:p w:rsidR="007E27CB" w:rsidRDefault="008F141F">
            <w:pPr>
              <w:spacing w:after="0" w:line="240" w:lineRule="auto"/>
              <w:jc w:val="center"/>
              <w:rPr>
                <w:sz w:val="24"/>
                <w:szCs w:val="24"/>
              </w:rPr>
            </w:pPr>
            <w:r>
              <w:rPr>
                <w:sz w:val="24"/>
                <w:szCs w:val="24"/>
              </w:rPr>
              <w:t>201</w:t>
            </w:r>
            <w:r>
              <w:rPr>
                <w:sz w:val="24"/>
                <w:szCs w:val="24"/>
                <w:lang w:val="en-US"/>
              </w:rPr>
              <w:t>9</w:t>
            </w:r>
            <w:r>
              <w:rPr>
                <w:sz w:val="24"/>
                <w:szCs w:val="24"/>
              </w:rPr>
              <w:t xml:space="preserve"> год</w:t>
            </w:r>
          </w:p>
          <w:p w:rsidR="007E27CB" w:rsidRDefault="008F141F">
            <w:pPr>
              <w:spacing w:after="0" w:line="240" w:lineRule="auto"/>
              <w:jc w:val="center"/>
              <w:rPr>
                <w:sz w:val="24"/>
                <w:szCs w:val="24"/>
              </w:rPr>
            </w:pPr>
            <w:r>
              <w:rPr>
                <w:sz w:val="24"/>
                <w:szCs w:val="24"/>
              </w:rPr>
              <w:t>ФАКТ</w:t>
            </w:r>
          </w:p>
        </w:tc>
        <w:tc>
          <w:tcPr>
            <w:tcW w:w="4253" w:type="dxa"/>
            <w:shd w:val="clear" w:color="auto" w:fill="F2F2F2" w:themeFill="background1" w:themeFillShade="F2"/>
            <w:vAlign w:val="center"/>
          </w:tcPr>
          <w:p w:rsidR="007E27CB" w:rsidRDefault="008F141F">
            <w:pPr>
              <w:spacing w:after="0" w:line="240" w:lineRule="auto"/>
              <w:jc w:val="center"/>
              <w:rPr>
                <w:sz w:val="24"/>
                <w:szCs w:val="24"/>
              </w:rPr>
            </w:pPr>
            <w:r>
              <w:rPr>
                <w:sz w:val="24"/>
                <w:szCs w:val="24"/>
              </w:rPr>
              <w:t>Примечание</w:t>
            </w:r>
          </w:p>
        </w:tc>
      </w:tr>
      <w:tr w:rsidR="007E27CB">
        <w:trPr>
          <w:trHeight w:val="414"/>
        </w:trPr>
        <w:tc>
          <w:tcPr>
            <w:tcW w:w="2410" w:type="dxa"/>
            <w:vMerge w:val="restart"/>
            <w:shd w:val="clear" w:color="auto" w:fill="auto"/>
            <w:vAlign w:val="center"/>
          </w:tcPr>
          <w:p w:rsidR="007E27CB" w:rsidRDefault="008F141F">
            <w:pPr>
              <w:spacing w:after="0" w:line="240" w:lineRule="auto"/>
              <w:rPr>
                <w:sz w:val="24"/>
                <w:szCs w:val="24"/>
              </w:rPr>
            </w:pPr>
            <w:r>
              <w:rPr>
                <w:sz w:val="24"/>
                <w:szCs w:val="24"/>
              </w:rPr>
              <w:t>Валовой региональный продукт в сопоставимых ценах, в % к пред. году</w:t>
            </w:r>
          </w:p>
        </w:tc>
        <w:tc>
          <w:tcPr>
            <w:tcW w:w="1418" w:type="dxa"/>
            <w:shd w:val="clear" w:color="auto" w:fill="auto"/>
            <w:vAlign w:val="center"/>
          </w:tcPr>
          <w:p w:rsidR="007E27CB" w:rsidRDefault="008F141F">
            <w:pPr>
              <w:spacing w:after="0" w:line="240" w:lineRule="auto"/>
              <w:jc w:val="center"/>
              <w:rPr>
                <w:sz w:val="24"/>
                <w:szCs w:val="24"/>
              </w:rPr>
            </w:pPr>
            <w:r>
              <w:rPr>
                <w:sz w:val="24"/>
                <w:szCs w:val="24"/>
              </w:rPr>
              <w:t>консерва-тивный</w:t>
            </w:r>
          </w:p>
        </w:tc>
        <w:tc>
          <w:tcPr>
            <w:tcW w:w="1417" w:type="dxa"/>
            <w:vAlign w:val="center"/>
          </w:tcPr>
          <w:p w:rsidR="007E27CB" w:rsidRDefault="008F141F">
            <w:pPr>
              <w:spacing w:after="0" w:line="240" w:lineRule="auto"/>
              <w:jc w:val="center"/>
              <w:rPr>
                <w:sz w:val="24"/>
                <w:szCs w:val="24"/>
              </w:rPr>
            </w:pPr>
            <w:r>
              <w:rPr>
                <w:sz w:val="24"/>
                <w:szCs w:val="24"/>
              </w:rPr>
              <w:t>100,2</w:t>
            </w:r>
          </w:p>
        </w:tc>
        <w:tc>
          <w:tcPr>
            <w:tcW w:w="1134" w:type="dxa"/>
            <w:vMerge w:val="restart"/>
            <w:vAlign w:val="center"/>
          </w:tcPr>
          <w:p w:rsidR="007E27CB" w:rsidRDefault="008F141F">
            <w:pPr>
              <w:spacing w:after="0" w:line="240" w:lineRule="auto"/>
              <w:jc w:val="center"/>
              <w:rPr>
                <w:sz w:val="24"/>
                <w:szCs w:val="24"/>
                <w:vertAlign w:val="superscript"/>
              </w:rPr>
            </w:pPr>
            <w:r>
              <w:rPr>
                <w:sz w:val="24"/>
                <w:szCs w:val="24"/>
              </w:rPr>
              <w:t>101,4</w:t>
            </w:r>
            <w:r>
              <w:rPr>
                <w:sz w:val="24"/>
                <w:szCs w:val="24"/>
                <w:vertAlign w:val="superscript"/>
              </w:rPr>
              <w:t>1</w:t>
            </w:r>
          </w:p>
        </w:tc>
        <w:tc>
          <w:tcPr>
            <w:tcW w:w="4253" w:type="dxa"/>
            <w:vMerge w:val="restart"/>
            <w:vAlign w:val="center"/>
          </w:tcPr>
          <w:p w:rsidR="007E27CB" w:rsidRDefault="008F141F">
            <w:pPr>
              <w:spacing w:after="0" w:line="240" w:lineRule="auto"/>
              <w:rPr>
                <w:sz w:val="24"/>
                <w:szCs w:val="24"/>
              </w:rPr>
            </w:pPr>
            <w:r>
              <w:rPr>
                <w:sz w:val="24"/>
                <w:szCs w:val="24"/>
              </w:rPr>
              <w:t xml:space="preserve">Показатель перевыполнен на 0,1 п.п. за счет превышения планового значения  индекса производства обрабатывающих отраслей промышленности, увеличения объемов строительства и розничной торговли    </w:t>
            </w:r>
          </w:p>
        </w:tc>
      </w:tr>
      <w:tr w:rsidR="007E27CB">
        <w:trPr>
          <w:trHeight w:val="414"/>
        </w:trPr>
        <w:tc>
          <w:tcPr>
            <w:tcW w:w="2410" w:type="dxa"/>
            <w:vMerge/>
            <w:shd w:val="clear" w:color="auto" w:fill="auto"/>
            <w:vAlign w:val="center"/>
          </w:tcPr>
          <w:p w:rsidR="007E27CB" w:rsidRDefault="007E27CB">
            <w:pPr>
              <w:spacing w:after="0" w:line="240" w:lineRule="auto"/>
              <w:rPr>
                <w:sz w:val="24"/>
                <w:szCs w:val="24"/>
              </w:rPr>
            </w:pPr>
          </w:p>
        </w:tc>
        <w:tc>
          <w:tcPr>
            <w:tcW w:w="1418" w:type="dxa"/>
            <w:shd w:val="clear" w:color="auto" w:fill="auto"/>
            <w:vAlign w:val="center"/>
          </w:tcPr>
          <w:p w:rsidR="007E27CB" w:rsidRDefault="008F141F">
            <w:pPr>
              <w:spacing w:after="0" w:line="240" w:lineRule="auto"/>
              <w:jc w:val="center"/>
              <w:rPr>
                <w:sz w:val="24"/>
                <w:szCs w:val="24"/>
              </w:rPr>
            </w:pPr>
            <w:r>
              <w:rPr>
                <w:sz w:val="24"/>
                <w:szCs w:val="24"/>
              </w:rPr>
              <w:t>базовый</w:t>
            </w:r>
          </w:p>
        </w:tc>
        <w:tc>
          <w:tcPr>
            <w:tcW w:w="1417" w:type="dxa"/>
            <w:vAlign w:val="center"/>
          </w:tcPr>
          <w:p w:rsidR="007E27CB" w:rsidRDefault="008F141F">
            <w:pPr>
              <w:spacing w:after="0" w:line="240" w:lineRule="auto"/>
              <w:jc w:val="center"/>
              <w:rPr>
                <w:sz w:val="24"/>
                <w:szCs w:val="24"/>
              </w:rPr>
            </w:pPr>
            <w:r>
              <w:rPr>
                <w:sz w:val="24"/>
                <w:szCs w:val="24"/>
              </w:rPr>
              <w:t>101,3</w:t>
            </w:r>
          </w:p>
        </w:tc>
        <w:tc>
          <w:tcPr>
            <w:tcW w:w="1134" w:type="dxa"/>
            <w:vMerge/>
            <w:vAlign w:val="center"/>
          </w:tcPr>
          <w:p w:rsidR="007E27CB" w:rsidRDefault="007E27CB">
            <w:pPr>
              <w:spacing w:after="0" w:line="240" w:lineRule="auto"/>
              <w:jc w:val="center"/>
              <w:rPr>
                <w:sz w:val="24"/>
                <w:szCs w:val="24"/>
              </w:rPr>
            </w:pPr>
          </w:p>
        </w:tc>
        <w:tc>
          <w:tcPr>
            <w:tcW w:w="4253" w:type="dxa"/>
            <w:vMerge/>
            <w:vAlign w:val="center"/>
          </w:tcPr>
          <w:p w:rsidR="007E27CB" w:rsidRDefault="007E27CB">
            <w:pPr>
              <w:spacing w:after="0" w:line="240" w:lineRule="auto"/>
              <w:rPr>
                <w:sz w:val="24"/>
                <w:szCs w:val="24"/>
              </w:rPr>
            </w:pPr>
          </w:p>
        </w:tc>
      </w:tr>
      <w:tr w:rsidR="007E27CB">
        <w:trPr>
          <w:trHeight w:val="430"/>
        </w:trPr>
        <w:tc>
          <w:tcPr>
            <w:tcW w:w="2410" w:type="dxa"/>
            <w:vMerge/>
            <w:shd w:val="clear" w:color="auto" w:fill="auto"/>
          </w:tcPr>
          <w:p w:rsidR="007E27CB" w:rsidRDefault="007E27CB">
            <w:pPr>
              <w:spacing w:after="0" w:line="240" w:lineRule="auto"/>
              <w:rPr>
                <w:sz w:val="24"/>
                <w:szCs w:val="24"/>
              </w:rPr>
            </w:pPr>
          </w:p>
        </w:tc>
        <w:tc>
          <w:tcPr>
            <w:tcW w:w="1418" w:type="dxa"/>
            <w:shd w:val="clear" w:color="auto" w:fill="auto"/>
            <w:vAlign w:val="center"/>
          </w:tcPr>
          <w:p w:rsidR="007E27CB" w:rsidRDefault="008F141F">
            <w:pPr>
              <w:spacing w:after="0" w:line="240" w:lineRule="auto"/>
              <w:jc w:val="center"/>
              <w:rPr>
                <w:sz w:val="24"/>
                <w:szCs w:val="24"/>
              </w:rPr>
            </w:pPr>
            <w:r>
              <w:rPr>
                <w:sz w:val="24"/>
                <w:szCs w:val="24"/>
              </w:rPr>
              <w:t>целевой</w:t>
            </w:r>
          </w:p>
        </w:tc>
        <w:tc>
          <w:tcPr>
            <w:tcW w:w="1417" w:type="dxa"/>
            <w:vAlign w:val="center"/>
          </w:tcPr>
          <w:p w:rsidR="007E27CB" w:rsidRDefault="008F141F">
            <w:pPr>
              <w:spacing w:after="0" w:line="240" w:lineRule="auto"/>
              <w:jc w:val="center"/>
              <w:rPr>
                <w:sz w:val="24"/>
                <w:szCs w:val="24"/>
              </w:rPr>
            </w:pPr>
            <w:r>
              <w:rPr>
                <w:sz w:val="24"/>
                <w:szCs w:val="24"/>
              </w:rPr>
              <w:t>102,4</w:t>
            </w:r>
          </w:p>
        </w:tc>
        <w:tc>
          <w:tcPr>
            <w:tcW w:w="1134" w:type="dxa"/>
            <w:vMerge/>
            <w:vAlign w:val="center"/>
          </w:tcPr>
          <w:p w:rsidR="007E27CB" w:rsidRDefault="007E27CB">
            <w:pPr>
              <w:spacing w:after="0" w:line="240" w:lineRule="auto"/>
              <w:jc w:val="center"/>
              <w:rPr>
                <w:sz w:val="24"/>
                <w:szCs w:val="24"/>
                <w:vertAlign w:val="superscript"/>
              </w:rPr>
            </w:pPr>
          </w:p>
        </w:tc>
        <w:tc>
          <w:tcPr>
            <w:tcW w:w="4253" w:type="dxa"/>
            <w:vMerge/>
            <w:vAlign w:val="center"/>
          </w:tcPr>
          <w:p w:rsidR="007E27CB" w:rsidRDefault="007E27CB">
            <w:pPr>
              <w:spacing w:after="0" w:line="240" w:lineRule="auto"/>
              <w:jc w:val="center"/>
              <w:rPr>
                <w:sz w:val="24"/>
                <w:szCs w:val="24"/>
              </w:rPr>
            </w:pPr>
          </w:p>
        </w:tc>
      </w:tr>
      <w:tr w:rsidR="007E27CB">
        <w:trPr>
          <w:trHeight w:val="20"/>
        </w:trPr>
        <w:tc>
          <w:tcPr>
            <w:tcW w:w="10632" w:type="dxa"/>
            <w:gridSpan w:val="5"/>
            <w:shd w:val="clear" w:color="auto" w:fill="F2F2F2" w:themeFill="background1" w:themeFillShade="F2"/>
          </w:tcPr>
          <w:p w:rsidR="007E27CB" w:rsidRDefault="007E27CB">
            <w:pPr>
              <w:spacing w:after="0" w:line="240" w:lineRule="auto"/>
              <w:jc w:val="center"/>
              <w:rPr>
                <w:b/>
                <w:sz w:val="24"/>
                <w:szCs w:val="24"/>
              </w:rPr>
            </w:pPr>
          </w:p>
        </w:tc>
      </w:tr>
      <w:tr w:rsidR="007E27CB">
        <w:trPr>
          <w:trHeight w:val="1072"/>
        </w:trPr>
        <w:tc>
          <w:tcPr>
            <w:tcW w:w="2410" w:type="dxa"/>
            <w:vMerge w:val="restart"/>
            <w:shd w:val="clear" w:color="auto" w:fill="auto"/>
            <w:vAlign w:val="center"/>
          </w:tcPr>
          <w:p w:rsidR="007E27CB" w:rsidRDefault="008F141F">
            <w:pPr>
              <w:spacing w:after="0" w:line="240" w:lineRule="auto"/>
              <w:rPr>
                <w:sz w:val="24"/>
                <w:szCs w:val="24"/>
              </w:rPr>
            </w:pPr>
            <w:r>
              <w:rPr>
                <w:sz w:val="24"/>
                <w:szCs w:val="24"/>
              </w:rPr>
              <w:t>Индекс промышленного производства, в % к пред. году</w:t>
            </w:r>
          </w:p>
        </w:tc>
        <w:tc>
          <w:tcPr>
            <w:tcW w:w="1418" w:type="dxa"/>
            <w:shd w:val="clear" w:color="auto" w:fill="auto"/>
            <w:vAlign w:val="center"/>
          </w:tcPr>
          <w:p w:rsidR="007E27CB" w:rsidRDefault="008F141F">
            <w:pPr>
              <w:spacing w:after="0" w:line="240" w:lineRule="auto"/>
              <w:jc w:val="center"/>
              <w:rPr>
                <w:sz w:val="24"/>
                <w:szCs w:val="24"/>
              </w:rPr>
            </w:pPr>
            <w:r>
              <w:rPr>
                <w:sz w:val="24"/>
                <w:szCs w:val="24"/>
              </w:rPr>
              <w:t>консерва-тивный</w:t>
            </w:r>
          </w:p>
        </w:tc>
        <w:tc>
          <w:tcPr>
            <w:tcW w:w="1417" w:type="dxa"/>
            <w:vAlign w:val="center"/>
          </w:tcPr>
          <w:p w:rsidR="007E27CB" w:rsidRDefault="008F141F">
            <w:pPr>
              <w:spacing w:after="0" w:line="240" w:lineRule="auto"/>
              <w:jc w:val="center"/>
              <w:rPr>
                <w:sz w:val="24"/>
                <w:szCs w:val="24"/>
              </w:rPr>
            </w:pPr>
            <w:r>
              <w:rPr>
                <w:sz w:val="24"/>
                <w:szCs w:val="24"/>
              </w:rPr>
              <w:t>98,3</w:t>
            </w:r>
          </w:p>
        </w:tc>
        <w:tc>
          <w:tcPr>
            <w:tcW w:w="1134" w:type="dxa"/>
            <w:vMerge w:val="restart"/>
            <w:vAlign w:val="center"/>
          </w:tcPr>
          <w:p w:rsidR="007E27CB" w:rsidRDefault="008F141F">
            <w:pPr>
              <w:spacing w:after="0" w:line="240" w:lineRule="auto"/>
              <w:jc w:val="center"/>
              <w:rPr>
                <w:sz w:val="24"/>
                <w:szCs w:val="24"/>
              </w:rPr>
            </w:pPr>
            <w:r>
              <w:rPr>
                <w:sz w:val="24"/>
                <w:szCs w:val="24"/>
              </w:rPr>
              <w:t>100,0</w:t>
            </w:r>
          </w:p>
        </w:tc>
        <w:tc>
          <w:tcPr>
            <w:tcW w:w="4253" w:type="dxa"/>
            <w:vMerge w:val="restart"/>
            <w:vAlign w:val="center"/>
          </w:tcPr>
          <w:p w:rsidR="007E27CB" w:rsidRDefault="008F141F">
            <w:pPr>
              <w:spacing w:after="0" w:line="240" w:lineRule="auto"/>
              <w:rPr>
                <w:sz w:val="24"/>
                <w:szCs w:val="24"/>
              </w:rPr>
            </w:pPr>
            <w:r>
              <w:rPr>
                <w:sz w:val="24"/>
                <w:szCs w:val="24"/>
              </w:rPr>
              <w:t>Отклонение от прогнозного значения на 0,1 п.п. обусловлено снижением добычи полезных ископаемых по итогам 2019 года на 4,6 п.п. вместо прогнозируемых 1 п.п.</w:t>
            </w:r>
          </w:p>
          <w:p w:rsidR="007E27CB" w:rsidRDefault="008F141F">
            <w:pPr>
              <w:spacing w:after="0" w:line="240" w:lineRule="auto"/>
              <w:rPr>
                <w:sz w:val="24"/>
                <w:szCs w:val="24"/>
              </w:rPr>
            </w:pPr>
            <w:r>
              <w:rPr>
                <w:sz w:val="24"/>
                <w:szCs w:val="24"/>
              </w:rPr>
              <w:t>Вместе с тем рост обрабатывающих производств составил по итогам 2019 года 103,7%, что обусловило сохранение индекса промышленного производства на уровне прошлого года  (100%)</w:t>
            </w:r>
          </w:p>
        </w:tc>
      </w:tr>
      <w:tr w:rsidR="007E27CB">
        <w:trPr>
          <w:trHeight w:val="1072"/>
        </w:trPr>
        <w:tc>
          <w:tcPr>
            <w:tcW w:w="2410" w:type="dxa"/>
            <w:vMerge/>
            <w:shd w:val="clear" w:color="auto" w:fill="auto"/>
            <w:vAlign w:val="center"/>
          </w:tcPr>
          <w:p w:rsidR="007E27CB" w:rsidRDefault="007E27CB">
            <w:pPr>
              <w:spacing w:after="0" w:line="240" w:lineRule="auto"/>
              <w:rPr>
                <w:sz w:val="24"/>
                <w:szCs w:val="24"/>
              </w:rPr>
            </w:pPr>
          </w:p>
        </w:tc>
        <w:tc>
          <w:tcPr>
            <w:tcW w:w="1418" w:type="dxa"/>
            <w:shd w:val="clear" w:color="auto" w:fill="auto"/>
            <w:vAlign w:val="center"/>
          </w:tcPr>
          <w:p w:rsidR="007E27CB" w:rsidRDefault="008F141F">
            <w:pPr>
              <w:spacing w:after="0" w:line="240" w:lineRule="auto"/>
              <w:jc w:val="center"/>
              <w:rPr>
                <w:sz w:val="24"/>
                <w:szCs w:val="24"/>
              </w:rPr>
            </w:pPr>
            <w:r>
              <w:rPr>
                <w:sz w:val="24"/>
                <w:szCs w:val="24"/>
              </w:rPr>
              <w:t>базовый</w:t>
            </w:r>
          </w:p>
        </w:tc>
        <w:tc>
          <w:tcPr>
            <w:tcW w:w="1417" w:type="dxa"/>
            <w:vAlign w:val="center"/>
          </w:tcPr>
          <w:p w:rsidR="007E27CB" w:rsidRDefault="008F141F">
            <w:pPr>
              <w:spacing w:after="0" w:line="240" w:lineRule="auto"/>
              <w:jc w:val="center"/>
              <w:rPr>
                <w:sz w:val="24"/>
                <w:szCs w:val="24"/>
              </w:rPr>
            </w:pPr>
            <w:r>
              <w:rPr>
                <w:sz w:val="24"/>
                <w:szCs w:val="24"/>
              </w:rPr>
              <w:t>100,1</w:t>
            </w:r>
          </w:p>
        </w:tc>
        <w:tc>
          <w:tcPr>
            <w:tcW w:w="1134" w:type="dxa"/>
            <w:vMerge/>
            <w:vAlign w:val="center"/>
          </w:tcPr>
          <w:p w:rsidR="007E27CB" w:rsidRDefault="007E27CB">
            <w:pPr>
              <w:spacing w:after="0" w:line="240" w:lineRule="auto"/>
              <w:jc w:val="center"/>
              <w:rPr>
                <w:sz w:val="24"/>
                <w:szCs w:val="24"/>
              </w:rPr>
            </w:pPr>
          </w:p>
        </w:tc>
        <w:tc>
          <w:tcPr>
            <w:tcW w:w="4253" w:type="dxa"/>
            <w:vMerge/>
            <w:vAlign w:val="center"/>
          </w:tcPr>
          <w:p w:rsidR="007E27CB" w:rsidRDefault="007E27CB">
            <w:pPr>
              <w:spacing w:after="0" w:line="240" w:lineRule="auto"/>
              <w:rPr>
                <w:sz w:val="24"/>
                <w:szCs w:val="24"/>
              </w:rPr>
            </w:pPr>
          </w:p>
        </w:tc>
      </w:tr>
      <w:tr w:rsidR="007E27CB">
        <w:trPr>
          <w:trHeight w:val="20"/>
        </w:trPr>
        <w:tc>
          <w:tcPr>
            <w:tcW w:w="2410" w:type="dxa"/>
            <w:vMerge/>
            <w:shd w:val="clear" w:color="auto" w:fill="auto"/>
          </w:tcPr>
          <w:p w:rsidR="007E27CB" w:rsidRDefault="007E27CB">
            <w:pPr>
              <w:spacing w:after="0" w:line="240" w:lineRule="auto"/>
              <w:rPr>
                <w:sz w:val="24"/>
                <w:szCs w:val="24"/>
              </w:rPr>
            </w:pPr>
          </w:p>
        </w:tc>
        <w:tc>
          <w:tcPr>
            <w:tcW w:w="1418" w:type="dxa"/>
            <w:shd w:val="clear" w:color="auto" w:fill="auto"/>
            <w:vAlign w:val="center"/>
          </w:tcPr>
          <w:p w:rsidR="007E27CB" w:rsidRDefault="008F141F">
            <w:pPr>
              <w:spacing w:after="0" w:line="240" w:lineRule="auto"/>
              <w:jc w:val="center"/>
              <w:rPr>
                <w:sz w:val="24"/>
                <w:szCs w:val="24"/>
              </w:rPr>
            </w:pPr>
            <w:r>
              <w:rPr>
                <w:sz w:val="24"/>
                <w:szCs w:val="24"/>
              </w:rPr>
              <w:t>целевой</w:t>
            </w:r>
          </w:p>
        </w:tc>
        <w:tc>
          <w:tcPr>
            <w:tcW w:w="1417" w:type="dxa"/>
            <w:vAlign w:val="center"/>
          </w:tcPr>
          <w:p w:rsidR="007E27CB" w:rsidRDefault="008F141F">
            <w:pPr>
              <w:spacing w:after="0" w:line="240" w:lineRule="auto"/>
              <w:jc w:val="center"/>
              <w:rPr>
                <w:sz w:val="24"/>
                <w:szCs w:val="24"/>
              </w:rPr>
            </w:pPr>
            <w:r>
              <w:rPr>
                <w:sz w:val="24"/>
                <w:szCs w:val="24"/>
              </w:rPr>
              <w:t>101,1</w:t>
            </w:r>
          </w:p>
        </w:tc>
        <w:tc>
          <w:tcPr>
            <w:tcW w:w="1134" w:type="dxa"/>
            <w:vMerge/>
            <w:vAlign w:val="center"/>
          </w:tcPr>
          <w:p w:rsidR="007E27CB" w:rsidRDefault="007E27CB">
            <w:pPr>
              <w:spacing w:after="0" w:line="240" w:lineRule="auto"/>
              <w:jc w:val="center"/>
              <w:rPr>
                <w:sz w:val="24"/>
                <w:szCs w:val="24"/>
                <w:vertAlign w:val="superscript"/>
              </w:rPr>
            </w:pPr>
          </w:p>
        </w:tc>
        <w:tc>
          <w:tcPr>
            <w:tcW w:w="4253" w:type="dxa"/>
            <w:vMerge/>
            <w:vAlign w:val="center"/>
          </w:tcPr>
          <w:p w:rsidR="007E27CB" w:rsidRDefault="007E27CB">
            <w:pPr>
              <w:spacing w:after="0" w:line="240" w:lineRule="auto"/>
              <w:jc w:val="center"/>
              <w:rPr>
                <w:sz w:val="24"/>
                <w:szCs w:val="24"/>
              </w:rPr>
            </w:pPr>
          </w:p>
        </w:tc>
      </w:tr>
      <w:tr w:rsidR="007E27CB">
        <w:trPr>
          <w:trHeight w:val="20"/>
        </w:trPr>
        <w:tc>
          <w:tcPr>
            <w:tcW w:w="10632" w:type="dxa"/>
            <w:gridSpan w:val="5"/>
            <w:shd w:val="clear" w:color="auto" w:fill="F2F2F2" w:themeFill="background1" w:themeFillShade="F2"/>
          </w:tcPr>
          <w:p w:rsidR="007E27CB" w:rsidRDefault="007E27CB">
            <w:pPr>
              <w:spacing w:after="0" w:line="240" w:lineRule="auto"/>
              <w:jc w:val="center"/>
              <w:rPr>
                <w:b/>
                <w:sz w:val="24"/>
                <w:szCs w:val="24"/>
              </w:rPr>
            </w:pPr>
          </w:p>
        </w:tc>
      </w:tr>
      <w:tr w:rsidR="007E27CB">
        <w:trPr>
          <w:trHeight w:val="730"/>
        </w:trPr>
        <w:tc>
          <w:tcPr>
            <w:tcW w:w="2410" w:type="dxa"/>
            <w:vMerge w:val="restart"/>
            <w:shd w:val="clear" w:color="auto" w:fill="auto"/>
            <w:vAlign w:val="center"/>
          </w:tcPr>
          <w:p w:rsidR="007E27CB" w:rsidRDefault="008F141F">
            <w:pPr>
              <w:spacing w:after="0" w:line="240" w:lineRule="auto"/>
              <w:rPr>
                <w:sz w:val="24"/>
                <w:szCs w:val="24"/>
              </w:rPr>
            </w:pPr>
            <w:r>
              <w:rPr>
                <w:sz w:val="24"/>
                <w:szCs w:val="24"/>
              </w:rPr>
              <w:t>Индекс производства продукции сельского хозяйства в хозяйствах всех категорий (в сопоставимых ценах), в % к пред. году</w:t>
            </w:r>
          </w:p>
        </w:tc>
        <w:tc>
          <w:tcPr>
            <w:tcW w:w="1418" w:type="dxa"/>
            <w:shd w:val="clear" w:color="auto" w:fill="auto"/>
            <w:vAlign w:val="center"/>
          </w:tcPr>
          <w:p w:rsidR="007E27CB" w:rsidRDefault="008F141F">
            <w:pPr>
              <w:spacing w:after="0" w:line="240" w:lineRule="auto"/>
              <w:jc w:val="center"/>
              <w:rPr>
                <w:sz w:val="24"/>
                <w:szCs w:val="24"/>
              </w:rPr>
            </w:pPr>
            <w:r>
              <w:rPr>
                <w:sz w:val="24"/>
                <w:szCs w:val="24"/>
              </w:rPr>
              <w:t>консерва-тивный</w:t>
            </w:r>
          </w:p>
        </w:tc>
        <w:tc>
          <w:tcPr>
            <w:tcW w:w="1417" w:type="dxa"/>
            <w:vAlign w:val="center"/>
          </w:tcPr>
          <w:p w:rsidR="007E27CB" w:rsidRDefault="008F141F">
            <w:pPr>
              <w:spacing w:after="0" w:line="240" w:lineRule="auto"/>
              <w:jc w:val="center"/>
              <w:rPr>
                <w:sz w:val="24"/>
                <w:szCs w:val="24"/>
                <w:lang w:val="en-US"/>
              </w:rPr>
            </w:pPr>
            <w:r>
              <w:rPr>
                <w:sz w:val="24"/>
                <w:szCs w:val="24"/>
              </w:rPr>
              <w:t>10</w:t>
            </w:r>
            <w:r>
              <w:rPr>
                <w:sz w:val="24"/>
                <w:szCs w:val="24"/>
                <w:lang w:val="en-US"/>
              </w:rPr>
              <w:t>2</w:t>
            </w:r>
            <w:r>
              <w:rPr>
                <w:sz w:val="24"/>
                <w:szCs w:val="24"/>
              </w:rPr>
              <w:t>,</w:t>
            </w:r>
            <w:r>
              <w:rPr>
                <w:sz w:val="24"/>
                <w:szCs w:val="24"/>
                <w:lang w:val="en-US"/>
              </w:rPr>
              <w:t>7</w:t>
            </w:r>
          </w:p>
        </w:tc>
        <w:tc>
          <w:tcPr>
            <w:tcW w:w="1134" w:type="dxa"/>
            <w:vMerge w:val="restart"/>
            <w:vAlign w:val="center"/>
          </w:tcPr>
          <w:p w:rsidR="007E27CB" w:rsidRDefault="008F141F">
            <w:pPr>
              <w:spacing w:after="0" w:line="240" w:lineRule="auto"/>
              <w:jc w:val="center"/>
              <w:rPr>
                <w:sz w:val="24"/>
                <w:szCs w:val="24"/>
              </w:rPr>
            </w:pPr>
            <w:r>
              <w:rPr>
                <w:sz w:val="24"/>
                <w:szCs w:val="24"/>
              </w:rPr>
              <w:t>95,9</w:t>
            </w:r>
          </w:p>
        </w:tc>
        <w:tc>
          <w:tcPr>
            <w:tcW w:w="4253" w:type="dxa"/>
            <w:vMerge w:val="restart"/>
            <w:vAlign w:val="center"/>
          </w:tcPr>
          <w:p w:rsidR="007E27CB" w:rsidRDefault="008F141F">
            <w:pPr>
              <w:spacing w:after="0" w:line="240" w:lineRule="auto"/>
              <w:rPr>
                <w:sz w:val="24"/>
                <w:szCs w:val="24"/>
              </w:rPr>
            </w:pPr>
            <w:r>
              <w:rPr>
                <w:sz w:val="24"/>
                <w:szCs w:val="24"/>
              </w:rPr>
              <w:t>Отклонение от прогнозного значения на 10 п.п. обусловлено низкими показателями объемов продукции животноводства к 2018 году на 2,7%, и продукции растениеводства на 7,8% из-за снижения урожайности по зерновым и зернобобовым культурам, а также по картофелю и овощам</w:t>
            </w:r>
          </w:p>
        </w:tc>
      </w:tr>
      <w:tr w:rsidR="007E27CB">
        <w:trPr>
          <w:trHeight w:val="730"/>
        </w:trPr>
        <w:tc>
          <w:tcPr>
            <w:tcW w:w="2410" w:type="dxa"/>
            <w:vMerge/>
            <w:shd w:val="clear" w:color="auto" w:fill="auto"/>
            <w:vAlign w:val="center"/>
          </w:tcPr>
          <w:p w:rsidR="007E27CB" w:rsidRDefault="007E27CB">
            <w:pPr>
              <w:spacing w:after="0" w:line="240" w:lineRule="auto"/>
              <w:rPr>
                <w:sz w:val="24"/>
                <w:szCs w:val="24"/>
              </w:rPr>
            </w:pPr>
          </w:p>
        </w:tc>
        <w:tc>
          <w:tcPr>
            <w:tcW w:w="1418" w:type="dxa"/>
            <w:shd w:val="clear" w:color="auto" w:fill="auto"/>
            <w:vAlign w:val="center"/>
          </w:tcPr>
          <w:p w:rsidR="007E27CB" w:rsidRDefault="008F141F">
            <w:pPr>
              <w:spacing w:after="0" w:line="240" w:lineRule="auto"/>
              <w:jc w:val="center"/>
              <w:rPr>
                <w:sz w:val="24"/>
                <w:szCs w:val="24"/>
              </w:rPr>
            </w:pPr>
            <w:r>
              <w:rPr>
                <w:sz w:val="24"/>
                <w:szCs w:val="24"/>
              </w:rPr>
              <w:t>базовый</w:t>
            </w:r>
          </w:p>
        </w:tc>
        <w:tc>
          <w:tcPr>
            <w:tcW w:w="1417" w:type="dxa"/>
            <w:vAlign w:val="center"/>
          </w:tcPr>
          <w:p w:rsidR="007E27CB" w:rsidRDefault="008F141F">
            <w:pPr>
              <w:spacing w:after="0" w:line="240" w:lineRule="auto"/>
              <w:jc w:val="center"/>
              <w:rPr>
                <w:sz w:val="24"/>
                <w:szCs w:val="24"/>
              </w:rPr>
            </w:pPr>
            <w:r>
              <w:rPr>
                <w:sz w:val="24"/>
                <w:szCs w:val="24"/>
              </w:rPr>
              <w:t>10</w:t>
            </w:r>
            <w:r>
              <w:rPr>
                <w:sz w:val="24"/>
                <w:szCs w:val="24"/>
                <w:lang w:val="en-US"/>
              </w:rPr>
              <w:t>5</w:t>
            </w:r>
            <w:r>
              <w:rPr>
                <w:sz w:val="24"/>
                <w:szCs w:val="24"/>
              </w:rPr>
              <w:t>,9</w:t>
            </w:r>
          </w:p>
        </w:tc>
        <w:tc>
          <w:tcPr>
            <w:tcW w:w="1134" w:type="dxa"/>
            <w:vMerge/>
            <w:vAlign w:val="center"/>
          </w:tcPr>
          <w:p w:rsidR="007E27CB" w:rsidRDefault="007E27CB">
            <w:pPr>
              <w:spacing w:after="0" w:line="240" w:lineRule="auto"/>
              <w:jc w:val="center"/>
              <w:rPr>
                <w:sz w:val="24"/>
                <w:szCs w:val="24"/>
              </w:rPr>
            </w:pPr>
          </w:p>
        </w:tc>
        <w:tc>
          <w:tcPr>
            <w:tcW w:w="4253" w:type="dxa"/>
            <w:vMerge/>
            <w:vAlign w:val="center"/>
          </w:tcPr>
          <w:p w:rsidR="007E27CB" w:rsidRDefault="007E27CB">
            <w:pPr>
              <w:spacing w:after="0" w:line="240" w:lineRule="auto"/>
              <w:rPr>
                <w:sz w:val="24"/>
                <w:szCs w:val="24"/>
              </w:rPr>
            </w:pPr>
          </w:p>
        </w:tc>
      </w:tr>
      <w:tr w:rsidR="007E27CB">
        <w:trPr>
          <w:trHeight w:val="20"/>
        </w:trPr>
        <w:tc>
          <w:tcPr>
            <w:tcW w:w="2410" w:type="dxa"/>
            <w:vMerge/>
            <w:shd w:val="clear" w:color="auto" w:fill="auto"/>
          </w:tcPr>
          <w:p w:rsidR="007E27CB" w:rsidRDefault="007E27CB">
            <w:pPr>
              <w:spacing w:after="0" w:line="240" w:lineRule="auto"/>
              <w:rPr>
                <w:sz w:val="24"/>
                <w:szCs w:val="24"/>
              </w:rPr>
            </w:pPr>
          </w:p>
        </w:tc>
        <w:tc>
          <w:tcPr>
            <w:tcW w:w="1418" w:type="dxa"/>
            <w:shd w:val="clear" w:color="auto" w:fill="auto"/>
            <w:vAlign w:val="center"/>
          </w:tcPr>
          <w:p w:rsidR="007E27CB" w:rsidRDefault="008F141F">
            <w:pPr>
              <w:spacing w:after="0" w:line="240" w:lineRule="auto"/>
              <w:jc w:val="center"/>
              <w:rPr>
                <w:sz w:val="24"/>
                <w:szCs w:val="24"/>
              </w:rPr>
            </w:pPr>
            <w:r>
              <w:rPr>
                <w:sz w:val="24"/>
                <w:szCs w:val="24"/>
              </w:rPr>
              <w:t>целевой</w:t>
            </w:r>
          </w:p>
        </w:tc>
        <w:tc>
          <w:tcPr>
            <w:tcW w:w="1417" w:type="dxa"/>
            <w:vAlign w:val="center"/>
          </w:tcPr>
          <w:p w:rsidR="007E27CB" w:rsidRDefault="008F141F">
            <w:pPr>
              <w:spacing w:after="0" w:line="240" w:lineRule="auto"/>
              <w:jc w:val="center"/>
              <w:rPr>
                <w:sz w:val="24"/>
                <w:szCs w:val="24"/>
              </w:rPr>
            </w:pPr>
            <w:r>
              <w:rPr>
                <w:sz w:val="24"/>
                <w:szCs w:val="24"/>
              </w:rPr>
              <w:t>108,7</w:t>
            </w:r>
          </w:p>
        </w:tc>
        <w:tc>
          <w:tcPr>
            <w:tcW w:w="1134" w:type="dxa"/>
            <w:vMerge/>
            <w:vAlign w:val="center"/>
          </w:tcPr>
          <w:p w:rsidR="007E27CB" w:rsidRDefault="007E27CB">
            <w:pPr>
              <w:spacing w:after="0" w:line="240" w:lineRule="auto"/>
              <w:jc w:val="center"/>
              <w:rPr>
                <w:sz w:val="24"/>
                <w:szCs w:val="24"/>
                <w:vertAlign w:val="superscript"/>
              </w:rPr>
            </w:pPr>
          </w:p>
        </w:tc>
        <w:tc>
          <w:tcPr>
            <w:tcW w:w="4253" w:type="dxa"/>
            <w:vMerge/>
            <w:vAlign w:val="center"/>
          </w:tcPr>
          <w:p w:rsidR="007E27CB" w:rsidRDefault="007E27CB">
            <w:pPr>
              <w:spacing w:after="0" w:line="240" w:lineRule="auto"/>
              <w:jc w:val="center"/>
              <w:rPr>
                <w:sz w:val="24"/>
                <w:szCs w:val="24"/>
              </w:rPr>
            </w:pPr>
          </w:p>
        </w:tc>
      </w:tr>
      <w:tr w:rsidR="007E27CB">
        <w:trPr>
          <w:trHeight w:val="20"/>
        </w:trPr>
        <w:tc>
          <w:tcPr>
            <w:tcW w:w="10632" w:type="dxa"/>
            <w:gridSpan w:val="5"/>
            <w:shd w:val="clear" w:color="auto" w:fill="F2F2F2" w:themeFill="background1" w:themeFillShade="F2"/>
          </w:tcPr>
          <w:p w:rsidR="007E27CB" w:rsidRDefault="007E27CB">
            <w:pPr>
              <w:spacing w:after="0" w:line="240" w:lineRule="auto"/>
              <w:jc w:val="center"/>
              <w:rPr>
                <w:b/>
                <w:sz w:val="24"/>
                <w:szCs w:val="24"/>
              </w:rPr>
            </w:pPr>
          </w:p>
        </w:tc>
      </w:tr>
      <w:tr w:rsidR="007E27CB">
        <w:trPr>
          <w:trHeight w:val="414"/>
        </w:trPr>
        <w:tc>
          <w:tcPr>
            <w:tcW w:w="2410" w:type="dxa"/>
            <w:vMerge w:val="restart"/>
            <w:shd w:val="clear" w:color="auto" w:fill="auto"/>
            <w:vAlign w:val="center"/>
          </w:tcPr>
          <w:p w:rsidR="007E27CB" w:rsidRDefault="008F141F">
            <w:pPr>
              <w:spacing w:after="0" w:line="240" w:lineRule="auto"/>
              <w:rPr>
                <w:sz w:val="24"/>
                <w:szCs w:val="24"/>
              </w:rPr>
            </w:pPr>
            <w:r>
              <w:rPr>
                <w:sz w:val="24"/>
                <w:szCs w:val="24"/>
              </w:rPr>
              <w:t>Индекс производства по виду деятельности «Строительство», в % к пред. году</w:t>
            </w:r>
          </w:p>
        </w:tc>
        <w:tc>
          <w:tcPr>
            <w:tcW w:w="1418" w:type="dxa"/>
            <w:shd w:val="clear" w:color="auto" w:fill="auto"/>
            <w:vAlign w:val="center"/>
          </w:tcPr>
          <w:p w:rsidR="007E27CB" w:rsidRDefault="008F141F">
            <w:pPr>
              <w:spacing w:after="0" w:line="240" w:lineRule="auto"/>
              <w:jc w:val="center"/>
              <w:rPr>
                <w:sz w:val="24"/>
                <w:szCs w:val="24"/>
              </w:rPr>
            </w:pPr>
            <w:r>
              <w:rPr>
                <w:sz w:val="24"/>
                <w:szCs w:val="24"/>
              </w:rPr>
              <w:t>консерва-тивный</w:t>
            </w:r>
          </w:p>
        </w:tc>
        <w:tc>
          <w:tcPr>
            <w:tcW w:w="1417" w:type="dxa"/>
            <w:vAlign w:val="center"/>
          </w:tcPr>
          <w:p w:rsidR="007E27CB" w:rsidRDefault="008F141F">
            <w:pPr>
              <w:spacing w:after="0" w:line="240" w:lineRule="auto"/>
              <w:jc w:val="center"/>
              <w:rPr>
                <w:sz w:val="24"/>
                <w:szCs w:val="24"/>
              </w:rPr>
            </w:pPr>
            <w:r>
              <w:rPr>
                <w:sz w:val="24"/>
                <w:szCs w:val="24"/>
              </w:rPr>
              <w:t>95,0</w:t>
            </w:r>
          </w:p>
        </w:tc>
        <w:tc>
          <w:tcPr>
            <w:tcW w:w="1134" w:type="dxa"/>
            <w:vMerge w:val="restart"/>
            <w:vAlign w:val="center"/>
          </w:tcPr>
          <w:p w:rsidR="007E27CB" w:rsidRDefault="008F141F">
            <w:pPr>
              <w:spacing w:after="0" w:line="240" w:lineRule="auto"/>
              <w:jc w:val="center"/>
              <w:rPr>
                <w:sz w:val="24"/>
                <w:szCs w:val="24"/>
              </w:rPr>
            </w:pPr>
            <w:r>
              <w:rPr>
                <w:sz w:val="24"/>
                <w:szCs w:val="24"/>
              </w:rPr>
              <w:t>121,7</w:t>
            </w:r>
          </w:p>
        </w:tc>
        <w:tc>
          <w:tcPr>
            <w:tcW w:w="4253" w:type="dxa"/>
            <w:vMerge w:val="restart"/>
            <w:vAlign w:val="center"/>
          </w:tcPr>
          <w:p w:rsidR="007E27CB" w:rsidRDefault="008F141F">
            <w:pPr>
              <w:pStyle w:val="Default"/>
            </w:pPr>
            <w:r>
              <w:t>Основное влияние на формирование по</w:t>
            </w:r>
            <w:r>
              <w:softHyphen/>
              <w:t>казателя оказало увеличение объемов работ по строительству инженерных сооружений (166,7%), доля ко</w:t>
            </w:r>
            <w:r>
              <w:softHyphen/>
              <w:t>торых в общем объеме строительных ра</w:t>
            </w:r>
            <w:r>
              <w:softHyphen/>
              <w:t>бот составляет 42,5%. Также наблюдается увеличение объемов работ по строительству зданий (104,4%)</w:t>
            </w:r>
          </w:p>
        </w:tc>
      </w:tr>
      <w:tr w:rsidR="007E27CB">
        <w:trPr>
          <w:trHeight w:val="414"/>
        </w:trPr>
        <w:tc>
          <w:tcPr>
            <w:tcW w:w="2410" w:type="dxa"/>
            <w:vMerge/>
            <w:shd w:val="clear" w:color="auto" w:fill="auto"/>
            <w:vAlign w:val="center"/>
          </w:tcPr>
          <w:p w:rsidR="007E27CB" w:rsidRDefault="007E27CB">
            <w:pPr>
              <w:spacing w:after="0" w:line="240" w:lineRule="auto"/>
              <w:rPr>
                <w:sz w:val="24"/>
                <w:szCs w:val="24"/>
              </w:rPr>
            </w:pPr>
          </w:p>
        </w:tc>
        <w:tc>
          <w:tcPr>
            <w:tcW w:w="1418" w:type="dxa"/>
            <w:shd w:val="clear" w:color="auto" w:fill="auto"/>
            <w:vAlign w:val="center"/>
          </w:tcPr>
          <w:p w:rsidR="007E27CB" w:rsidRDefault="008F141F">
            <w:pPr>
              <w:spacing w:after="0" w:line="240" w:lineRule="auto"/>
              <w:jc w:val="center"/>
              <w:rPr>
                <w:sz w:val="24"/>
                <w:szCs w:val="24"/>
              </w:rPr>
            </w:pPr>
            <w:r>
              <w:rPr>
                <w:sz w:val="24"/>
                <w:szCs w:val="24"/>
              </w:rPr>
              <w:t>базовый</w:t>
            </w:r>
          </w:p>
        </w:tc>
        <w:tc>
          <w:tcPr>
            <w:tcW w:w="1417" w:type="dxa"/>
            <w:vAlign w:val="center"/>
          </w:tcPr>
          <w:p w:rsidR="007E27CB" w:rsidRDefault="008F141F">
            <w:pPr>
              <w:spacing w:after="0" w:line="240" w:lineRule="auto"/>
              <w:jc w:val="center"/>
              <w:rPr>
                <w:sz w:val="24"/>
                <w:szCs w:val="24"/>
              </w:rPr>
            </w:pPr>
            <w:r>
              <w:rPr>
                <w:sz w:val="24"/>
                <w:szCs w:val="24"/>
              </w:rPr>
              <w:t>100,0</w:t>
            </w:r>
          </w:p>
        </w:tc>
        <w:tc>
          <w:tcPr>
            <w:tcW w:w="1134" w:type="dxa"/>
            <w:vMerge/>
            <w:vAlign w:val="center"/>
          </w:tcPr>
          <w:p w:rsidR="007E27CB" w:rsidRDefault="007E27CB">
            <w:pPr>
              <w:spacing w:after="0" w:line="240" w:lineRule="auto"/>
              <w:jc w:val="center"/>
              <w:rPr>
                <w:sz w:val="24"/>
                <w:szCs w:val="24"/>
              </w:rPr>
            </w:pPr>
          </w:p>
        </w:tc>
        <w:tc>
          <w:tcPr>
            <w:tcW w:w="4253" w:type="dxa"/>
            <w:vMerge/>
            <w:vAlign w:val="center"/>
          </w:tcPr>
          <w:p w:rsidR="007E27CB" w:rsidRDefault="007E27CB">
            <w:pPr>
              <w:spacing w:after="0" w:line="240" w:lineRule="auto"/>
              <w:rPr>
                <w:sz w:val="24"/>
                <w:szCs w:val="24"/>
              </w:rPr>
            </w:pPr>
          </w:p>
        </w:tc>
      </w:tr>
      <w:tr w:rsidR="007E27CB">
        <w:trPr>
          <w:trHeight w:val="20"/>
        </w:trPr>
        <w:tc>
          <w:tcPr>
            <w:tcW w:w="2410" w:type="dxa"/>
            <w:vMerge/>
            <w:shd w:val="clear" w:color="auto" w:fill="auto"/>
          </w:tcPr>
          <w:p w:rsidR="007E27CB" w:rsidRDefault="007E27CB">
            <w:pPr>
              <w:spacing w:after="0" w:line="240" w:lineRule="auto"/>
              <w:rPr>
                <w:sz w:val="24"/>
                <w:szCs w:val="24"/>
              </w:rPr>
            </w:pPr>
          </w:p>
        </w:tc>
        <w:tc>
          <w:tcPr>
            <w:tcW w:w="1418" w:type="dxa"/>
            <w:shd w:val="clear" w:color="auto" w:fill="auto"/>
            <w:vAlign w:val="center"/>
          </w:tcPr>
          <w:p w:rsidR="007E27CB" w:rsidRDefault="008F141F">
            <w:pPr>
              <w:spacing w:after="0" w:line="240" w:lineRule="auto"/>
              <w:jc w:val="center"/>
              <w:rPr>
                <w:sz w:val="24"/>
                <w:szCs w:val="24"/>
              </w:rPr>
            </w:pPr>
            <w:r>
              <w:rPr>
                <w:sz w:val="24"/>
                <w:szCs w:val="24"/>
              </w:rPr>
              <w:t>целевой</w:t>
            </w:r>
          </w:p>
        </w:tc>
        <w:tc>
          <w:tcPr>
            <w:tcW w:w="1417" w:type="dxa"/>
            <w:vAlign w:val="center"/>
          </w:tcPr>
          <w:p w:rsidR="007E27CB" w:rsidRDefault="008F141F">
            <w:pPr>
              <w:spacing w:after="0" w:line="240" w:lineRule="auto"/>
              <w:jc w:val="center"/>
              <w:rPr>
                <w:sz w:val="24"/>
                <w:szCs w:val="24"/>
              </w:rPr>
            </w:pPr>
            <w:r>
              <w:rPr>
                <w:sz w:val="24"/>
                <w:szCs w:val="24"/>
              </w:rPr>
              <w:t>105,0</w:t>
            </w:r>
          </w:p>
        </w:tc>
        <w:tc>
          <w:tcPr>
            <w:tcW w:w="1134" w:type="dxa"/>
            <w:vMerge/>
            <w:vAlign w:val="center"/>
          </w:tcPr>
          <w:p w:rsidR="007E27CB" w:rsidRDefault="007E27CB">
            <w:pPr>
              <w:spacing w:after="0" w:line="240" w:lineRule="auto"/>
              <w:jc w:val="center"/>
              <w:rPr>
                <w:sz w:val="24"/>
                <w:szCs w:val="24"/>
                <w:vertAlign w:val="superscript"/>
              </w:rPr>
            </w:pPr>
          </w:p>
        </w:tc>
        <w:tc>
          <w:tcPr>
            <w:tcW w:w="4253" w:type="dxa"/>
            <w:vMerge/>
            <w:vAlign w:val="center"/>
          </w:tcPr>
          <w:p w:rsidR="007E27CB" w:rsidRDefault="007E27CB">
            <w:pPr>
              <w:spacing w:after="0" w:line="240" w:lineRule="auto"/>
              <w:jc w:val="center"/>
              <w:rPr>
                <w:sz w:val="24"/>
                <w:szCs w:val="24"/>
                <w:vertAlign w:val="superscript"/>
              </w:rPr>
            </w:pPr>
          </w:p>
        </w:tc>
      </w:tr>
      <w:tr w:rsidR="007E27CB">
        <w:trPr>
          <w:trHeight w:val="20"/>
        </w:trPr>
        <w:tc>
          <w:tcPr>
            <w:tcW w:w="10632" w:type="dxa"/>
            <w:gridSpan w:val="5"/>
            <w:shd w:val="clear" w:color="auto" w:fill="F2F2F2" w:themeFill="background1" w:themeFillShade="F2"/>
          </w:tcPr>
          <w:p w:rsidR="007E27CB" w:rsidRDefault="007E27CB">
            <w:pPr>
              <w:spacing w:after="0" w:line="240" w:lineRule="auto"/>
              <w:jc w:val="center"/>
              <w:rPr>
                <w:b/>
                <w:sz w:val="24"/>
                <w:szCs w:val="24"/>
              </w:rPr>
            </w:pPr>
          </w:p>
        </w:tc>
      </w:tr>
      <w:tr w:rsidR="007E27CB">
        <w:trPr>
          <w:trHeight w:val="414"/>
        </w:trPr>
        <w:tc>
          <w:tcPr>
            <w:tcW w:w="2410" w:type="dxa"/>
            <w:vMerge w:val="restart"/>
            <w:shd w:val="clear" w:color="auto" w:fill="auto"/>
            <w:vAlign w:val="center"/>
          </w:tcPr>
          <w:p w:rsidR="007E27CB" w:rsidRDefault="008F141F">
            <w:pPr>
              <w:spacing w:after="0" w:line="240" w:lineRule="auto"/>
              <w:rPr>
                <w:sz w:val="24"/>
                <w:szCs w:val="24"/>
              </w:rPr>
            </w:pPr>
            <w:r>
              <w:rPr>
                <w:sz w:val="24"/>
                <w:szCs w:val="24"/>
              </w:rPr>
              <w:t>Ввод в действие жилых домов, тыс. кв. м</w:t>
            </w:r>
          </w:p>
        </w:tc>
        <w:tc>
          <w:tcPr>
            <w:tcW w:w="1418" w:type="dxa"/>
            <w:shd w:val="clear" w:color="auto" w:fill="auto"/>
            <w:vAlign w:val="center"/>
          </w:tcPr>
          <w:p w:rsidR="007E27CB" w:rsidRDefault="008F141F">
            <w:pPr>
              <w:spacing w:after="0" w:line="240" w:lineRule="auto"/>
              <w:jc w:val="center"/>
              <w:rPr>
                <w:sz w:val="24"/>
                <w:szCs w:val="24"/>
              </w:rPr>
            </w:pPr>
            <w:r>
              <w:rPr>
                <w:sz w:val="24"/>
                <w:szCs w:val="24"/>
              </w:rPr>
              <w:t>консерва-тивный</w:t>
            </w:r>
          </w:p>
        </w:tc>
        <w:tc>
          <w:tcPr>
            <w:tcW w:w="1417" w:type="dxa"/>
            <w:vAlign w:val="center"/>
          </w:tcPr>
          <w:p w:rsidR="007E27CB" w:rsidRDefault="008F141F">
            <w:pPr>
              <w:spacing w:after="0" w:line="240" w:lineRule="auto"/>
              <w:jc w:val="center"/>
              <w:rPr>
                <w:sz w:val="24"/>
                <w:szCs w:val="24"/>
              </w:rPr>
            </w:pPr>
            <w:r>
              <w:rPr>
                <w:sz w:val="24"/>
                <w:szCs w:val="24"/>
              </w:rPr>
              <w:t>510,0</w:t>
            </w:r>
          </w:p>
        </w:tc>
        <w:tc>
          <w:tcPr>
            <w:tcW w:w="1134" w:type="dxa"/>
            <w:vMerge w:val="restart"/>
            <w:vAlign w:val="center"/>
          </w:tcPr>
          <w:p w:rsidR="007E27CB" w:rsidRDefault="008F141F">
            <w:pPr>
              <w:spacing w:after="0" w:line="240" w:lineRule="auto"/>
              <w:jc w:val="center"/>
              <w:rPr>
                <w:sz w:val="24"/>
                <w:szCs w:val="24"/>
              </w:rPr>
            </w:pPr>
            <w:r>
              <w:rPr>
                <w:sz w:val="24"/>
                <w:szCs w:val="24"/>
              </w:rPr>
              <w:t>436,7</w:t>
            </w:r>
            <w:r>
              <w:rPr>
                <w:bCs/>
                <w:sz w:val="24"/>
                <w:szCs w:val="24"/>
                <w:vertAlign w:val="superscript"/>
                <w:lang w:eastAsia="x-none"/>
              </w:rPr>
              <w:t>2</w:t>
            </w:r>
            <w:r>
              <w:rPr>
                <w:bCs/>
                <w:sz w:val="24"/>
                <w:szCs w:val="24"/>
                <w:lang w:eastAsia="x-none"/>
              </w:rPr>
              <w:t> </w:t>
            </w:r>
          </w:p>
        </w:tc>
        <w:tc>
          <w:tcPr>
            <w:tcW w:w="4253" w:type="dxa"/>
            <w:vMerge w:val="restart"/>
            <w:vAlign w:val="center"/>
          </w:tcPr>
          <w:p w:rsidR="007E27CB" w:rsidRDefault="008F141F">
            <w:pPr>
              <w:spacing w:after="0" w:line="240" w:lineRule="auto"/>
              <w:rPr>
                <w:sz w:val="24"/>
                <w:szCs w:val="24"/>
              </w:rPr>
            </w:pPr>
            <w:r>
              <w:rPr>
                <w:sz w:val="24"/>
                <w:szCs w:val="24"/>
              </w:rPr>
              <w:t>Отклонение от прогнозного значения обусловлено пересмотром жилищных программ крупных застройщиков, в том числе из-за ужесточения законодательства в сфере долевого строительства</w:t>
            </w:r>
          </w:p>
        </w:tc>
      </w:tr>
      <w:tr w:rsidR="007E27CB">
        <w:trPr>
          <w:trHeight w:val="414"/>
        </w:trPr>
        <w:tc>
          <w:tcPr>
            <w:tcW w:w="2410" w:type="dxa"/>
            <w:vMerge/>
            <w:shd w:val="clear" w:color="auto" w:fill="auto"/>
            <w:vAlign w:val="center"/>
          </w:tcPr>
          <w:p w:rsidR="007E27CB" w:rsidRDefault="007E27CB">
            <w:pPr>
              <w:spacing w:after="0" w:line="240" w:lineRule="auto"/>
              <w:rPr>
                <w:sz w:val="24"/>
                <w:szCs w:val="24"/>
              </w:rPr>
            </w:pPr>
          </w:p>
        </w:tc>
        <w:tc>
          <w:tcPr>
            <w:tcW w:w="1418" w:type="dxa"/>
            <w:shd w:val="clear" w:color="auto" w:fill="auto"/>
            <w:vAlign w:val="center"/>
          </w:tcPr>
          <w:p w:rsidR="007E27CB" w:rsidRDefault="008F141F">
            <w:pPr>
              <w:spacing w:after="0" w:line="240" w:lineRule="auto"/>
              <w:jc w:val="center"/>
              <w:rPr>
                <w:sz w:val="24"/>
                <w:szCs w:val="24"/>
              </w:rPr>
            </w:pPr>
            <w:r>
              <w:rPr>
                <w:sz w:val="24"/>
                <w:szCs w:val="24"/>
              </w:rPr>
              <w:t>базовый</w:t>
            </w:r>
          </w:p>
        </w:tc>
        <w:tc>
          <w:tcPr>
            <w:tcW w:w="1417" w:type="dxa"/>
            <w:vAlign w:val="center"/>
          </w:tcPr>
          <w:p w:rsidR="007E27CB" w:rsidRDefault="008F141F">
            <w:pPr>
              <w:spacing w:after="0" w:line="240" w:lineRule="auto"/>
              <w:jc w:val="center"/>
              <w:rPr>
                <w:sz w:val="24"/>
                <w:szCs w:val="24"/>
              </w:rPr>
            </w:pPr>
            <w:r>
              <w:rPr>
                <w:sz w:val="24"/>
                <w:szCs w:val="24"/>
              </w:rPr>
              <w:t>560,0</w:t>
            </w:r>
          </w:p>
        </w:tc>
        <w:tc>
          <w:tcPr>
            <w:tcW w:w="1134" w:type="dxa"/>
            <w:vMerge/>
            <w:vAlign w:val="center"/>
          </w:tcPr>
          <w:p w:rsidR="007E27CB" w:rsidRDefault="007E27CB">
            <w:pPr>
              <w:spacing w:after="0" w:line="240" w:lineRule="auto"/>
              <w:jc w:val="center"/>
              <w:rPr>
                <w:sz w:val="24"/>
                <w:szCs w:val="24"/>
              </w:rPr>
            </w:pPr>
          </w:p>
        </w:tc>
        <w:tc>
          <w:tcPr>
            <w:tcW w:w="4253" w:type="dxa"/>
            <w:vMerge/>
            <w:vAlign w:val="center"/>
          </w:tcPr>
          <w:p w:rsidR="007E27CB" w:rsidRDefault="007E27CB">
            <w:pPr>
              <w:spacing w:after="0" w:line="240" w:lineRule="auto"/>
              <w:rPr>
                <w:sz w:val="24"/>
                <w:szCs w:val="24"/>
              </w:rPr>
            </w:pPr>
          </w:p>
        </w:tc>
      </w:tr>
      <w:tr w:rsidR="007E27CB">
        <w:trPr>
          <w:trHeight w:val="20"/>
        </w:trPr>
        <w:tc>
          <w:tcPr>
            <w:tcW w:w="2410" w:type="dxa"/>
            <w:vMerge/>
            <w:shd w:val="clear" w:color="auto" w:fill="auto"/>
          </w:tcPr>
          <w:p w:rsidR="007E27CB" w:rsidRDefault="007E27CB">
            <w:pPr>
              <w:spacing w:after="0" w:line="240" w:lineRule="auto"/>
              <w:rPr>
                <w:sz w:val="24"/>
                <w:szCs w:val="24"/>
              </w:rPr>
            </w:pPr>
          </w:p>
        </w:tc>
        <w:tc>
          <w:tcPr>
            <w:tcW w:w="1418" w:type="dxa"/>
            <w:shd w:val="clear" w:color="auto" w:fill="auto"/>
            <w:vAlign w:val="center"/>
          </w:tcPr>
          <w:p w:rsidR="007E27CB" w:rsidRDefault="008F141F">
            <w:pPr>
              <w:spacing w:after="0" w:line="240" w:lineRule="auto"/>
              <w:jc w:val="center"/>
              <w:rPr>
                <w:sz w:val="24"/>
                <w:szCs w:val="24"/>
              </w:rPr>
            </w:pPr>
            <w:r>
              <w:rPr>
                <w:sz w:val="24"/>
                <w:szCs w:val="24"/>
              </w:rPr>
              <w:t>целевой</w:t>
            </w:r>
          </w:p>
        </w:tc>
        <w:tc>
          <w:tcPr>
            <w:tcW w:w="1417" w:type="dxa"/>
            <w:vAlign w:val="center"/>
          </w:tcPr>
          <w:p w:rsidR="007E27CB" w:rsidRDefault="008F141F">
            <w:pPr>
              <w:spacing w:after="0" w:line="240" w:lineRule="auto"/>
              <w:jc w:val="center"/>
              <w:rPr>
                <w:sz w:val="24"/>
                <w:szCs w:val="24"/>
              </w:rPr>
            </w:pPr>
            <w:r>
              <w:rPr>
                <w:sz w:val="24"/>
                <w:szCs w:val="24"/>
              </w:rPr>
              <w:t>565,0</w:t>
            </w:r>
          </w:p>
        </w:tc>
        <w:tc>
          <w:tcPr>
            <w:tcW w:w="1134" w:type="dxa"/>
            <w:vMerge/>
            <w:vAlign w:val="center"/>
          </w:tcPr>
          <w:p w:rsidR="007E27CB" w:rsidRDefault="007E27CB">
            <w:pPr>
              <w:spacing w:after="0" w:line="240" w:lineRule="auto"/>
              <w:jc w:val="center"/>
              <w:rPr>
                <w:sz w:val="24"/>
                <w:szCs w:val="24"/>
                <w:vertAlign w:val="superscript"/>
              </w:rPr>
            </w:pPr>
          </w:p>
        </w:tc>
        <w:tc>
          <w:tcPr>
            <w:tcW w:w="4253" w:type="dxa"/>
            <w:vMerge/>
            <w:vAlign w:val="center"/>
          </w:tcPr>
          <w:p w:rsidR="007E27CB" w:rsidRDefault="007E27CB">
            <w:pPr>
              <w:spacing w:after="0" w:line="240" w:lineRule="auto"/>
              <w:jc w:val="center"/>
              <w:rPr>
                <w:sz w:val="24"/>
                <w:szCs w:val="24"/>
              </w:rPr>
            </w:pPr>
          </w:p>
        </w:tc>
      </w:tr>
      <w:tr w:rsidR="007E27CB">
        <w:trPr>
          <w:trHeight w:val="20"/>
        </w:trPr>
        <w:tc>
          <w:tcPr>
            <w:tcW w:w="10632" w:type="dxa"/>
            <w:gridSpan w:val="5"/>
            <w:shd w:val="clear" w:color="auto" w:fill="F2F2F2" w:themeFill="background1" w:themeFillShade="F2"/>
          </w:tcPr>
          <w:p w:rsidR="007E27CB" w:rsidRDefault="007E27CB">
            <w:pPr>
              <w:spacing w:after="0" w:line="240" w:lineRule="auto"/>
              <w:jc w:val="center"/>
              <w:rPr>
                <w:b/>
                <w:sz w:val="24"/>
                <w:szCs w:val="24"/>
              </w:rPr>
            </w:pPr>
          </w:p>
        </w:tc>
      </w:tr>
      <w:tr w:rsidR="007E27CB">
        <w:trPr>
          <w:trHeight w:val="414"/>
        </w:trPr>
        <w:tc>
          <w:tcPr>
            <w:tcW w:w="2410" w:type="dxa"/>
            <w:vMerge w:val="restart"/>
            <w:shd w:val="clear" w:color="auto" w:fill="auto"/>
            <w:vAlign w:val="center"/>
          </w:tcPr>
          <w:p w:rsidR="007E27CB" w:rsidRDefault="008F141F">
            <w:pPr>
              <w:spacing w:after="0" w:line="240" w:lineRule="auto"/>
              <w:rPr>
                <w:sz w:val="24"/>
                <w:szCs w:val="24"/>
              </w:rPr>
            </w:pPr>
            <w:r>
              <w:rPr>
                <w:sz w:val="24"/>
                <w:szCs w:val="24"/>
              </w:rPr>
              <w:t>Индекс физического объема инвестиций в основной капитал, в % к пред. году</w:t>
            </w:r>
          </w:p>
        </w:tc>
        <w:tc>
          <w:tcPr>
            <w:tcW w:w="1418" w:type="dxa"/>
            <w:shd w:val="clear" w:color="auto" w:fill="auto"/>
            <w:vAlign w:val="center"/>
          </w:tcPr>
          <w:p w:rsidR="007E27CB" w:rsidRDefault="008F141F">
            <w:pPr>
              <w:spacing w:after="0" w:line="240" w:lineRule="auto"/>
              <w:jc w:val="center"/>
              <w:rPr>
                <w:sz w:val="24"/>
                <w:szCs w:val="24"/>
              </w:rPr>
            </w:pPr>
            <w:r>
              <w:rPr>
                <w:sz w:val="24"/>
                <w:szCs w:val="24"/>
              </w:rPr>
              <w:t>консерва-тивный</w:t>
            </w:r>
          </w:p>
        </w:tc>
        <w:tc>
          <w:tcPr>
            <w:tcW w:w="1417" w:type="dxa"/>
            <w:vAlign w:val="center"/>
          </w:tcPr>
          <w:p w:rsidR="007E27CB" w:rsidRDefault="008F141F">
            <w:pPr>
              <w:spacing w:after="0" w:line="240" w:lineRule="auto"/>
              <w:jc w:val="center"/>
              <w:rPr>
                <w:sz w:val="24"/>
                <w:szCs w:val="24"/>
              </w:rPr>
            </w:pPr>
            <w:r>
              <w:rPr>
                <w:sz w:val="24"/>
                <w:szCs w:val="24"/>
              </w:rPr>
              <w:t>93,5</w:t>
            </w:r>
          </w:p>
        </w:tc>
        <w:tc>
          <w:tcPr>
            <w:tcW w:w="1134" w:type="dxa"/>
            <w:vMerge w:val="restart"/>
            <w:vAlign w:val="center"/>
          </w:tcPr>
          <w:p w:rsidR="007E27CB" w:rsidRDefault="008F141F">
            <w:pPr>
              <w:spacing w:after="0" w:line="240" w:lineRule="auto"/>
              <w:jc w:val="center"/>
              <w:rPr>
                <w:sz w:val="24"/>
                <w:szCs w:val="24"/>
              </w:rPr>
            </w:pPr>
            <w:r>
              <w:rPr>
                <w:sz w:val="24"/>
                <w:szCs w:val="24"/>
              </w:rPr>
              <w:t>96,8</w:t>
            </w:r>
          </w:p>
        </w:tc>
        <w:tc>
          <w:tcPr>
            <w:tcW w:w="4253" w:type="dxa"/>
            <w:vMerge w:val="restart"/>
            <w:vAlign w:val="center"/>
          </w:tcPr>
          <w:p w:rsidR="007E27CB" w:rsidRDefault="008F141F">
            <w:pPr>
              <w:spacing w:after="0" w:line="240" w:lineRule="auto"/>
              <w:rPr>
                <w:sz w:val="24"/>
                <w:szCs w:val="24"/>
              </w:rPr>
            </w:pPr>
            <w:r>
              <w:rPr>
                <w:sz w:val="24"/>
                <w:szCs w:val="24"/>
              </w:rPr>
              <w:t>Отклонение от прогнозного значения на 2 п.п. обусловлено:</w:t>
            </w:r>
          </w:p>
          <w:p w:rsidR="007E27CB" w:rsidRDefault="008F141F">
            <w:pPr>
              <w:spacing w:after="0" w:line="240" w:lineRule="auto"/>
              <w:rPr>
                <w:sz w:val="24"/>
                <w:szCs w:val="24"/>
              </w:rPr>
            </w:pPr>
            <w:r>
              <w:rPr>
                <w:sz w:val="24"/>
                <w:szCs w:val="24"/>
              </w:rPr>
              <w:t>– недостатком у организаций собственных и заемных средств для осуществления долгосрочных инвестиций;</w:t>
            </w:r>
          </w:p>
          <w:p w:rsidR="007E27CB" w:rsidRDefault="008F141F">
            <w:pPr>
              <w:spacing w:after="0" w:line="240" w:lineRule="auto"/>
              <w:rPr>
                <w:sz w:val="24"/>
                <w:szCs w:val="24"/>
              </w:rPr>
            </w:pPr>
            <w:r>
              <w:rPr>
                <w:sz w:val="24"/>
                <w:szCs w:val="24"/>
              </w:rPr>
              <w:t>– негативными макроэкономическими параметрами, в том числе инфляционной и курсовой политикой;</w:t>
            </w:r>
          </w:p>
          <w:p w:rsidR="007E27CB" w:rsidRDefault="008F141F">
            <w:pPr>
              <w:spacing w:after="0" w:line="240" w:lineRule="auto"/>
              <w:rPr>
                <w:sz w:val="24"/>
                <w:szCs w:val="24"/>
              </w:rPr>
            </w:pPr>
            <w:r>
              <w:rPr>
                <w:sz w:val="24"/>
                <w:szCs w:val="24"/>
              </w:rPr>
              <w:t>– наличием инвестиционных рисков и негативными ожиданиями инвесторов относительно тенденций развития экономики</w:t>
            </w:r>
          </w:p>
        </w:tc>
      </w:tr>
      <w:tr w:rsidR="007E27CB">
        <w:trPr>
          <w:trHeight w:val="414"/>
        </w:trPr>
        <w:tc>
          <w:tcPr>
            <w:tcW w:w="2410" w:type="dxa"/>
            <w:vMerge/>
            <w:shd w:val="clear" w:color="auto" w:fill="auto"/>
            <w:vAlign w:val="center"/>
          </w:tcPr>
          <w:p w:rsidR="007E27CB" w:rsidRDefault="007E27CB">
            <w:pPr>
              <w:spacing w:after="0" w:line="240" w:lineRule="auto"/>
              <w:rPr>
                <w:sz w:val="24"/>
                <w:szCs w:val="24"/>
              </w:rPr>
            </w:pPr>
          </w:p>
        </w:tc>
        <w:tc>
          <w:tcPr>
            <w:tcW w:w="1418" w:type="dxa"/>
            <w:shd w:val="clear" w:color="auto" w:fill="auto"/>
            <w:vAlign w:val="center"/>
          </w:tcPr>
          <w:p w:rsidR="007E27CB" w:rsidRDefault="008F141F">
            <w:pPr>
              <w:spacing w:after="0" w:line="240" w:lineRule="auto"/>
              <w:jc w:val="center"/>
              <w:rPr>
                <w:sz w:val="24"/>
                <w:szCs w:val="24"/>
              </w:rPr>
            </w:pPr>
            <w:r>
              <w:rPr>
                <w:sz w:val="24"/>
                <w:szCs w:val="24"/>
              </w:rPr>
              <w:t>базовый</w:t>
            </w:r>
          </w:p>
        </w:tc>
        <w:tc>
          <w:tcPr>
            <w:tcW w:w="1417" w:type="dxa"/>
            <w:vAlign w:val="center"/>
          </w:tcPr>
          <w:p w:rsidR="007E27CB" w:rsidRDefault="008F141F">
            <w:pPr>
              <w:spacing w:after="0" w:line="240" w:lineRule="auto"/>
              <w:jc w:val="center"/>
              <w:rPr>
                <w:sz w:val="24"/>
                <w:szCs w:val="24"/>
              </w:rPr>
            </w:pPr>
            <w:r>
              <w:rPr>
                <w:sz w:val="24"/>
                <w:szCs w:val="24"/>
              </w:rPr>
              <w:t>97,0</w:t>
            </w:r>
          </w:p>
        </w:tc>
        <w:tc>
          <w:tcPr>
            <w:tcW w:w="1134" w:type="dxa"/>
            <w:vMerge/>
            <w:vAlign w:val="center"/>
          </w:tcPr>
          <w:p w:rsidR="007E27CB" w:rsidRDefault="007E27CB">
            <w:pPr>
              <w:spacing w:after="0" w:line="240" w:lineRule="auto"/>
              <w:jc w:val="center"/>
              <w:rPr>
                <w:sz w:val="24"/>
                <w:szCs w:val="24"/>
              </w:rPr>
            </w:pPr>
          </w:p>
        </w:tc>
        <w:tc>
          <w:tcPr>
            <w:tcW w:w="4253" w:type="dxa"/>
            <w:vMerge/>
            <w:vAlign w:val="center"/>
          </w:tcPr>
          <w:p w:rsidR="007E27CB" w:rsidRDefault="007E27CB">
            <w:pPr>
              <w:spacing w:after="0" w:line="240" w:lineRule="auto"/>
              <w:rPr>
                <w:sz w:val="24"/>
                <w:szCs w:val="24"/>
              </w:rPr>
            </w:pPr>
          </w:p>
        </w:tc>
      </w:tr>
      <w:tr w:rsidR="007E27CB">
        <w:trPr>
          <w:trHeight w:val="20"/>
        </w:trPr>
        <w:tc>
          <w:tcPr>
            <w:tcW w:w="2410" w:type="dxa"/>
            <w:vMerge/>
            <w:shd w:val="clear" w:color="auto" w:fill="auto"/>
          </w:tcPr>
          <w:p w:rsidR="007E27CB" w:rsidRDefault="007E27CB">
            <w:pPr>
              <w:spacing w:after="0" w:line="240" w:lineRule="auto"/>
              <w:rPr>
                <w:sz w:val="24"/>
                <w:szCs w:val="24"/>
              </w:rPr>
            </w:pPr>
          </w:p>
        </w:tc>
        <w:tc>
          <w:tcPr>
            <w:tcW w:w="1418" w:type="dxa"/>
            <w:shd w:val="clear" w:color="auto" w:fill="auto"/>
            <w:vAlign w:val="center"/>
          </w:tcPr>
          <w:p w:rsidR="007E27CB" w:rsidRDefault="008F141F">
            <w:pPr>
              <w:spacing w:after="0" w:line="240" w:lineRule="auto"/>
              <w:jc w:val="center"/>
              <w:rPr>
                <w:sz w:val="24"/>
                <w:szCs w:val="24"/>
              </w:rPr>
            </w:pPr>
            <w:r>
              <w:rPr>
                <w:sz w:val="24"/>
                <w:szCs w:val="24"/>
              </w:rPr>
              <w:t>целевой</w:t>
            </w:r>
          </w:p>
        </w:tc>
        <w:tc>
          <w:tcPr>
            <w:tcW w:w="1417" w:type="dxa"/>
            <w:vAlign w:val="center"/>
          </w:tcPr>
          <w:p w:rsidR="007E27CB" w:rsidRDefault="008F141F">
            <w:pPr>
              <w:spacing w:after="0" w:line="240" w:lineRule="auto"/>
              <w:jc w:val="center"/>
              <w:rPr>
                <w:sz w:val="24"/>
                <w:szCs w:val="24"/>
              </w:rPr>
            </w:pPr>
            <w:r>
              <w:rPr>
                <w:sz w:val="24"/>
                <w:szCs w:val="24"/>
              </w:rPr>
              <w:t>102,5</w:t>
            </w:r>
          </w:p>
        </w:tc>
        <w:tc>
          <w:tcPr>
            <w:tcW w:w="1134" w:type="dxa"/>
            <w:vMerge/>
            <w:vAlign w:val="center"/>
          </w:tcPr>
          <w:p w:rsidR="007E27CB" w:rsidRDefault="007E27CB">
            <w:pPr>
              <w:spacing w:after="0" w:line="240" w:lineRule="auto"/>
              <w:jc w:val="center"/>
              <w:rPr>
                <w:sz w:val="24"/>
                <w:szCs w:val="24"/>
                <w:vertAlign w:val="superscript"/>
              </w:rPr>
            </w:pPr>
          </w:p>
        </w:tc>
        <w:tc>
          <w:tcPr>
            <w:tcW w:w="4253" w:type="dxa"/>
            <w:vMerge/>
            <w:vAlign w:val="center"/>
          </w:tcPr>
          <w:p w:rsidR="007E27CB" w:rsidRDefault="007E27CB">
            <w:pPr>
              <w:spacing w:after="0" w:line="240" w:lineRule="auto"/>
              <w:jc w:val="center"/>
              <w:rPr>
                <w:sz w:val="24"/>
                <w:szCs w:val="24"/>
              </w:rPr>
            </w:pPr>
          </w:p>
        </w:tc>
      </w:tr>
      <w:tr w:rsidR="007E27CB">
        <w:trPr>
          <w:trHeight w:val="20"/>
        </w:trPr>
        <w:tc>
          <w:tcPr>
            <w:tcW w:w="10632" w:type="dxa"/>
            <w:gridSpan w:val="5"/>
            <w:shd w:val="clear" w:color="auto" w:fill="F2F2F2" w:themeFill="background1" w:themeFillShade="F2"/>
          </w:tcPr>
          <w:p w:rsidR="007E27CB" w:rsidRDefault="007E27CB">
            <w:pPr>
              <w:spacing w:after="0" w:line="240" w:lineRule="auto"/>
              <w:jc w:val="center"/>
              <w:rPr>
                <w:b/>
                <w:sz w:val="24"/>
                <w:szCs w:val="24"/>
              </w:rPr>
            </w:pPr>
          </w:p>
        </w:tc>
      </w:tr>
      <w:tr w:rsidR="007E27CB">
        <w:trPr>
          <w:trHeight w:val="414"/>
        </w:trPr>
        <w:tc>
          <w:tcPr>
            <w:tcW w:w="2410" w:type="dxa"/>
            <w:vMerge w:val="restart"/>
            <w:shd w:val="clear" w:color="auto" w:fill="auto"/>
            <w:vAlign w:val="center"/>
          </w:tcPr>
          <w:p w:rsidR="007E27CB" w:rsidRDefault="008F141F">
            <w:pPr>
              <w:spacing w:after="0" w:line="240" w:lineRule="auto"/>
              <w:rPr>
                <w:sz w:val="24"/>
                <w:szCs w:val="24"/>
              </w:rPr>
            </w:pPr>
            <w:r>
              <w:rPr>
                <w:sz w:val="24"/>
                <w:szCs w:val="24"/>
              </w:rPr>
              <w:t>Оборот розничной торговли, в % к пред. году</w:t>
            </w:r>
          </w:p>
        </w:tc>
        <w:tc>
          <w:tcPr>
            <w:tcW w:w="1418" w:type="dxa"/>
            <w:shd w:val="clear" w:color="auto" w:fill="auto"/>
            <w:vAlign w:val="center"/>
          </w:tcPr>
          <w:p w:rsidR="007E27CB" w:rsidRDefault="008F141F">
            <w:pPr>
              <w:spacing w:after="0" w:line="240" w:lineRule="auto"/>
              <w:jc w:val="center"/>
              <w:rPr>
                <w:sz w:val="24"/>
                <w:szCs w:val="24"/>
              </w:rPr>
            </w:pPr>
            <w:r>
              <w:rPr>
                <w:sz w:val="24"/>
                <w:szCs w:val="24"/>
              </w:rPr>
              <w:t>консерва-тивный</w:t>
            </w:r>
          </w:p>
        </w:tc>
        <w:tc>
          <w:tcPr>
            <w:tcW w:w="1417" w:type="dxa"/>
            <w:vAlign w:val="center"/>
          </w:tcPr>
          <w:p w:rsidR="007E27CB" w:rsidRDefault="008F141F">
            <w:pPr>
              <w:spacing w:after="0" w:line="240" w:lineRule="auto"/>
              <w:jc w:val="center"/>
              <w:rPr>
                <w:sz w:val="24"/>
                <w:szCs w:val="24"/>
              </w:rPr>
            </w:pPr>
            <w:r>
              <w:rPr>
                <w:sz w:val="24"/>
                <w:szCs w:val="24"/>
              </w:rPr>
              <w:t>100,0</w:t>
            </w:r>
          </w:p>
        </w:tc>
        <w:tc>
          <w:tcPr>
            <w:tcW w:w="1134" w:type="dxa"/>
            <w:vMerge w:val="restart"/>
            <w:vAlign w:val="center"/>
          </w:tcPr>
          <w:p w:rsidR="007E27CB" w:rsidRDefault="008F141F">
            <w:pPr>
              <w:spacing w:after="0" w:line="240" w:lineRule="auto"/>
              <w:jc w:val="center"/>
              <w:rPr>
                <w:sz w:val="24"/>
                <w:szCs w:val="24"/>
              </w:rPr>
            </w:pPr>
            <w:r>
              <w:rPr>
                <w:sz w:val="24"/>
                <w:szCs w:val="24"/>
              </w:rPr>
              <w:t>103,1</w:t>
            </w:r>
          </w:p>
        </w:tc>
        <w:tc>
          <w:tcPr>
            <w:tcW w:w="4253" w:type="dxa"/>
            <w:vMerge w:val="restart"/>
            <w:vAlign w:val="center"/>
          </w:tcPr>
          <w:p w:rsidR="007E27CB" w:rsidRDefault="008F141F">
            <w:pPr>
              <w:spacing w:after="0" w:line="240" w:lineRule="auto"/>
              <w:rPr>
                <w:sz w:val="24"/>
                <w:szCs w:val="24"/>
              </w:rPr>
            </w:pPr>
            <w:r>
              <w:rPr>
                <w:sz w:val="24"/>
                <w:szCs w:val="24"/>
              </w:rPr>
              <w:t>Показатель перевыполнен за счет развития инфраструктуры розничной торговли, увеличения потребительской активности</w:t>
            </w:r>
          </w:p>
        </w:tc>
      </w:tr>
      <w:tr w:rsidR="007E27CB">
        <w:trPr>
          <w:trHeight w:val="414"/>
        </w:trPr>
        <w:tc>
          <w:tcPr>
            <w:tcW w:w="2410" w:type="dxa"/>
            <w:vMerge/>
            <w:shd w:val="clear" w:color="auto" w:fill="auto"/>
            <w:vAlign w:val="center"/>
          </w:tcPr>
          <w:p w:rsidR="007E27CB" w:rsidRDefault="007E27CB">
            <w:pPr>
              <w:spacing w:after="0" w:line="240" w:lineRule="auto"/>
              <w:rPr>
                <w:sz w:val="24"/>
                <w:szCs w:val="24"/>
              </w:rPr>
            </w:pPr>
          </w:p>
        </w:tc>
        <w:tc>
          <w:tcPr>
            <w:tcW w:w="1418" w:type="dxa"/>
            <w:shd w:val="clear" w:color="auto" w:fill="auto"/>
            <w:vAlign w:val="center"/>
          </w:tcPr>
          <w:p w:rsidR="007E27CB" w:rsidRDefault="008F141F">
            <w:pPr>
              <w:spacing w:after="0" w:line="240" w:lineRule="auto"/>
              <w:jc w:val="center"/>
              <w:rPr>
                <w:sz w:val="24"/>
                <w:szCs w:val="24"/>
              </w:rPr>
            </w:pPr>
            <w:r>
              <w:rPr>
                <w:sz w:val="24"/>
                <w:szCs w:val="24"/>
              </w:rPr>
              <w:t>базовый</w:t>
            </w:r>
          </w:p>
        </w:tc>
        <w:tc>
          <w:tcPr>
            <w:tcW w:w="1417" w:type="dxa"/>
            <w:vAlign w:val="center"/>
          </w:tcPr>
          <w:p w:rsidR="007E27CB" w:rsidRDefault="008F141F">
            <w:pPr>
              <w:spacing w:after="0" w:line="240" w:lineRule="auto"/>
              <w:jc w:val="center"/>
              <w:rPr>
                <w:sz w:val="24"/>
                <w:szCs w:val="24"/>
              </w:rPr>
            </w:pPr>
            <w:r>
              <w:rPr>
                <w:sz w:val="24"/>
                <w:szCs w:val="24"/>
              </w:rPr>
              <w:t>101,0</w:t>
            </w:r>
          </w:p>
        </w:tc>
        <w:tc>
          <w:tcPr>
            <w:tcW w:w="1134" w:type="dxa"/>
            <w:vMerge/>
            <w:vAlign w:val="center"/>
          </w:tcPr>
          <w:p w:rsidR="007E27CB" w:rsidRDefault="007E27CB">
            <w:pPr>
              <w:spacing w:after="0" w:line="240" w:lineRule="auto"/>
              <w:jc w:val="center"/>
              <w:rPr>
                <w:sz w:val="24"/>
                <w:szCs w:val="24"/>
              </w:rPr>
            </w:pPr>
          </w:p>
        </w:tc>
        <w:tc>
          <w:tcPr>
            <w:tcW w:w="4253" w:type="dxa"/>
            <w:vMerge/>
            <w:vAlign w:val="center"/>
          </w:tcPr>
          <w:p w:rsidR="007E27CB" w:rsidRDefault="007E27CB">
            <w:pPr>
              <w:spacing w:after="0" w:line="240" w:lineRule="auto"/>
              <w:rPr>
                <w:sz w:val="24"/>
                <w:szCs w:val="24"/>
              </w:rPr>
            </w:pPr>
          </w:p>
        </w:tc>
      </w:tr>
      <w:tr w:rsidR="007E27CB">
        <w:trPr>
          <w:trHeight w:val="319"/>
        </w:trPr>
        <w:tc>
          <w:tcPr>
            <w:tcW w:w="2410" w:type="dxa"/>
            <w:vMerge/>
            <w:shd w:val="clear" w:color="auto" w:fill="auto"/>
          </w:tcPr>
          <w:p w:rsidR="007E27CB" w:rsidRDefault="007E27CB">
            <w:pPr>
              <w:spacing w:after="0" w:line="240" w:lineRule="auto"/>
              <w:rPr>
                <w:sz w:val="24"/>
                <w:szCs w:val="24"/>
              </w:rPr>
            </w:pPr>
          </w:p>
        </w:tc>
        <w:tc>
          <w:tcPr>
            <w:tcW w:w="1418" w:type="dxa"/>
            <w:shd w:val="clear" w:color="auto" w:fill="auto"/>
            <w:vAlign w:val="center"/>
          </w:tcPr>
          <w:p w:rsidR="007E27CB" w:rsidRDefault="008F141F">
            <w:pPr>
              <w:spacing w:after="0" w:line="240" w:lineRule="auto"/>
              <w:jc w:val="center"/>
              <w:rPr>
                <w:sz w:val="24"/>
                <w:szCs w:val="24"/>
              </w:rPr>
            </w:pPr>
            <w:r>
              <w:rPr>
                <w:sz w:val="24"/>
                <w:szCs w:val="24"/>
              </w:rPr>
              <w:t>целевой</w:t>
            </w:r>
          </w:p>
        </w:tc>
        <w:tc>
          <w:tcPr>
            <w:tcW w:w="1417" w:type="dxa"/>
            <w:vAlign w:val="center"/>
          </w:tcPr>
          <w:p w:rsidR="007E27CB" w:rsidRDefault="008F141F">
            <w:pPr>
              <w:spacing w:after="0" w:line="240" w:lineRule="auto"/>
              <w:jc w:val="center"/>
              <w:rPr>
                <w:sz w:val="24"/>
                <w:szCs w:val="24"/>
              </w:rPr>
            </w:pPr>
            <w:r>
              <w:rPr>
                <w:sz w:val="24"/>
                <w:szCs w:val="24"/>
              </w:rPr>
              <w:t>101,3</w:t>
            </w:r>
          </w:p>
        </w:tc>
        <w:tc>
          <w:tcPr>
            <w:tcW w:w="1134" w:type="dxa"/>
            <w:vMerge/>
            <w:vAlign w:val="center"/>
          </w:tcPr>
          <w:p w:rsidR="007E27CB" w:rsidRDefault="007E27CB">
            <w:pPr>
              <w:spacing w:after="0" w:line="240" w:lineRule="auto"/>
              <w:jc w:val="center"/>
              <w:rPr>
                <w:sz w:val="24"/>
                <w:szCs w:val="24"/>
                <w:vertAlign w:val="superscript"/>
              </w:rPr>
            </w:pPr>
          </w:p>
        </w:tc>
        <w:tc>
          <w:tcPr>
            <w:tcW w:w="4253" w:type="dxa"/>
            <w:vMerge/>
            <w:vAlign w:val="center"/>
          </w:tcPr>
          <w:p w:rsidR="007E27CB" w:rsidRDefault="007E27CB">
            <w:pPr>
              <w:spacing w:after="0" w:line="240" w:lineRule="auto"/>
              <w:jc w:val="center"/>
              <w:rPr>
                <w:sz w:val="24"/>
                <w:szCs w:val="24"/>
              </w:rPr>
            </w:pPr>
          </w:p>
        </w:tc>
      </w:tr>
      <w:tr w:rsidR="007E27CB">
        <w:trPr>
          <w:trHeight w:val="20"/>
        </w:trPr>
        <w:tc>
          <w:tcPr>
            <w:tcW w:w="10632" w:type="dxa"/>
            <w:gridSpan w:val="5"/>
            <w:shd w:val="clear" w:color="auto" w:fill="F2F2F2" w:themeFill="background1" w:themeFillShade="F2"/>
          </w:tcPr>
          <w:p w:rsidR="007E27CB" w:rsidRDefault="007E27CB">
            <w:pPr>
              <w:spacing w:after="0" w:line="240" w:lineRule="auto"/>
              <w:jc w:val="center"/>
              <w:rPr>
                <w:b/>
                <w:sz w:val="24"/>
                <w:szCs w:val="24"/>
              </w:rPr>
            </w:pPr>
          </w:p>
        </w:tc>
      </w:tr>
      <w:tr w:rsidR="007E27CB">
        <w:trPr>
          <w:trHeight w:val="414"/>
        </w:trPr>
        <w:tc>
          <w:tcPr>
            <w:tcW w:w="2410" w:type="dxa"/>
            <w:vMerge w:val="restart"/>
            <w:shd w:val="clear" w:color="auto" w:fill="auto"/>
            <w:vAlign w:val="center"/>
          </w:tcPr>
          <w:p w:rsidR="007E27CB" w:rsidRDefault="008F141F">
            <w:pPr>
              <w:spacing w:after="0" w:line="240" w:lineRule="auto"/>
              <w:rPr>
                <w:sz w:val="24"/>
                <w:szCs w:val="24"/>
              </w:rPr>
            </w:pPr>
            <w:r>
              <w:rPr>
                <w:sz w:val="24"/>
                <w:szCs w:val="24"/>
              </w:rPr>
              <w:t>Сводный индекс потребительских цен, в % декабрь к декабрю пред. года</w:t>
            </w:r>
          </w:p>
        </w:tc>
        <w:tc>
          <w:tcPr>
            <w:tcW w:w="1418" w:type="dxa"/>
            <w:shd w:val="clear" w:color="auto" w:fill="auto"/>
            <w:vAlign w:val="center"/>
          </w:tcPr>
          <w:p w:rsidR="007E27CB" w:rsidRDefault="008F141F">
            <w:pPr>
              <w:spacing w:after="0" w:line="240" w:lineRule="auto"/>
              <w:jc w:val="center"/>
              <w:rPr>
                <w:sz w:val="24"/>
                <w:szCs w:val="24"/>
              </w:rPr>
            </w:pPr>
            <w:r>
              <w:rPr>
                <w:sz w:val="24"/>
                <w:szCs w:val="24"/>
              </w:rPr>
              <w:t>консерва-тивный</w:t>
            </w:r>
          </w:p>
        </w:tc>
        <w:tc>
          <w:tcPr>
            <w:tcW w:w="1417" w:type="dxa"/>
            <w:vAlign w:val="center"/>
          </w:tcPr>
          <w:p w:rsidR="007E27CB" w:rsidRDefault="008F141F">
            <w:pPr>
              <w:spacing w:after="0" w:line="240" w:lineRule="auto"/>
              <w:jc w:val="center"/>
              <w:rPr>
                <w:sz w:val="24"/>
                <w:szCs w:val="24"/>
              </w:rPr>
            </w:pPr>
            <w:r>
              <w:rPr>
                <w:sz w:val="24"/>
                <w:szCs w:val="24"/>
              </w:rPr>
              <w:t>103,8</w:t>
            </w:r>
          </w:p>
        </w:tc>
        <w:tc>
          <w:tcPr>
            <w:tcW w:w="1134" w:type="dxa"/>
            <w:vMerge w:val="restart"/>
            <w:vAlign w:val="center"/>
          </w:tcPr>
          <w:p w:rsidR="007E27CB" w:rsidRDefault="008F141F">
            <w:pPr>
              <w:spacing w:after="0" w:line="240" w:lineRule="auto"/>
              <w:jc w:val="center"/>
              <w:rPr>
                <w:sz w:val="24"/>
                <w:szCs w:val="24"/>
              </w:rPr>
            </w:pPr>
            <w:r>
              <w:rPr>
                <w:sz w:val="24"/>
                <w:szCs w:val="24"/>
                <w:lang w:val="en-US"/>
              </w:rPr>
              <w:t>103</w:t>
            </w:r>
            <w:r>
              <w:rPr>
                <w:sz w:val="24"/>
                <w:szCs w:val="24"/>
              </w:rPr>
              <w:t>,8</w:t>
            </w:r>
          </w:p>
        </w:tc>
        <w:tc>
          <w:tcPr>
            <w:tcW w:w="4253" w:type="dxa"/>
            <w:vMerge w:val="restart"/>
            <w:vAlign w:val="center"/>
          </w:tcPr>
          <w:p w:rsidR="007E27CB" w:rsidRDefault="008F141F">
            <w:pPr>
              <w:spacing w:after="0" w:line="240" w:lineRule="auto"/>
              <w:rPr>
                <w:sz w:val="24"/>
                <w:szCs w:val="24"/>
              </w:rPr>
            </w:pPr>
            <w:r>
              <w:rPr>
                <w:sz w:val="24"/>
                <w:szCs w:val="24"/>
              </w:rPr>
              <w:t xml:space="preserve">Отклонение от прогнозного значения на 0,1 п.п. обусловлено, в основном, мультипликативным эффектом от роста цен на услуги, непродовольственные  товары.  Кроме того, влияние на рост потребительских цен оказало повышение ставки НДС до 20% с 1 января 2019 года </w:t>
            </w:r>
          </w:p>
        </w:tc>
      </w:tr>
      <w:tr w:rsidR="007E27CB">
        <w:trPr>
          <w:trHeight w:val="414"/>
        </w:trPr>
        <w:tc>
          <w:tcPr>
            <w:tcW w:w="2410" w:type="dxa"/>
            <w:vMerge/>
            <w:shd w:val="clear" w:color="auto" w:fill="auto"/>
            <w:vAlign w:val="center"/>
          </w:tcPr>
          <w:p w:rsidR="007E27CB" w:rsidRDefault="007E27CB">
            <w:pPr>
              <w:spacing w:after="0" w:line="240" w:lineRule="auto"/>
              <w:rPr>
                <w:sz w:val="24"/>
                <w:szCs w:val="24"/>
              </w:rPr>
            </w:pPr>
          </w:p>
        </w:tc>
        <w:tc>
          <w:tcPr>
            <w:tcW w:w="1418" w:type="dxa"/>
            <w:shd w:val="clear" w:color="auto" w:fill="auto"/>
            <w:vAlign w:val="center"/>
          </w:tcPr>
          <w:p w:rsidR="007E27CB" w:rsidRDefault="008F141F">
            <w:pPr>
              <w:spacing w:after="0" w:line="240" w:lineRule="auto"/>
              <w:jc w:val="center"/>
              <w:rPr>
                <w:sz w:val="24"/>
                <w:szCs w:val="24"/>
              </w:rPr>
            </w:pPr>
            <w:r>
              <w:rPr>
                <w:sz w:val="24"/>
                <w:szCs w:val="24"/>
              </w:rPr>
              <w:t>базовый</w:t>
            </w:r>
          </w:p>
        </w:tc>
        <w:tc>
          <w:tcPr>
            <w:tcW w:w="1417" w:type="dxa"/>
            <w:vAlign w:val="center"/>
          </w:tcPr>
          <w:p w:rsidR="007E27CB" w:rsidRDefault="008F141F">
            <w:pPr>
              <w:spacing w:after="0" w:line="240" w:lineRule="auto"/>
              <w:jc w:val="center"/>
              <w:rPr>
                <w:sz w:val="24"/>
                <w:szCs w:val="24"/>
              </w:rPr>
            </w:pPr>
            <w:r>
              <w:rPr>
                <w:sz w:val="24"/>
                <w:szCs w:val="24"/>
              </w:rPr>
              <w:t>103,7</w:t>
            </w:r>
          </w:p>
        </w:tc>
        <w:tc>
          <w:tcPr>
            <w:tcW w:w="1134" w:type="dxa"/>
            <w:vMerge/>
            <w:vAlign w:val="center"/>
          </w:tcPr>
          <w:p w:rsidR="007E27CB" w:rsidRDefault="007E27CB">
            <w:pPr>
              <w:spacing w:after="0" w:line="240" w:lineRule="auto"/>
              <w:jc w:val="center"/>
              <w:rPr>
                <w:sz w:val="24"/>
                <w:szCs w:val="24"/>
              </w:rPr>
            </w:pPr>
          </w:p>
        </w:tc>
        <w:tc>
          <w:tcPr>
            <w:tcW w:w="4253" w:type="dxa"/>
            <w:vMerge/>
            <w:vAlign w:val="center"/>
          </w:tcPr>
          <w:p w:rsidR="007E27CB" w:rsidRDefault="007E27CB">
            <w:pPr>
              <w:spacing w:after="0" w:line="240" w:lineRule="auto"/>
              <w:rPr>
                <w:sz w:val="24"/>
                <w:szCs w:val="24"/>
              </w:rPr>
            </w:pPr>
          </w:p>
        </w:tc>
      </w:tr>
      <w:tr w:rsidR="007E27CB">
        <w:trPr>
          <w:trHeight w:val="20"/>
        </w:trPr>
        <w:tc>
          <w:tcPr>
            <w:tcW w:w="2410" w:type="dxa"/>
            <w:vMerge/>
            <w:shd w:val="clear" w:color="auto" w:fill="auto"/>
          </w:tcPr>
          <w:p w:rsidR="007E27CB" w:rsidRDefault="007E27CB">
            <w:pPr>
              <w:spacing w:after="0" w:line="240" w:lineRule="auto"/>
              <w:rPr>
                <w:sz w:val="24"/>
                <w:szCs w:val="24"/>
              </w:rPr>
            </w:pPr>
          </w:p>
        </w:tc>
        <w:tc>
          <w:tcPr>
            <w:tcW w:w="1418" w:type="dxa"/>
            <w:shd w:val="clear" w:color="auto" w:fill="auto"/>
            <w:vAlign w:val="center"/>
          </w:tcPr>
          <w:p w:rsidR="007E27CB" w:rsidRDefault="008F141F">
            <w:pPr>
              <w:spacing w:after="0" w:line="240" w:lineRule="auto"/>
              <w:jc w:val="center"/>
              <w:rPr>
                <w:sz w:val="24"/>
                <w:szCs w:val="24"/>
              </w:rPr>
            </w:pPr>
            <w:r>
              <w:rPr>
                <w:sz w:val="24"/>
                <w:szCs w:val="24"/>
              </w:rPr>
              <w:t>целевой</w:t>
            </w:r>
          </w:p>
        </w:tc>
        <w:tc>
          <w:tcPr>
            <w:tcW w:w="1417" w:type="dxa"/>
            <w:vAlign w:val="center"/>
          </w:tcPr>
          <w:p w:rsidR="007E27CB" w:rsidRDefault="008F141F">
            <w:pPr>
              <w:spacing w:after="0" w:line="240" w:lineRule="auto"/>
              <w:jc w:val="center"/>
              <w:rPr>
                <w:sz w:val="24"/>
                <w:szCs w:val="24"/>
              </w:rPr>
            </w:pPr>
            <w:r>
              <w:rPr>
                <w:sz w:val="24"/>
                <w:szCs w:val="24"/>
              </w:rPr>
              <w:t>103,7</w:t>
            </w:r>
          </w:p>
        </w:tc>
        <w:tc>
          <w:tcPr>
            <w:tcW w:w="1134" w:type="dxa"/>
            <w:vMerge/>
            <w:vAlign w:val="center"/>
          </w:tcPr>
          <w:p w:rsidR="007E27CB" w:rsidRDefault="007E27CB">
            <w:pPr>
              <w:spacing w:after="0" w:line="240" w:lineRule="auto"/>
              <w:jc w:val="center"/>
              <w:rPr>
                <w:sz w:val="24"/>
                <w:szCs w:val="24"/>
                <w:vertAlign w:val="superscript"/>
              </w:rPr>
            </w:pPr>
          </w:p>
        </w:tc>
        <w:tc>
          <w:tcPr>
            <w:tcW w:w="4253" w:type="dxa"/>
            <w:vMerge/>
            <w:vAlign w:val="center"/>
          </w:tcPr>
          <w:p w:rsidR="007E27CB" w:rsidRDefault="007E27CB">
            <w:pPr>
              <w:spacing w:after="0" w:line="240" w:lineRule="auto"/>
              <w:jc w:val="center"/>
              <w:rPr>
                <w:sz w:val="24"/>
                <w:szCs w:val="24"/>
              </w:rPr>
            </w:pPr>
          </w:p>
        </w:tc>
      </w:tr>
      <w:tr w:rsidR="007E27CB">
        <w:trPr>
          <w:trHeight w:val="20"/>
        </w:trPr>
        <w:tc>
          <w:tcPr>
            <w:tcW w:w="10632" w:type="dxa"/>
            <w:gridSpan w:val="5"/>
            <w:shd w:val="clear" w:color="auto" w:fill="F2F2F2" w:themeFill="background1" w:themeFillShade="F2"/>
          </w:tcPr>
          <w:p w:rsidR="007E27CB" w:rsidRDefault="007E27CB">
            <w:pPr>
              <w:spacing w:after="0" w:line="240" w:lineRule="auto"/>
              <w:jc w:val="center"/>
              <w:rPr>
                <w:b/>
                <w:sz w:val="24"/>
                <w:szCs w:val="24"/>
              </w:rPr>
            </w:pPr>
          </w:p>
        </w:tc>
      </w:tr>
      <w:tr w:rsidR="007E27CB">
        <w:trPr>
          <w:trHeight w:val="414"/>
        </w:trPr>
        <w:tc>
          <w:tcPr>
            <w:tcW w:w="2410" w:type="dxa"/>
            <w:vMerge w:val="restart"/>
            <w:shd w:val="clear" w:color="auto" w:fill="auto"/>
            <w:vAlign w:val="center"/>
          </w:tcPr>
          <w:p w:rsidR="007E27CB" w:rsidRDefault="008F141F">
            <w:pPr>
              <w:spacing w:after="0" w:line="240" w:lineRule="auto"/>
              <w:rPr>
                <w:sz w:val="24"/>
                <w:szCs w:val="24"/>
              </w:rPr>
            </w:pPr>
            <w:r>
              <w:rPr>
                <w:sz w:val="24"/>
                <w:szCs w:val="24"/>
              </w:rPr>
              <w:t>Численность постоянного населения (среднегодовая)</w:t>
            </w:r>
          </w:p>
        </w:tc>
        <w:tc>
          <w:tcPr>
            <w:tcW w:w="1418" w:type="dxa"/>
            <w:shd w:val="clear" w:color="auto" w:fill="auto"/>
            <w:vAlign w:val="center"/>
          </w:tcPr>
          <w:p w:rsidR="007E27CB" w:rsidRDefault="008F141F">
            <w:pPr>
              <w:spacing w:after="0" w:line="240" w:lineRule="auto"/>
              <w:jc w:val="center"/>
              <w:rPr>
                <w:sz w:val="24"/>
                <w:szCs w:val="24"/>
              </w:rPr>
            </w:pPr>
            <w:r>
              <w:rPr>
                <w:sz w:val="24"/>
                <w:szCs w:val="24"/>
              </w:rPr>
              <w:t>консерва-тивный</w:t>
            </w:r>
          </w:p>
        </w:tc>
        <w:tc>
          <w:tcPr>
            <w:tcW w:w="1417" w:type="dxa"/>
            <w:vAlign w:val="center"/>
          </w:tcPr>
          <w:p w:rsidR="007E27CB" w:rsidRDefault="008F141F">
            <w:pPr>
              <w:spacing w:after="0" w:line="240" w:lineRule="auto"/>
              <w:jc w:val="center"/>
              <w:rPr>
                <w:sz w:val="24"/>
                <w:szCs w:val="24"/>
              </w:rPr>
            </w:pPr>
            <w:r>
              <w:rPr>
                <w:sz w:val="24"/>
                <w:szCs w:val="24"/>
              </w:rPr>
              <w:t>1 079,4</w:t>
            </w:r>
          </w:p>
        </w:tc>
        <w:tc>
          <w:tcPr>
            <w:tcW w:w="1134" w:type="dxa"/>
            <w:vMerge w:val="restart"/>
            <w:vAlign w:val="center"/>
          </w:tcPr>
          <w:p w:rsidR="007E27CB" w:rsidRDefault="008F141F">
            <w:pPr>
              <w:spacing w:after="0" w:line="240" w:lineRule="auto"/>
              <w:jc w:val="center"/>
              <w:rPr>
                <w:sz w:val="24"/>
                <w:szCs w:val="24"/>
              </w:rPr>
            </w:pPr>
            <w:r>
              <w:rPr>
                <w:sz w:val="24"/>
                <w:szCs w:val="24"/>
              </w:rPr>
              <w:t>1 078,3</w:t>
            </w:r>
          </w:p>
        </w:tc>
        <w:tc>
          <w:tcPr>
            <w:tcW w:w="4253" w:type="dxa"/>
            <w:vMerge w:val="restart"/>
            <w:vAlign w:val="center"/>
          </w:tcPr>
          <w:p w:rsidR="007E27CB" w:rsidRDefault="008F141F">
            <w:pPr>
              <w:spacing w:after="0" w:line="240" w:lineRule="auto"/>
              <w:rPr>
                <w:sz w:val="24"/>
                <w:szCs w:val="24"/>
              </w:rPr>
            </w:pPr>
            <w:r>
              <w:rPr>
                <w:sz w:val="24"/>
                <w:szCs w:val="24"/>
              </w:rPr>
              <w:t>Отклонение от прогнозного значения на 0,2% обусловлено низкой рождаемостью в связи с сокращением численности женщин репродуктивного возраста. Данная ситуация наблюдается в большинстве регионов России.</w:t>
            </w:r>
          </w:p>
        </w:tc>
      </w:tr>
      <w:tr w:rsidR="007E27CB">
        <w:trPr>
          <w:trHeight w:val="414"/>
        </w:trPr>
        <w:tc>
          <w:tcPr>
            <w:tcW w:w="2410" w:type="dxa"/>
            <w:vMerge/>
            <w:shd w:val="clear" w:color="auto" w:fill="auto"/>
            <w:vAlign w:val="center"/>
          </w:tcPr>
          <w:p w:rsidR="007E27CB" w:rsidRDefault="007E27CB">
            <w:pPr>
              <w:spacing w:after="0" w:line="240" w:lineRule="auto"/>
              <w:rPr>
                <w:sz w:val="24"/>
                <w:szCs w:val="24"/>
              </w:rPr>
            </w:pPr>
          </w:p>
        </w:tc>
        <w:tc>
          <w:tcPr>
            <w:tcW w:w="1418" w:type="dxa"/>
            <w:shd w:val="clear" w:color="auto" w:fill="auto"/>
            <w:vAlign w:val="center"/>
          </w:tcPr>
          <w:p w:rsidR="007E27CB" w:rsidRDefault="008F141F">
            <w:pPr>
              <w:spacing w:after="0" w:line="240" w:lineRule="auto"/>
              <w:jc w:val="center"/>
              <w:rPr>
                <w:sz w:val="24"/>
                <w:szCs w:val="24"/>
              </w:rPr>
            </w:pPr>
            <w:r>
              <w:rPr>
                <w:sz w:val="24"/>
                <w:szCs w:val="24"/>
              </w:rPr>
              <w:t>базовый</w:t>
            </w:r>
          </w:p>
        </w:tc>
        <w:tc>
          <w:tcPr>
            <w:tcW w:w="1417" w:type="dxa"/>
            <w:vAlign w:val="center"/>
          </w:tcPr>
          <w:p w:rsidR="007E27CB" w:rsidRDefault="008F141F">
            <w:pPr>
              <w:spacing w:after="0" w:line="240" w:lineRule="auto"/>
              <w:jc w:val="center"/>
              <w:rPr>
                <w:sz w:val="24"/>
                <w:szCs w:val="24"/>
              </w:rPr>
            </w:pPr>
            <w:r>
              <w:rPr>
                <w:sz w:val="24"/>
                <w:szCs w:val="24"/>
              </w:rPr>
              <w:t>1 080,2</w:t>
            </w:r>
          </w:p>
        </w:tc>
        <w:tc>
          <w:tcPr>
            <w:tcW w:w="1134" w:type="dxa"/>
            <w:vMerge/>
            <w:vAlign w:val="center"/>
          </w:tcPr>
          <w:p w:rsidR="007E27CB" w:rsidRDefault="007E27CB">
            <w:pPr>
              <w:spacing w:after="0" w:line="240" w:lineRule="auto"/>
              <w:jc w:val="center"/>
              <w:rPr>
                <w:sz w:val="24"/>
                <w:szCs w:val="24"/>
              </w:rPr>
            </w:pPr>
          </w:p>
        </w:tc>
        <w:tc>
          <w:tcPr>
            <w:tcW w:w="4253" w:type="dxa"/>
            <w:vMerge/>
            <w:vAlign w:val="center"/>
          </w:tcPr>
          <w:p w:rsidR="007E27CB" w:rsidRDefault="007E27CB">
            <w:pPr>
              <w:spacing w:after="0" w:line="240" w:lineRule="auto"/>
              <w:rPr>
                <w:sz w:val="24"/>
                <w:szCs w:val="24"/>
              </w:rPr>
            </w:pPr>
          </w:p>
        </w:tc>
      </w:tr>
      <w:tr w:rsidR="007E27CB">
        <w:trPr>
          <w:trHeight w:val="890"/>
        </w:trPr>
        <w:tc>
          <w:tcPr>
            <w:tcW w:w="2410" w:type="dxa"/>
            <w:vMerge/>
            <w:shd w:val="clear" w:color="auto" w:fill="auto"/>
          </w:tcPr>
          <w:p w:rsidR="007E27CB" w:rsidRDefault="007E27CB">
            <w:pPr>
              <w:spacing w:after="0" w:line="240" w:lineRule="auto"/>
              <w:rPr>
                <w:sz w:val="24"/>
                <w:szCs w:val="24"/>
              </w:rPr>
            </w:pPr>
          </w:p>
        </w:tc>
        <w:tc>
          <w:tcPr>
            <w:tcW w:w="1418" w:type="dxa"/>
            <w:shd w:val="clear" w:color="auto" w:fill="auto"/>
            <w:vAlign w:val="center"/>
          </w:tcPr>
          <w:p w:rsidR="007E27CB" w:rsidRDefault="008F141F">
            <w:pPr>
              <w:spacing w:after="0" w:line="240" w:lineRule="auto"/>
              <w:jc w:val="center"/>
              <w:rPr>
                <w:sz w:val="24"/>
                <w:szCs w:val="24"/>
              </w:rPr>
            </w:pPr>
            <w:r>
              <w:rPr>
                <w:sz w:val="24"/>
                <w:szCs w:val="24"/>
              </w:rPr>
              <w:t>целевой</w:t>
            </w:r>
          </w:p>
        </w:tc>
        <w:tc>
          <w:tcPr>
            <w:tcW w:w="1417" w:type="dxa"/>
            <w:vAlign w:val="center"/>
          </w:tcPr>
          <w:p w:rsidR="007E27CB" w:rsidRDefault="008F141F">
            <w:pPr>
              <w:spacing w:after="0" w:line="240" w:lineRule="auto"/>
              <w:jc w:val="center"/>
              <w:rPr>
                <w:sz w:val="24"/>
                <w:szCs w:val="24"/>
              </w:rPr>
            </w:pPr>
            <w:r>
              <w:rPr>
                <w:sz w:val="24"/>
                <w:szCs w:val="24"/>
              </w:rPr>
              <w:t>1 082,7</w:t>
            </w:r>
          </w:p>
        </w:tc>
        <w:tc>
          <w:tcPr>
            <w:tcW w:w="1134" w:type="dxa"/>
            <w:vMerge/>
            <w:vAlign w:val="center"/>
          </w:tcPr>
          <w:p w:rsidR="007E27CB" w:rsidRDefault="007E27CB">
            <w:pPr>
              <w:spacing w:after="0" w:line="240" w:lineRule="auto"/>
              <w:jc w:val="center"/>
              <w:rPr>
                <w:sz w:val="24"/>
                <w:szCs w:val="24"/>
                <w:vertAlign w:val="superscript"/>
              </w:rPr>
            </w:pPr>
          </w:p>
        </w:tc>
        <w:tc>
          <w:tcPr>
            <w:tcW w:w="4253" w:type="dxa"/>
            <w:vMerge/>
            <w:vAlign w:val="center"/>
          </w:tcPr>
          <w:p w:rsidR="007E27CB" w:rsidRDefault="007E27CB">
            <w:pPr>
              <w:spacing w:after="0" w:line="240" w:lineRule="auto"/>
              <w:jc w:val="center"/>
              <w:rPr>
                <w:sz w:val="24"/>
                <w:szCs w:val="24"/>
              </w:rPr>
            </w:pPr>
          </w:p>
        </w:tc>
      </w:tr>
      <w:tr w:rsidR="007E27CB">
        <w:trPr>
          <w:trHeight w:val="20"/>
        </w:trPr>
        <w:tc>
          <w:tcPr>
            <w:tcW w:w="10632" w:type="dxa"/>
            <w:gridSpan w:val="5"/>
            <w:shd w:val="clear" w:color="auto" w:fill="F2F2F2" w:themeFill="background1" w:themeFillShade="F2"/>
          </w:tcPr>
          <w:p w:rsidR="007E27CB" w:rsidRDefault="007E27CB">
            <w:pPr>
              <w:spacing w:after="0" w:line="240" w:lineRule="auto"/>
              <w:jc w:val="center"/>
              <w:rPr>
                <w:b/>
                <w:sz w:val="24"/>
                <w:szCs w:val="24"/>
              </w:rPr>
            </w:pPr>
          </w:p>
        </w:tc>
      </w:tr>
      <w:tr w:rsidR="007E27CB">
        <w:trPr>
          <w:trHeight w:val="682"/>
        </w:trPr>
        <w:tc>
          <w:tcPr>
            <w:tcW w:w="2410" w:type="dxa"/>
            <w:vMerge w:val="restart"/>
            <w:shd w:val="clear" w:color="auto" w:fill="auto"/>
            <w:vAlign w:val="center"/>
          </w:tcPr>
          <w:p w:rsidR="007E27CB" w:rsidRDefault="008F141F">
            <w:pPr>
              <w:spacing w:after="0" w:line="240" w:lineRule="auto"/>
              <w:rPr>
                <w:sz w:val="24"/>
                <w:szCs w:val="24"/>
              </w:rPr>
            </w:pPr>
            <w:r>
              <w:rPr>
                <w:sz w:val="24"/>
                <w:szCs w:val="24"/>
              </w:rPr>
              <w:t>Реальные располагаемые денежные доходы населения, %</w:t>
            </w:r>
          </w:p>
        </w:tc>
        <w:tc>
          <w:tcPr>
            <w:tcW w:w="1418" w:type="dxa"/>
            <w:shd w:val="clear" w:color="auto" w:fill="auto"/>
            <w:vAlign w:val="center"/>
          </w:tcPr>
          <w:p w:rsidR="007E27CB" w:rsidRDefault="008F141F">
            <w:pPr>
              <w:spacing w:after="0" w:line="240" w:lineRule="auto"/>
              <w:jc w:val="center"/>
              <w:rPr>
                <w:sz w:val="24"/>
                <w:szCs w:val="24"/>
              </w:rPr>
            </w:pPr>
            <w:r>
              <w:rPr>
                <w:sz w:val="24"/>
                <w:szCs w:val="24"/>
              </w:rPr>
              <w:t>консерва-тивный</w:t>
            </w:r>
          </w:p>
        </w:tc>
        <w:tc>
          <w:tcPr>
            <w:tcW w:w="1417" w:type="dxa"/>
            <w:vAlign w:val="center"/>
          </w:tcPr>
          <w:p w:rsidR="007E27CB" w:rsidRDefault="008F141F">
            <w:pPr>
              <w:spacing w:after="0" w:line="240" w:lineRule="auto"/>
              <w:jc w:val="center"/>
              <w:rPr>
                <w:sz w:val="24"/>
                <w:szCs w:val="24"/>
              </w:rPr>
            </w:pPr>
            <w:r>
              <w:rPr>
                <w:sz w:val="24"/>
                <w:szCs w:val="24"/>
              </w:rPr>
              <w:t>98,8</w:t>
            </w:r>
          </w:p>
        </w:tc>
        <w:tc>
          <w:tcPr>
            <w:tcW w:w="1134" w:type="dxa"/>
            <w:vMerge w:val="restart"/>
            <w:vAlign w:val="center"/>
          </w:tcPr>
          <w:p w:rsidR="007E27CB" w:rsidRDefault="008F141F">
            <w:pPr>
              <w:spacing w:after="0" w:line="240" w:lineRule="auto"/>
              <w:jc w:val="center"/>
              <w:rPr>
                <w:sz w:val="24"/>
                <w:szCs w:val="24"/>
              </w:rPr>
            </w:pPr>
            <w:r>
              <w:rPr>
                <w:sz w:val="24"/>
                <w:szCs w:val="24"/>
              </w:rPr>
              <w:t>98,6</w:t>
            </w:r>
          </w:p>
        </w:tc>
        <w:tc>
          <w:tcPr>
            <w:tcW w:w="4253" w:type="dxa"/>
            <w:vMerge w:val="restart"/>
            <w:vAlign w:val="center"/>
          </w:tcPr>
          <w:p w:rsidR="007E27CB" w:rsidRDefault="008F141F">
            <w:pPr>
              <w:spacing w:after="0" w:line="240" w:lineRule="auto"/>
              <w:rPr>
                <w:sz w:val="24"/>
                <w:szCs w:val="24"/>
              </w:rPr>
            </w:pPr>
            <w:r>
              <w:rPr>
                <w:sz w:val="24"/>
                <w:szCs w:val="24"/>
              </w:rPr>
              <w:t>Отклонение от прогнозных значений на 2,3 п.п. обусловлено:</w:t>
            </w:r>
          </w:p>
          <w:p w:rsidR="007E27CB" w:rsidRDefault="008F141F">
            <w:pPr>
              <w:spacing w:after="0" w:line="240" w:lineRule="auto"/>
              <w:rPr>
                <w:sz w:val="24"/>
                <w:szCs w:val="24"/>
              </w:rPr>
            </w:pPr>
            <w:r>
              <w:rPr>
                <w:sz w:val="24"/>
                <w:szCs w:val="24"/>
              </w:rPr>
              <w:t>– более высоким фактическим значением среднегодового индекса потребительских цен;</w:t>
            </w:r>
          </w:p>
          <w:p w:rsidR="007E27CB" w:rsidRDefault="008F141F">
            <w:pPr>
              <w:spacing w:after="0" w:line="240" w:lineRule="auto"/>
              <w:rPr>
                <w:sz w:val="24"/>
                <w:szCs w:val="24"/>
              </w:rPr>
            </w:pPr>
            <w:r>
              <w:rPr>
                <w:sz w:val="24"/>
                <w:szCs w:val="24"/>
              </w:rPr>
              <w:t>– опережающим ростом обязательных платежей.</w:t>
            </w:r>
          </w:p>
        </w:tc>
      </w:tr>
      <w:tr w:rsidR="007E27CB">
        <w:trPr>
          <w:trHeight w:val="564"/>
        </w:trPr>
        <w:tc>
          <w:tcPr>
            <w:tcW w:w="2410" w:type="dxa"/>
            <w:vMerge/>
            <w:shd w:val="clear" w:color="auto" w:fill="auto"/>
            <w:vAlign w:val="center"/>
          </w:tcPr>
          <w:p w:rsidR="007E27CB" w:rsidRDefault="007E27CB">
            <w:pPr>
              <w:spacing w:after="0" w:line="240" w:lineRule="auto"/>
              <w:rPr>
                <w:sz w:val="24"/>
                <w:szCs w:val="24"/>
              </w:rPr>
            </w:pPr>
          </w:p>
        </w:tc>
        <w:tc>
          <w:tcPr>
            <w:tcW w:w="1418" w:type="dxa"/>
            <w:shd w:val="clear" w:color="auto" w:fill="auto"/>
            <w:vAlign w:val="center"/>
          </w:tcPr>
          <w:p w:rsidR="007E27CB" w:rsidRDefault="008F141F">
            <w:pPr>
              <w:spacing w:after="0" w:line="240" w:lineRule="auto"/>
              <w:jc w:val="center"/>
              <w:rPr>
                <w:sz w:val="24"/>
                <w:szCs w:val="24"/>
              </w:rPr>
            </w:pPr>
            <w:r>
              <w:rPr>
                <w:sz w:val="24"/>
                <w:szCs w:val="24"/>
              </w:rPr>
              <w:t>базовый</w:t>
            </w:r>
          </w:p>
        </w:tc>
        <w:tc>
          <w:tcPr>
            <w:tcW w:w="1417" w:type="dxa"/>
            <w:vAlign w:val="center"/>
          </w:tcPr>
          <w:p w:rsidR="007E27CB" w:rsidRDefault="008F141F">
            <w:pPr>
              <w:spacing w:after="0" w:line="240" w:lineRule="auto"/>
              <w:jc w:val="center"/>
              <w:rPr>
                <w:sz w:val="24"/>
                <w:szCs w:val="24"/>
              </w:rPr>
            </w:pPr>
            <w:r>
              <w:rPr>
                <w:sz w:val="24"/>
                <w:szCs w:val="24"/>
              </w:rPr>
              <w:t>100,9</w:t>
            </w:r>
          </w:p>
        </w:tc>
        <w:tc>
          <w:tcPr>
            <w:tcW w:w="1134" w:type="dxa"/>
            <w:vMerge/>
            <w:vAlign w:val="center"/>
          </w:tcPr>
          <w:p w:rsidR="007E27CB" w:rsidRDefault="007E27CB">
            <w:pPr>
              <w:spacing w:after="0" w:line="240" w:lineRule="auto"/>
              <w:jc w:val="center"/>
              <w:rPr>
                <w:sz w:val="24"/>
                <w:szCs w:val="24"/>
              </w:rPr>
            </w:pPr>
          </w:p>
        </w:tc>
        <w:tc>
          <w:tcPr>
            <w:tcW w:w="4253" w:type="dxa"/>
            <w:vMerge/>
            <w:vAlign w:val="center"/>
          </w:tcPr>
          <w:p w:rsidR="007E27CB" w:rsidRDefault="007E27CB">
            <w:pPr>
              <w:spacing w:after="0" w:line="240" w:lineRule="auto"/>
              <w:rPr>
                <w:sz w:val="24"/>
                <w:szCs w:val="24"/>
              </w:rPr>
            </w:pPr>
          </w:p>
        </w:tc>
      </w:tr>
      <w:tr w:rsidR="007E27CB">
        <w:trPr>
          <w:trHeight w:val="582"/>
        </w:trPr>
        <w:tc>
          <w:tcPr>
            <w:tcW w:w="2410" w:type="dxa"/>
            <w:vMerge/>
            <w:shd w:val="clear" w:color="auto" w:fill="auto"/>
          </w:tcPr>
          <w:p w:rsidR="007E27CB" w:rsidRDefault="007E27CB">
            <w:pPr>
              <w:spacing w:after="0" w:line="240" w:lineRule="auto"/>
              <w:rPr>
                <w:sz w:val="24"/>
                <w:szCs w:val="24"/>
              </w:rPr>
            </w:pPr>
          </w:p>
        </w:tc>
        <w:tc>
          <w:tcPr>
            <w:tcW w:w="1418" w:type="dxa"/>
            <w:shd w:val="clear" w:color="auto" w:fill="auto"/>
            <w:vAlign w:val="center"/>
          </w:tcPr>
          <w:p w:rsidR="007E27CB" w:rsidRDefault="008F141F">
            <w:pPr>
              <w:spacing w:after="0" w:line="240" w:lineRule="auto"/>
              <w:jc w:val="center"/>
              <w:rPr>
                <w:sz w:val="24"/>
                <w:szCs w:val="24"/>
              </w:rPr>
            </w:pPr>
            <w:r>
              <w:rPr>
                <w:sz w:val="24"/>
                <w:szCs w:val="24"/>
              </w:rPr>
              <w:t>целевой</w:t>
            </w:r>
          </w:p>
        </w:tc>
        <w:tc>
          <w:tcPr>
            <w:tcW w:w="1417" w:type="dxa"/>
            <w:vAlign w:val="center"/>
          </w:tcPr>
          <w:p w:rsidR="007E27CB" w:rsidRDefault="008F141F">
            <w:pPr>
              <w:spacing w:after="0" w:line="240" w:lineRule="auto"/>
              <w:jc w:val="center"/>
              <w:rPr>
                <w:sz w:val="24"/>
                <w:szCs w:val="24"/>
              </w:rPr>
            </w:pPr>
            <w:r>
              <w:rPr>
                <w:sz w:val="24"/>
                <w:szCs w:val="24"/>
              </w:rPr>
              <w:t>103,9</w:t>
            </w:r>
          </w:p>
        </w:tc>
        <w:tc>
          <w:tcPr>
            <w:tcW w:w="1134" w:type="dxa"/>
            <w:vMerge/>
            <w:vAlign w:val="center"/>
          </w:tcPr>
          <w:p w:rsidR="007E27CB" w:rsidRDefault="007E27CB">
            <w:pPr>
              <w:spacing w:after="0" w:line="240" w:lineRule="auto"/>
              <w:jc w:val="center"/>
              <w:rPr>
                <w:sz w:val="24"/>
                <w:szCs w:val="24"/>
                <w:vertAlign w:val="superscript"/>
              </w:rPr>
            </w:pPr>
          </w:p>
        </w:tc>
        <w:tc>
          <w:tcPr>
            <w:tcW w:w="4253" w:type="dxa"/>
            <w:vMerge/>
            <w:vAlign w:val="center"/>
          </w:tcPr>
          <w:p w:rsidR="007E27CB" w:rsidRDefault="007E27CB">
            <w:pPr>
              <w:spacing w:after="0" w:line="240" w:lineRule="auto"/>
              <w:jc w:val="center"/>
              <w:rPr>
                <w:sz w:val="24"/>
                <w:szCs w:val="24"/>
              </w:rPr>
            </w:pPr>
          </w:p>
        </w:tc>
      </w:tr>
      <w:tr w:rsidR="007E27CB">
        <w:trPr>
          <w:trHeight w:val="20"/>
        </w:trPr>
        <w:tc>
          <w:tcPr>
            <w:tcW w:w="10632" w:type="dxa"/>
            <w:gridSpan w:val="5"/>
            <w:shd w:val="clear" w:color="auto" w:fill="F2F2F2" w:themeFill="background1" w:themeFillShade="F2"/>
          </w:tcPr>
          <w:p w:rsidR="007E27CB" w:rsidRDefault="007E27CB">
            <w:pPr>
              <w:spacing w:after="0" w:line="240" w:lineRule="auto"/>
              <w:jc w:val="center"/>
              <w:rPr>
                <w:b/>
                <w:sz w:val="24"/>
                <w:szCs w:val="24"/>
              </w:rPr>
            </w:pPr>
          </w:p>
        </w:tc>
      </w:tr>
      <w:tr w:rsidR="007E27CB">
        <w:trPr>
          <w:trHeight w:val="630"/>
        </w:trPr>
        <w:tc>
          <w:tcPr>
            <w:tcW w:w="2410" w:type="dxa"/>
            <w:vMerge w:val="restart"/>
            <w:shd w:val="clear" w:color="auto" w:fill="auto"/>
            <w:vAlign w:val="center"/>
          </w:tcPr>
          <w:p w:rsidR="007E27CB" w:rsidRDefault="008F141F">
            <w:pPr>
              <w:spacing w:after="0" w:line="240" w:lineRule="auto"/>
              <w:rPr>
                <w:sz w:val="24"/>
                <w:szCs w:val="24"/>
              </w:rPr>
            </w:pPr>
            <w:r>
              <w:rPr>
                <w:sz w:val="24"/>
                <w:szCs w:val="24"/>
              </w:rPr>
              <w:t>Численность населения с денежными доходами ниже прожиточного минимума в % ко всему населению</w:t>
            </w:r>
          </w:p>
        </w:tc>
        <w:tc>
          <w:tcPr>
            <w:tcW w:w="1418" w:type="dxa"/>
            <w:shd w:val="clear" w:color="auto" w:fill="auto"/>
            <w:vAlign w:val="center"/>
          </w:tcPr>
          <w:p w:rsidR="007E27CB" w:rsidRDefault="008F141F">
            <w:pPr>
              <w:spacing w:after="0" w:line="240" w:lineRule="auto"/>
              <w:jc w:val="center"/>
              <w:rPr>
                <w:sz w:val="24"/>
                <w:szCs w:val="24"/>
              </w:rPr>
            </w:pPr>
            <w:r>
              <w:rPr>
                <w:sz w:val="24"/>
                <w:szCs w:val="24"/>
              </w:rPr>
              <w:t>консерва-тивный</w:t>
            </w:r>
          </w:p>
        </w:tc>
        <w:tc>
          <w:tcPr>
            <w:tcW w:w="1417" w:type="dxa"/>
            <w:vAlign w:val="center"/>
          </w:tcPr>
          <w:p w:rsidR="007E27CB" w:rsidRDefault="008F141F">
            <w:pPr>
              <w:spacing w:after="0" w:line="240" w:lineRule="auto"/>
              <w:jc w:val="center"/>
              <w:rPr>
                <w:sz w:val="24"/>
                <w:szCs w:val="24"/>
              </w:rPr>
            </w:pPr>
            <w:r>
              <w:rPr>
                <w:sz w:val="24"/>
                <w:szCs w:val="24"/>
              </w:rPr>
              <w:t>16,6</w:t>
            </w:r>
          </w:p>
        </w:tc>
        <w:tc>
          <w:tcPr>
            <w:tcW w:w="1134" w:type="dxa"/>
            <w:vMerge w:val="restart"/>
            <w:vAlign w:val="center"/>
          </w:tcPr>
          <w:p w:rsidR="007E27CB" w:rsidRDefault="008F141F">
            <w:pPr>
              <w:spacing w:after="0" w:line="240" w:lineRule="auto"/>
              <w:ind w:right="-108"/>
              <w:jc w:val="center"/>
              <w:rPr>
                <w:sz w:val="24"/>
                <w:szCs w:val="24"/>
              </w:rPr>
            </w:pPr>
            <w:r>
              <w:rPr>
                <w:sz w:val="24"/>
                <w:szCs w:val="24"/>
              </w:rPr>
              <w:t>14,5</w:t>
            </w:r>
            <w:r>
              <w:rPr>
                <w:sz w:val="24"/>
                <w:szCs w:val="24"/>
                <w:vertAlign w:val="superscript"/>
              </w:rPr>
              <w:t>1)</w:t>
            </w:r>
          </w:p>
        </w:tc>
        <w:tc>
          <w:tcPr>
            <w:tcW w:w="4253" w:type="dxa"/>
            <w:vMerge w:val="restart"/>
            <w:vAlign w:val="center"/>
          </w:tcPr>
          <w:p w:rsidR="007E27CB" w:rsidRDefault="008F141F">
            <w:pPr>
              <w:spacing w:after="0" w:line="240" w:lineRule="auto"/>
              <w:rPr>
                <w:sz w:val="24"/>
                <w:szCs w:val="24"/>
              </w:rPr>
            </w:pPr>
            <w:r>
              <w:rPr>
                <w:sz w:val="24"/>
                <w:szCs w:val="24"/>
              </w:rPr>
              <w:t>Более низкое значение показателя обусловлено пересчетом его ретроспективной линейки, обусловленной изменением методики учета показателя среднедушевых денежных доходов населения</w:t>
            </w:r>
          </w:p>
        </w:tc>
      </w:tr>
      <w:tr w:rsidR="007E27CB">
        <w:trPr>
          <w:trHeight w:val="507"/>
        </w:trPr>
        <w:tc>
          <w:tcPr>
            <w:tcW w:w="2410" w:type="dxa"/>
            <w:vMerge/>
            <w:shd w:val="clear" w:color="auto" w:fill="auto"/>
            <w:vAlign w:val="center"/>
          </w:tcPr>
          <w:p w:rsidR="007E27CB" w:rsidRDefault="007E27CB">
            <w:pPr>
              <w:spacing w:after="0" w:line="240" w:lineRule="auto"/>
              <w:rPr>
                <w:sz w:val="24"/>
                <w:szCs w:val="24"/>
              </w:rPr>
            </w:pPr>
          </w:p>
        </w:tc>
        <w:tc>
          <w:tcPr>
            <w:tcW w:w="1418" w:type="dxa"/>
            <w:shd w:val="clear" w:color="auto" w:fill="auto"/>
            <w:vAlign w:val="center"/>
          </w:tcPr>
          <w:p w:rsidR="007E27CB" w:rsidRDefault="008F141F">
            <w:pPr>
              <w:spacing w:after="0" w:line="240" w:lineRule="auto"/>
              <w:jc w:val="center"/>
              <w:rPr>
                <w:sz w:val="24"/>
                <w:szCs w:val="24"/>
              </w:rPr>
            </w:pPr>
            <w:r>
              <w:rPr>
                <w:sz w:val="24"/>
                <w:szCs w:val="24"/>
              </w:rPr>
              <w:t>базовый</w:t>
            </w:r>
          </w:p>
        </w:tc>
        <w:tc>
          <w:tcPr>
            <w:tcW w:w="1417" w:type="dxa"/>
            <w:vAlign w:val="center"/>
          </w:tcPr>
          <w:p w:rsidR="007E27CB" w:rsidRDefault="008F141F">
            <w:pPr>
              <w:spacing w:after="0" w:line="240" w:lineRule="auto"/>
              <w:jc w:val="center"/>
              <w:rPr>
                <w:sz w:val="24"/>
                <w:szCs w:val="24"/>
              </w:rPr>
            </w:pPr>
            <w:r>
              <w:rPr>
                <w:sz w:val="24"/>
                <w:szCs w:val="24"/>
              </w:rPr>
              <w:t>16,5</w:t>
            </w:r>
          </w:p>
        </w:tc>
        <w:tc>
          <w:tcPr>
            <w:tcW w:w="1134" w:type="dxa"/>
            <w:vMerge/>
            <w:vAlign w:val="center"/>
          </w:tcPr>
          <w:p w:rsidR="007E27CB" w:rsidRDefault="007E27CB">
            <w:pPr>
              <w:spacing w:after="0" w:line="240" w:lineRule="auto"/>
              <w:ind w:right="-108"/>
              <w:jc w:val="center"/>
              <w:rPr>
                <w:sz w:val="24"/>
                <w:szCs w:val="24"/>
              </w:rPr>
            </w:pPr>
          </w:p>
        </w:tc>
        <w:tc>
          <w:tcPr>
            <w:tcW w:w="4253" w:type="dxa"/>
            <w:vMerge/>
            <w:vAlign w:val="center"/>
          </w:tcPr>
          <w:p w:rsidR="007E27CB" w:rsidRDefault="007E27CB">
            <w:pPr>
              <w:spacing w:after="0" w:line="240" w:lineRule="auto"/>
              <w:jc w:val="center"/>
              <w:rPr>
                <w:sz w:val="24"/>
                <w:szCs w:val="24"/>
              </w:rPr>
            </w:pPr>
          </w:p>
        </w:tc>
      </w:tr>
      <w:tr w:rsidR="007E27CB">
        <w:trPr>
          <w:trHeight w:val="20"/>
        </w:trPr>
        <w:tc>
          <w:tcPr>
            <w:tcW w:w="2410" w:type="dxa"/>
            <w:vMerge/>
            <w:shd w:val="clear" w:color="auto" w:fill="auto"/>
          </w:tcPr>
          <w:p w:rsidR="007E27CB" w:rsidRDefault="007E27CB">
            <w:pPr>
              <w:spacing w:after="0" w:line="240" w:lineRule="auto"/>
              <w:rPr>
                <w:sz w:val="24"/>
                <w:szCs w:val="24"/>
              </w:rPr>
            </w:pPr>
          </w:p>
        </w:tc>
        <w:tc>
          <w:tcPr>
            <w:tcW w:w="1418" w:type="dxa"/>
            <w:shd w:val="clear" w:color="auto" w:fill="auto"/>
            <w:vAlign w:val="center"/>
          </w:tcPr>
          <w:p w:rsidR="007E27CB" w:rsidRDefault="008F141F">
            <w:pPr>
              <w:spacing w:after="0" w:line="240" w:lineRule="auto"/>
              <w:jc w:val="center"/>
              <w:rPr>
                <w:sz w:val="24"/>
                <w:szCs w:val="24"/>
              </w:rPr>
            </w:pPr>
            <w:r>
              <w:rPr>
                <w:sz w:val="24"/>
                <w:szCs w:val="24"/>
              </w:rPr>
              <w:t>целевой</w:t>
            </w:r>
          </w:p>
        </w:tc>
        <w:tc>
          <w:tcPr>
            <w:tcW w:w="1417" w:type="dxa"/>
            <w:vAlign w:val="center"/>
          </w:tcPr>
          <w:p w:rsidR="007E27CB" w:rsidRDefault="008F141F">
            <w:pPr>
              <w:spacing w:after="0" w:line="240" w:lineRule="auto"/>
              <w:jc w:val="center"/>
              <w:rPr>
                <w:sz w:val="24"/>
                <w:szCs w:val="24"/>
              </w:rPr>
            </w:pPr>
            <w:r>
              <w:rPr>
                <w:sz w:val="24"/>
                <w:szCs w:val="24"/>
              </w:rPr>
              <w:t>15,5</w:t>
            </w:r>
          </w:p>
        </w:tc>
        <w:tc>
          <w:tcPr>
            <w:tcW w:w="1134" w:type="dxa"/>
            <w:vMerge/>
            <w:vAlign w:val="center"/>
          </w:tcPr>
          <w:p w:rsidR="007E27CB" w:rsidRDefault="007E27CB">
            <w:pPr>
              <w:spacing w:after="0" w:line="240" w:lineRule="auto"/>
              <w:jc w:val="center"/>
              <w:rPr>
                <w:sz w:val="24"/>
                <w:szCs w:val="24"/>
                <w:vertAlign w:val="superscript"/>
              </w:rPr>
            </w:pPr>
          </w:p>
        </w:tc>
        <w:tc>
          <w:tcPr>
            <w:tcW w:w="4253" w:type="dxa"/>
            <w:vMerge/>
            <w:vAlign w:val="center"/>
          </w:tcPr>
          <w:p w:rsidR="007E27CB" w:rsidRDefault="007E27CB">
            <w:pPr>
              <w:spacing w:after="0" w:line="240" w:lineRule="auto"/>
              <w:jc w:val="center"/>
              <w:rPr>
                <w:sz w:val="24"/>
                <w:szCs w:val="24"/>
              </w:rPr>
            </w:pPr>
          </w:p>
        </w:tc>
      </w:tr>
      <w:tr w:rsidR="007E27CB">
        <w:trPr>
          <w:trHeight w:val="20"/>
        </w:trPr>
        <w:tc>
          <w:tcPr>
            <w:tcW w:w="10632" w:type="dxa"/>
            <w:gridSpan w:val="5"/>
            <w:shd w:val="clear" w:color="auto" w:fill="F2F2F2" w:themeFill="background1" w:themeFillShade="F2"/>
          </w:tcPr>
          <w:p w:rsidR="007E27CB" w:rsidRDefault="007E27CB">
            <w:pPr>
              <w:spacing w:after="0" w:line="240" w:lineRule="auto"/>
              <w:jc w:val="center"/>
              <w:rPr>
                <w:b/>
                <w:sz w:val="24"/>
                <w:szCs w:val="24"/>
              </w:rPr>
            </w:pPr>
          </w:p>
        </w:tc>
      </w:tr>
      <w:tr w:rsidR="007E27CB">
        <w:trPr>
          <w:trHeight w:val="541"/>
        </w:trPr>
        <w:tc>
          <w:tcPr>
            <w:tcW w:w="2410" w:type="dxa"/>
            <w:vMerge w:val="restart"/>
            <w:shd w:val="clear" w:color="auto" w:fill="auto"/>
            <w:vAlign w:val="center"/>
          </w:tcPr>
          <w:p w:rsidR="007E27CB" w:rsidRDefault="008F141F">
            <w:pPr>
              <w:spacing w:after="0" w:line="240" w:lineRule="auto"/>
              <w:rPr>
                <w:sz w:val="24"/>
                <w:szCs w:val="24"/>
              </w:rPr>
            </w:pPr>
            <w:r>
              <w:rPr>
                <w:sz w:val="24"/>
                <w:szCs w:val="24"/>
              </w:rPr>
              <w:t>Уровень зарегистрированной безработицы, %</w:t>
            </w:r>
          </w:p>
        </w:tc>
        <w:tc>
          <w:tcPr>
            <w:tcW w:w="1418" w:type="dxa"/>
            <w:shd w:val="clear" w:color="auto" w:fill="auto"/>
            <w:vAlign w:val="center"/>
          </w:tcPr>
          <w:p w:rsidR="007E27CB" w:rsidRDefault="008F141F">
            <w:pPr>
              <w:spacing w:after="0" w:line="240" w:lineRule="auto"/>
              <w:jc w:val="center"/>
              <w:rPr>
                <w:sz w:val="24"/>
                <w:szCs w:val="24"/>
              </w:rPr>
            </w:pPr>
            <w:r>
              <w:rPr>
                <w:sz w:val="24"/>
                <w:szCs w:val="24"/>
              </w:rPr>
              <w:t>консерва-тивный</w:t>
            </w:r>
          </w:p>
        </w:tc>
        <w:tc>
          <w:tcPr>
            <w:tcW w:w="1417" w:type="dxa"/>
            <w:vAlign w:val="center"/>
          </w:tcPr>
          <w:p w:rsidR="007E27CB" w:rsidRDefault="008F141F">
            <w:pPr>
              <w:spacing w:after="0" w:line="240" w:lineRule="auto"/>
              <w:jc w:val="center"/>
              <w:rPr>
                <w:sz w:val="24"/>
                <w:szCs w:val="24"/>
              </w:rPr>
            </w:pPr>
            <w:r>
              <w:rPr>
                <w:sz w:val="24"/>
                <w:szCs w:val="24"/>
              </w:rPr>
              <w:t>1,5</w:t>
            </w:r>
          </w:p>
        </w:tc>
        <w:tc>
          <w:tcPr>
            <w:tcW w:w="1134" w:type="dxa"/>
            <w:vMerge w:val="restart"/>
            <w:vAlign w:val="center"/>
          </w:tcPr>
          <w:p w:rsidR="007E27CB" w:rsidRDefault="008F141F">
            <w:pPr>
              <w:spacing w:after="0" w:line="240" w:lineRule="auto"/>
              <w:jc w:val="center"/>
              <w:rPr>
                <w:sz w:val="24"/>
                <w:szCs w:val="24"/>
              </w:rPr>
            </w:pPr>
            <w:r>
              <w:rPr>
                <w:sz w:val="24"/>
                <w:szCs w:val="24"/>
              </w:rPr>
              <w:t>1,12</w:t>
            </w:r>
          </w:p>
        </w:tc>
        <w:tc>
          <w:tcPr>
            <w:tcW w:w="4253" w:type="dxa"/>
            <w:vMerge w:val="restart"/>
            <w:vAlign w:val="center"/>
          </w:tcPr>
          <w:p w:rsidR="007E27CB" w:rsidRDefault="008F141F">
            <w:pPr>
              <w:spacing w:after="0" w:line="240" w:lineRule="auto"/>
              <w:rPr>
                <w:sz w:val="24"/>
                <w:szCs w:val="24"/>
              </w:rPr>
            </w:pPr>
            <w:r>
              <w:rPr>
                <w:sz w:val="24"/>
                <w:szCs w:val="24"/>
              </w:rPr>
              <w:t>Показатель перевыполнен в связи с сокращением числа безработных вследствие высокой эффективности мер, направленных на трудоустройство безработных граждан</w:t>
            </w:r>
          </w:p>
        </w:tc>
      </w:tr>
      <w:tr w:rsidR="007E27CB">
        <w:trPr>
          <w:trHeight w:val="407"/>
        </w:trPr>
        <w:tc>
          <w:tcPr>
            <w:tcW w:w="2410" w:type="dxa"/>
            <w:vMerge/>
            <w:shd w:val="clear" w:color="auto" w:fill="auto"/>
            <w:vAlign w:val="center"/>
          </w:tcPr>
          <w:p w:rsidR="007E27CB" w:rsidRDefault="007E27CB">
            <w:pPr>
              <w:spacing w:after="0" w:line="240" w:lineRule="auto"/>
              <w:rPr>
                <w:sz w:val="24"/>
                <w:szCs w:val="24"/>
              </w:rPr>
            </w:pPr>
          </w:p>
        </w:tc>
        <w:tc>
          <w:tcPr>
            <w:tcW w:w="1418" w:type="dxa"/>
            <w:shd w:val="clear" w:color="auto" w:fill="auto"/>
            <w:vAlign w:val="center"/>
          </w:tcPr>
          <w:p w:rsidR="007E27CB" w:rsidRDefault="008F141F">
            <w:pPr>
              <w:spacing w:after="0" w:line="240" w:lineRule="auto"/>
              <w:jc w:val="center"/>
              <w:rPr>
                <w:sz w:val="24"/>
                <w:szCs w:val="24"/>
              </w:rPr>
            </w:pPr>
            <w:r>
              <w:rPr>
                <w:sz w:val="24"/>
                <w:szCs w:val="24"/>
              </w:rPr>
              <w:t>базовый</w:t>
            </w:r>
          </w:p>
        </w:tc>
        <w:tc>
          <w:tcPr>
            <w:tcW w:w="1417" w:type="dxa"/>
            <w:vAlign w:val="center"/>
          </w:tcPr>
          <w:p w:rsidR="007E27CB" w:rsidRDefault="008F141F">
            <w:pPr>
              <w:spacing w:after="0" w:line="240" w:lineRule="auto"/>
              <w:jc w:val="center"/>
              <w:rPr>
                <w:sz w:val="24"/>
                <w:szCs w:val="24"/>
              </w:rPr>
            </w:pPr>
            <w:r>
              <w:rPr>
                <w:sz w:val="24"/>
                <w:szCs w:val="24"/>
              </w:rPr>
              <w:t>1,4</w:t>
            </w:r>
          </w:p>
        </w:tc>
        <w:tc>
          <w:tcPr>
            <w:tcW w:w="1134" w:type="dxa"/>
            <w:vMerge/>
            <w:vAlign w:val="center"/>
          </w:tcPr>
          <w:p w:rsidR="007E27CB" w:rsidRDefault="007E27CB">
            <w:pPr>
              <w:spacing w:after="0" w:line="240" w:lineRule="auto"/>
              <w:jc w:val="center"/>
              <w:rPr>
                <w:sz w:val="24"/>
                <w:szCs w:val="24"/>
              </w:rPr>
            </w:pPr>
          </w:p>
        </w:tc>
        <w:tc>
          <w:tcPr>
            <w:tcW w:w="4253" w:type="dxa"/>
            <w:vMerge/>
            <w:vAlign w:val="center"/>
          </w:tcPr>
          <w:p w:rsidR="007E27CB" w:rsidRDefault="007E27CB">
            <w:pPr>
              <w:spacing w:after="0" w:line="240" w:lineRule="auto"/>
              <w:rPr>
                <w:sz w:val="24"/>
                <w:szCs w:val="24"/>
              </w:rPr>
            </w:pPr>
          </w:p>
        </w:tc>
      </w:tr>
      <w:tr w:rsidR="007E27CB">
        <w:trPr>
          <w:trHeight w:val="414"/>
        </w:trPr>
        <w:tc>
          <w:tcPr>
            <w:tcW w:w="2410" w:type="dxa"/>
            <w:vMerge/>
            <w:shd w:val="clear" w:color="auto" w:fill="auto"/>
          </w:tcPr>
          <w:p w:rsidR="007E27CB" w:rsidRDefault="007E27CB">
            <w:pPr>
              <w:spacing w:after="0" w:line="240" w:lineRule="auto"/>
              <w:rPr>
                <w:sz w:val="24"/>
                <w:szCs w:val="24"/>
              </w:rPr>
            </w:pPr>
          </w:p>
        </w:tc>
        <w:tc>
          <w:tcPr>
            <w:tcW w:w="1418" w:type="dxa"/>
            <w:shd w:val="clear" w:color="auto" w:fill="auto"/>
            <w:vAlign w:val="center"/>
          </w:tcPr>
          <w:p w:rsidR="007E27CB" w:rsidRDefault="008F141F">
            <w:pPr>
              <w:spacing w:after="0" w:line="240" w:lineRule="auto"/>
              <w:jc w:val="center"/>
              <w:rPr>
                <w:sz w:val="24"/>
                <w:szCs w:val="24"/>
              </w:rPr>
            </w:pPr>
            <w:r>
              <w:rPr>
                <w:sz w:val="24"/>
                <w:szCs w:val="24"/>
              </w:rPr>
              <w:t>целевой</w:t>
            </w:r>
          </w:p>
        </w:tc>
        <w:tc>
          <w:tcPr>
            <w:tcW w:w="1417" w:type="dxa"/>
            <w:vAlign w:val="center"/>
          </w:tcPr>
          <w:p w:rsidR="007E27CB" w:rsidRDefault="008F141F">
            <w:pPr>
              <w:spacing w:after="0" w:line="240" w:lineRule="auto"/>
              <w:jc w:val="center"/>
              <w:rPr>
                <w:sz w:val="24"/>
                <w:szCs w:val="24"/>
              </w:rPr>
            </w:pPr>
            <w:r>
              <w:rPr>
                <w:sz w:val="24"/>
                <w:szCs w:val="24"/>
              </w:rPr>
              <w:t>1,4</w:t>
            </w:r>
          </w:p>
        </w:tc>
        <w:tc>
          <w:tcPr>
            <w:tcW w:w="1134" w:type="dxa"/>
            <w:vMerge/>
            <w:vAlign w:val="center"/>
          </w:tcPr>
          <w:p w:rsidR="007E27CB" w:rsidRDefault="007E27CB">
            <w:pPr>
              <w:spacing w:after="0" w:line="240" w:lineRule="auto"/>
              <w:jc w:val="center"/>
              <w:rPr>
                <w:sz w:val="24"/>
                <w:szCs w:val="24"/>
                <w:vertAlign w:val="superscript"/>
              </w:rPr>
            </w:pPr>
          </w:p>
        </w:tc>
        <w:tc>
          <w:tcPr>
            <w:tcW w:w="4253" w:type="dxa"/>
            <w:vMerge/>
            <w:vAlign w:val="center"/>
          </w:tcPr>
          <w:p w:rsidR="007E27CB" w:rsidRDefault="007E27CB">
            <w:pPr>
              <w:spacing w:after="0" w:line="240" w:lineRule="auto"/>
              <w:jc w:val="center"/>
              <w:rPr>
                <w:sz w:val="24"/>
                <w:szCs w:val="24"/>
              </w:rPr>
            </w:pPr>
          </w:p>
        </w:tc>
      </w:tr>
      <w:tr w:rsidR="007E27CB">
        <w:trPr>
          <w:trHeight w:val="20"/>
        </w:trPr>
        <w:tc>
          <w:tcPr>
            <w:tcW w:w="2410" w:type="dxa"/>
            <w:shd w:val="clear" w:color="auto" w:fill="auto"/>
          </w:tcPr>
          <w:p w:rsidR="007E27CB" w:rsidRDefault="007E27CB">
            <w:pPr>
              <w:spacing w:after="0" w:line="240" w:lineRule="auto"/>
              <w:rPr>
                <w:sz w:val="24"/>
                <w:szCs w:val="24"/>
              </w:rPr>
            </w:pPr>
          </w:p>
        </w:tc>
        <w:tc>
          <w:tcPr>
            <w:tcW w:w="1418" w:type="dxa"/>
            <w:shd w:val="clear" w:color="auto" w:fill="auto"/>
            <w:vAlign w:val="center"/>
          </w:tcPr>
          <w:p w:rsidR="007E27CB" w:rsidRDefault="007E27CB">
            <w:pPr>
              <w:spacing w:after="0" w:line="240" w:lineRule="auto"/>
              <w:jc w:val="center"/>
              <w:rPr>
                <w:sz w:val="24"/>
                <w:szCs w:val="24"/>
              </w:rPr>
            </w:pPr>
          </w:p>
        </w:tc>
        <w:tc>
          <w:tcPr>
            <w:tcW w:w="1417" w:type="dxa"/>
            <w:vAlign w:val="center"/>
          </w:tcPr>
          <w:p w:rsidR="007E27CB" w:rsidRDefault="007E27CB">
            <w:pPr>
              <w:spacing w:after="0" w:line="240" w:lineRule="auto"/>
              <w:jc w:val="center"/>
              <w:rPr>
                <w:sz w:val="24"/>
                <w:szCs w:val="24"/>
              </w:rPr>
            </w:pPr>
          </w:p>
        </w:tc>
        <w:tc>
          <w:tcPr>
            <w:tcW w:w="1134" w:type="dxa"/>
            <w:vAlign w:val="center"/>
          </w:tcPr>
          <w:p w:rsidR="007E27CB" w:rsidRDefault="007E27CB">
            <w:pPr>
              <w:spacing w:after="0" w:line="240" w:lineRule="auto"/>
              <w:jc w:val="center"/>
              <w:rPr>
                <w:sz w:val="24"/>
                <w:szCs w:val="24"/>
                <w:vertAlign w:val="superscript"/>
              </w:rPr>
            </w:pPr>
          </w:p>
        </w:tc>
        <w:tc>
          <w:tcPr>
            <w:tcW w:w="4253" w:type="dxa"/>
            <w:vAlign w:val="center"/>
          </w:tcPr>
          <w:p w:rsidR="007E27CB" w:rsidRDefault="007E27CB">
            <w:pPr>
              <w:spacing w:after="0" w:line="240" w:lineRule="auto"/>
              <w:jc w:val="center"/>
              <w:rPr>
                <w:sz w:val="24"/>
                <w:szCs w:val="24"/>
              </w:rPr>
            </w:pPr>
          </w:p>
        </w:tc>
      </w:tr>
    </w:tbl>
    <w:p w:rsidR="007E27CB" w:rsidRDefault="008F141F">
      <w:pPr>
        <w:pStyle w:val="a6"/>
        <w:numPr>
          <w:ilvl w:val="0"/>
          <w:numId w:val="102"/>
        </w:numPr>
        <w:tabs>
          <w:tab w:val="left" w:pos="284"/>
        </w:tabs>
        <w:spacing w:after="0"/>
        <w:ind w:left="0" w:firstLine="0"/>
        <w:rPr>
          <w:rFonts w:ascii="Times New Roman" w:hAnsi="Times New Roman"/>
          <w:sz w:val="24"/>
          <w:szCs w:val="24"/>
        </w:rPr>
      </w:pPr>
      <w:r>
        <w:rPr>
          <w:rFonts w:ascii="Times New Roman" w:hAnsi="Times New Roman"/>
          <w:sz w:val="24"/>
          <w:szCs w:val="24"/>
        </w:rPr>
        <w:t>– оценка Департамента экономики Администрации Томской области</w:t>
      </w:r>
    </w:p>
    <w:p w:rsidR="007E27CB" w:rsidRDefault="008F141F">
      <w:pPr>
        <w:pStyle w:val="a6"/>
        <w:numPr>
          <w:ilvl w:val="0"/>
          <w:numId w:val="102"/>
        </w:numPr>
        <w:tabs>
          <w:tab w:val="left" w:pos="284"/>
        </w:tabs>
        <w:spacing w:after="0"/>
        <w:ind w:left="0" w:firstLine="0"/>
        <w:rPr>
          <w:rFonts w:ascii="Times New Roman" w:hAnsi="Times New Roman"/>
          <w:sz w:val="24"/>
          <w:szCs w:val="24"/>
        </w:rPr>
      </w:pPr>
      <w:r>
        <w:rPr>
          <w:rFonts w:ascii="Times New Roman" w:hAnsi="Times New Roman"/>
          <w:sz w:val="24"/>
          <w:szCs w:val="24"/>
        </w:rPr>
        <w:t>–</w:t>
      </w:r>
      <w:r>
        <w:rPr>
          <w:rFonts w:ascii="Times New Roman" w:hAnsi="Times New Roman"/>
          <w:bCs/>
          <w:sz w:val="24"/>
          <w:szCs w:val="24"/>
          <w:lang w:eastAsia="x-none"/>
        </w:rPr>
        <w:t xml:space="preserve"> без учета жилых домов, построенных на земельных участках, предназначенных для ведения гражданами садоводства</w:t>
      </w:r>
    </w:p>
    <w:p w:rsidR="007E27CB" w:rsidRDefault="007E27CB">
      <w:pPr>
        <w:spacing w:after="0"/>
        <w:ind w:left="-720"/>
        <w:rPr>
          <w:sz w:val="24"/>
          <w:szCs w:val="24"/>
        </w:rPr>
      </w:pPr>
    </w:p>
    <w:p w:rsidR="007E27CB" w:rsidRDefault="008F141F">
      <w:pPr>
        <w:tabs>
          <w:tab w:val="left" w:pos="993"/>
          <w:tab w:val="left" w:pos="4962"/>
        </w:tabs>
        <w:spacing w:after="0" w:line="240" w:lineRule="auto"/>
        <w:ind w:firstLine="709"/>
        <w:jc w:val="center"/>
        <w:rPr>
          <w:rFonts w:eastAsia="Calibri"/>
          <w:b/>
          <w:sz w:val="24"/>
          <w:szCs w:val="24"/>
        </w:rPr>
      </w:pPr>
      <w:r>
        <w:rPr>
          <w:rFonts w:eastAsia="Calibri"/>
          <w:b/>
          <w:sz w:val="24"/>
          <w:szCs w:val="24"/>
        </w:rPr>
        <w:br w:type="page"/>
      </w:r>
    </w:p>
    <w:p w:rsidR="007E27CB" w:rsidRDefault="008F141F">
      <w:pPr>
        <w:tabs>
          <w:tab w:val="left" w:pos="993"/>
          <w:tab w:val="left" w:pos="4962"/>
        </w:tabs>
        <w:spacing w:after="0" w:line="240" w:lineRule="auto"/>
        <w:jc w:val="center"/>
        <w:rPr>
          <w:rFonts w:eastAsia="Calibri"/>
          <w:b/>
          <w:sz w:val="24"/>
          <w:szCs w:val="24"/>
        </w:rPr>
      </w:pPr>
      <w:r>
        <w:rPr>
          <w:rFonts w:eastAsia="Calibri"/>
          <w:b/>
          <w:sz w:val="24"/>
          <w:szCs w:val="24"/>
        </w:rPr>
        <w:t>Приложение № 4. Мониторинг реализации схемы территориального планирования Томской области</w:t>
      </w:r>
    </w:p>
    <w:p w:rsidR="007E27CB" w:rsidRDefault="007E27CB">
      <w:pPr>
        <w:tabs>
          <w:tab w:val="left" w:pos="993"/>
          <w:tab w:val="left" w:pos="4962"/>
        </w:tabs>
        <w:spacing w:after="0" w:line="240" w:lineRule="auto"/>
        <w:ind w:firstLine="709"/>
        <w:jc w:val="right"/>
        <w:rPr>
          <w:rFonts w:eastAsia="Calibri"/>
          <w:b/>
          <w:sz w:val="24"/>
          <w:szCs w:val="24"/>
        </w:rPr>
      </w:pPr>
    </w:p>
    <w:p w:rsidR="007E27CB" w:rsidRDefault="008F141F">
      <w:pPr>
        <w:spacing w:after="0" w:line="240" w:lineRule="auto"/>
        <w:ind w:firstLine="709"/>
        <w:jc w:val="both"/>
        <w:rPr>
          <w:sz w:val="24"/>
          <w:szCs w:val="24"/>
        </w:rPr>
      </w:pPr>
      <w:r>
        <w:rPr>
          <w:sz w:val="24"/>
          <w:szCs w:val="24"/>
        </w:rPr>
        <w:t>В рамках мониторинга реализации Схемы территориального планирования Томской области выполнен проект изменений в Схему территориального планирования, которым актуализированы мероприятия по территориальному планированию в соответствии со Стратегией социально-экономического развития Томской области, отраслевыми документами стратегического планирования Российской Федерации, утвержденными документами территориального планирования Российской Федерации.</w:t>
      </w:r>
    </w:p>
    <w:p w:rsidR="007E27CB" w:rsidRDefault="008F141F">
      <w:pPr>
        <w:spacing w:after="0" w:line="240" w:lineRule="auto"/>
        <w:ind w:firstLine="709"/>
        <w:jc w:val="both"/>
        <w:rPr>
          <w:sz w:val="24"/>
          <w:szCs w:val="24"/>
        </w:rPr>
      </w:pPr>
      <w:r>
        <w:rPr>
          <w:sz w:val="24"/>
          <w:szCs w:val="24"/>
        </w:rPr>
        <w:t>Проект изменений в Схему территориального планирования согласован с высшими исполнительными органами государственной власти субъектов Российской Федерации, имеющих общую границу с Томской областью, а также с органами местного самоуправления муниципальных образований Томской области.</w:t>
      </w:r>
    </w:p>
    <w:p w:rsidR="007E27CB" w:rsidRDefault="008F141F">
      <w:pPr>
        <w:spacing w:after="0" w:line="240" w:lineRule="auto"/>
        <w:ind w:firstLine="709"/>
        <w:jc w:val="both"/>
        <w:rPr>
          <w:sz w:val="24"/>
          <w:szCs w:val="24"/>
        </w:rPr>
      </w:pPr>
      <w:r>
        <w:rPr>
          <w:sz w:val="24"/>
          <w:szCs w:val="24"/>
        </w:rPr>
        <w:t>В настоящее время проходит процедуру согласования проект постановления Администрации Томской области о внесении изменений в Схему территориального планирования, утверждение которого планируется в первом полугодии 2020 года.</w:t>
      </w:r>
    </w:p>
    <w:p w:rsidR="007E27CB" w:rsidRDefault="007E27CB">
      <w:pPr>
        <w:tabs>
          <w:tab w:val="left" w:pos="993"/>
          <w:tab w:val="left" w:pos="4962"/>
        </w:tabs>
        <w:spacing w:after="0" w:line="240" w:lineRule="auto"/>
        <w:ind w:firstLine="709"/>
        <w:jc w:val="both"/>
        <w:rPr>
          <w:rFonts w:eastAsia="Calibri"/>
          <w:sz w:val="24"/>
          <w:szCs w:val="24"/>
        </w:rPr>
      </w:pPr>
    </w:p>
    <w:p w:rsidR="007E27CB" w:rsidRDefault="008F141F">
      <w:pPr>
        <w:tabs>
          <w:tab w:val="left" w:pos="4962"/>
        </w:tabs>
        <w:spacing w:after="0" w:line="240" w:lineRule="auto"/>
        <w:rPr>
          <w:rFonts w:eastAsia="Calibri"/>
          <w:sz w:val="24"/>
          <w:szCs w:val="24"/>
        </w:rPr>
      </w:pPr>
      <w:r>
        <w:rPr>
          <w:rFonts w:eastAsia="Calibri"/>
          <w:sz w:val="24"/>
          <w:szCs w:val="24"/>
        </w:rPr>
        <w:br w:type="page"/>
      </w:r>
    </w:p>
    <w:p w:rsidR="007E27CB" w:rsidRDefault="008F141F">
      <w:pPr>
        <w:spacing w:after="0" w:line="240" w:lineRule="auto"/>
        <w:jc w:val="center"/>
        <w:rPr>
          <w:rFonts w:eastAsia="Times New Roman"/>
          <w:b/>
          <w:sz w:val="24"/>
          <w:szCs w:val="24"/>
          <w:lang w:eastAsia="ru-RU"/>
        </w:rPr>
      </w:pPr>
      <w:r>
        <w:rPr>
          <w:rFonts w:eastAsia="Calibri"/>
          <w:b/>
          <w:sz w:val="24"/>
          <w:szCs w:val="24"/>
        </w:rPr>
        <w:t xml:space="preserve">Приложение № 5. </w:t>
      </w:r>
      <w:r>
        <w:rPr>
          <w:rFonts w:eastAsia="Times New Roman"/>
          <w:b/>
          <w:sz w:val="24"/>
          <w:szCs w:val="24"/>
          <w:lang w:eastAsia="ru-RU"/>
        </w:rPr>
        <w:t>Информация о ходе реализации региональных проектов Томской области, направленных на достижение национальных целей и стратегических задач развития Российской Федерации на период до 2024 года</w:t>
      </w:r>
    </w:p>
    <w:p w:rsidR="007E27CB" w:rsidRDefault="007E27CB">
      <w:pPr>
        <w:spacing w:after="0" w:line="240" w:lineRule="auto"/>
        <w:jc w:val="both"/>
        <w:rPr>
          <w:rFonts w:eastAsia="Times New Roman"/>
          <w:sz w:val="24"/>
          <w:szCs w:val="24"/>
          <w:lang w:eastAsia="ru-RU"/>
        </w:rPr>
      </w:pPr>
    </w:p>
    <w:p w:rsidR="007E27CB" w:rsidRDefault="008F141F">
      <w:pPr>
        <w:spacing w:after="0" w:line="240" w:lineRule="auto"/>
        <w:ind w:firstLine="567"/>
        <w:jc w:val="both"/>
        <w:rPr>
          <w:rFonts w:eastAsia="Times New Roman"/>
          <w:b/>
          <w:sz w:val="24"/>
          <w:szCs w:val="24"/>
          <w:lang w:eastAsia="ru-RU"/>
        </w:rPr>
      </w:pPr>
      <w:r>
        <w:rPr>
          <w:rFonts w:eastAsia="Times New Roman"/>
          <w:b/>
          <w:sz w:val="24"/>
          <w:szCs w:val="24"/>
          <w:lang w:eastAsia="ru-RU"/>
        </w:rPr>
        <w:t>Национальный проект «Демография»</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Целями национального проекта являются:</w:t>
      </w:r>
    </w:p>
    <w:p w:rsidR="007E27CB" w:rsidRDefault="008F141F">
      <w:pPr>
        <w:pStyle w:val="a3"/>
        <w:numPr>
          <w:ilvl w:val="0"/>
          <w:numId w:val="133"/>
        </w:numPr>
        <w:tabs>
          <w:tab w:val="left" w:pos="851"/>
        </w:tabs>
        <w:ind w:left="0" w:firstLine="567"/>
        <w:rPr>
          <w:rFonts w:eastAsia="Times New Roman"/>
        </w:rPr>
      </w:pPr>
      <w:r>
        <w:t>увеличение ожидаемой продолжительности здоровой жизни до 67 лет;</w:t>
      </w:r>
    </w:p>
    <w:p w:rsidR="007E27CB" w:rsidRDefault="008F141F">
      <w:pPr>
        <w:pStyle w:val="a3"/>
        <w:numPr>
          <w:ilvl w:val="0"/>
          <w:numId w:val="133"/>
        </w:numPr>
        <w:tabs>
          <w:tab w:val="left" w:pos="851"/>
        </w:tabs>
        <w:ind w:left="0" w:firstLine="567"/>
      </w:pPr>
      <w:r>
        <w:t>увеличение суммарного коэффициента рождаемости (до 1,7 детей на 1 женщину);</w:t>
      </w:r>
    </w:p>
    <w:p w:rsidR="007E27CB" w:rsidRDefault="008F141F">
      <w:pPr>
        <w:pStyle w:val="a3"/>
        <w:numPr>
          <w:ilvl w:val="0"/>
          <w:numId w:val="133"/>
        </w:numPr>
        <w:tabs>
          <w:tab w:val="left" w:pos="851"/>
        </w:tabs>
        <w:ind w:left="0" w:firstLine="567"/>
      </w:pPr>
      <w:r>
        <w:t>увеличение доли граждан, ведущих здоровый образ жизни;</w:t>
      </w:r>
    </w:p>
    <w:p w:rsidR="007E27CB" w:rsidRDefault="008F141F">
      <w:pPr>
        <w:pStyle w:val="a3"/>
        <w:numPr>
          <w:ilvl w:val="0"/>
          <w:numId w:val="133"/>
        </w:numPr>
        <w:tabs>
          <w:tab w:val="left" w:pos="851"/>
        </w:tabs>
        <w:ind w:left="0" w:firstLine="567"/>
      </w:pPr>
      <w:r>
        <w:t>55% граждан, систематически занимающихся физической культурой и спортом.</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 xml:space="preserve">Для достижения целей национального проекта в Томской области реализуются 5 региональных проектов: «Финансовая поддержка семей при рождении детей», «Содействие занятости женщин </w:t>
      </w:r>
      <w:r>
        <w:rPr>
          <w:sz w:val="24"/>
          <w:szCs w:val="24"/>
        </w:rPr>
        <w:t>–</w:t>
      </w:r>
      <w:r>
        <w:rPr>
          <w:rFonts w:eastAsia="Times New Roman"/>
          <w:sz w:val="24"/>
          <w:szCs w:val="24"/>
          <w:lang w:eastAsia="ru-RU"/>
        </w:rPr>
        <w:t xml:space="preserve"> создание условий дошкольного образования для детей в возрасте до трех лет», «Старшее поколение», «Укрепление общественного здоровья», «Спорт </w:t>
      </w:r>
      <w:r>
        <w:rPr>
          <w:sz w:val="24"/>
          <w:szCs w:val="24"/>
        </w:rPr>
        <w:t>–</w:t>
      </w:r>
      <w:r>
        <w:rPr>
          <w:rFonts w:eastAsia="Times New Roman"/>
          <w:sz w:val="24"/>
          <w:szCs w:val="24"/>
          <w:lang w:eastAsia="ru-RU"/>
        </w:rPr>
        <w:t xml:space="preserve"> норма жизни».</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На реализацию региональных проектов национального проекта «Демография» в 2019 году выделено из федерального, областного и местного бюджетов 3 040,6 млн. рублей, фактически израсходовано 2 647,7 млн. рублей (исполнение 87,1%).</w:t>
      </w:r>
    </w:p>
    <w:p w:rsidR="007E27CB" w:rsidRDefault="008F141F">
      <w:pPr>
        <w:spacing w:after="0" w:line="240" w:lineRule="auto"/>
        <w:ind w:firstLine="567"/>
        <w:jc w:val="both"/>
        <w:rPr>
          <w:rFonts w:eastAsia="Times New Roman"/>
          <w:b/>
          <w:sz w:val="24"/>
          <w:szCs w:val="24"/>
          <w:lang w:eastAsia="ru-RU"/>
        </w:rPr>
      </w:pPr>
      <w:r>
        <w:rPr>
          <w:rFonts w:eastAsia="Times New Roman"/>
          <w:b/>
          <w:sz w:val="24"/>
          <w:szCs w:val="24"/>
          <w:lang w:eastAsia="ru-RU"/>
        </w:rPr>
        <w:t>По итогам 2019 года:</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 xml:space="preserve">В рамках реализации мероприятий </w:t>
      </w:r>
      <w:r>
        <w:rPr>
          <w:rFonts w:eastAsia="Times New Roman"/>
          <w:i/>
          <w:sz w:val="24"/>
          <w:szCs w:val="24"/>
          <w:lang w:eastAsia="ru-RU"/>
        </w:rPr>
        <w:t>регионального проекта «Финансовая поддержка семей при рождении детей»</w:t>
      </w:r>
      <w:r>
        <w:rPr>
          <w:rFonts w:eastAsia="Times New Roman"/>
          <w:sz w:val="24"/>
          <w:szCs w:val="24"/>
          <w:lang w:eastAsia="ru-RU"/>
        </w:rPr>
        <w:t>:</w:t>
      </w:r>
    </w:p>
    <w:p w:rsidR="007E27CB" w:rsidRDefault="008F141F">
      <w:pPr>
        <w:pStyle w:val="a3"/>
        <w:numPr>
          <w:ilvl w:val="0"/>
          <w:numId w:val="133"/>
        </w:numPr>
        <w:tabs>
          <w:tab w:val="left" w:pos="851"/>
        </w:tabs>
        <w:ind w:left="0" w:firstLine="567"/>
        <w:rPr>
          <w:rFonts w:eastAsia="Times New Roman"/>
        </w:rPr>
      </w:pPr>
      <w:r>
        <w:t>4 128 семьям предоставлена ежемесячная денежная выплата в связи с рождением (усыновлением) первого ребенка на сумму 425,0 млн. рублей;</w:t>
      </w:r>
    </w:p>
    <w:p w:rsidR="007E27CB" w:rsidRDefault="008F141F">
      <w:pPr>
        <w:pStyle w:val="a3"/>
        <w:numPr>
          <w:ilvl w:val="0"/>
          <w:numId w:val="133"/>
        </w:numPr>
        <w:tabs>
          <w:tab w:val="left" w:pos="851"/>
        </w:tabs>
        <w:ind w:left="0" w:firstLine="567"/>
      </w:pPr>
      <w:r>
        <w:t>6 453 семьям предоставлена ежемесячная денежная выплата, назначаемая в случае рождения третьего ребенка или последующих детей до достижения ребенком возраста 3 лет на сумму 759,1 млн. рублей;</w:t>
      </w:r>
    </w:p>
    <w:p w:rsidR="007E27CB" w:rsidRDefault="008F141F">
      <w:pPr>
        <w:pStyle w:val="a3"/>
        <w:numPr>
          <w:ilvl w:val="0"/>
          <w:numId w:val="133"/>
        </w:numPr>
        <w:tabs>
          <w:tab w:val="left" w:pos="851"/>
        </w:tabs>
        <w:ind w:left="0" w:firstLine="567"/>
      </w:pPr>
      <w:r>
        <w:t>проведено 1</w:t>
      </w:r>
      <w:r>
        <w:rPr>
          <w:rFonts w:eastAsia="Times New Roman"/>
        </w:rPr>
        <w:t> </w:t>
      </w:r>
      <w:r>
        <w:t>000 циклов экстракорпорального оплодотворения семьям, страдающим бесплодием;</w:t>
      </w:r>
    </w:p>
    <w:p w:rsidR="007E27CB" w:rsidRDefault="008F141F">
      <w:pPr>
        <w:pStyle w:val="a3"/>
        <w:numPr>
          <w:ilvl w:val="0"/>
          <w:numId w:val="133"/>
        </w:numPr>
        <w:tabs>
          <w:tab w:val="left" w:pos="851"/>
        </w:tabs>
        <w:ind w:left="0" w:firstLine="567"/>
      </w:pPr>
      <w:r>
        <w:t>осуществлялось информирование населения о предоставлении мер социальной поддержки семьям в случае рождения первого ребенка и третьего ребенка.</w:t>
      </w:r>
    </w:p>
    <w:p w:rsidR="007E27CB" w:rsidRDefault="008F141F">
      <w:pPr>
        <w:tabs>
          <w:tab w:val="left" w:pos="993"/>
        </w:tabs>
        <w:spacing w:after="0" w:line="240" w:lineRule="auto"/>
        <w:ind w:firstLine="567"/>
        <w:jc w:val="both"/>
        <w:rPr>
          <w:rFonts w:eastAsia="Times New Roman"/>
          <w:sz w:val="24"/>
          <w:szCs w:val="24"/>
          <w:u w:val="single"/>
          <w:lang w:eastAsia="ru-RU"/>
        </w:rPr>
      </w:pPr>
      <w:r>
        <w:rPr>
          <w:rFonts w:eastAsia="Times New Roman"/>
          <w:sz w:val="24"/>
          <w:szCs w:val="24"/>
          <w:lang w:eastAsia="ru-RU"/>
        </w:rPr>
        <w:t xml:space="preserve">В рамках реализации мероприятий </w:t>
      </w:r>
      <w:r>
        <w:rPr>
          <w:rFonts w:eastAsia="Times New Roman"/>
          <w:i/>
          <w:sz w:val="24"/>
          <w:szCs w:val="24"/>
          <w:lang w:eastAsia="ru-RU"/>
        </w:rPr>
        <w:t>регионального проекта «Содействие занятости женщин - создание условий дошкольного образования для детей в возрасте до трех лет»:</w:t>
      </w:r>
    </w:p>
    <w:p w:rsidR="007E27CB" w:rsidRDefault="008F141F">
      <w:pPr>
        <w:pStyle w:val="a6"/>
        <w:numPr>
          <w:ilvl w:val="0"/>
          <w:numId w:val="133"/>
        </w:numPr>
        <w:tabs>
          <w:tab w:val="left" w:pos="851"/>
        </w:tabs>
        <w:spacing w:after="0" w:line="240" w:lineRule="auto"/>
        <w:ind w:left="0" w:firstLine="567"/>
        <w:contextualSpacing w:val="0"/>
        <w:jc w:val="both"/>
        <w:rPr>
          <w:rFonts w:ascii="Times New Roman" w:eastAsiaTheme="minorHAnsi" w:hAnsi="Times New Roman"/>
          <w:sz w:val="24"/>
          <w:szCs w:val="24"/>
        </w:rPr>
      </w:pPr>
      <w:r>
        <w:rPr>
          <w:rFonts w:ascii="Times New Roman" w:hAnsi="Times New Roman"/>
          <w:sz w:val="24"/>
          <w:szCs w:val="24"/>
        </w:rPr>
        <w:t>создано 600 новых мест в дошкольных образовательных организациях в 4 муниципальных образованиях региона (г. Томск, Томский, Первомайский, Молчановский районы). В настоящее время проводится работа по получению лицензии на осуществление образовательной деятельности. Планируемое начало образовательного процесса – июнь 2020 года.</w:t>
      </w:r>
    </w:p>
    <w:p w:rsidR="007E27CB" w:rsidRDefault="008F141F">
      <w:pPr>
        <w:tabs>
          <w:tab w:val="left" w:pos="993"/>
        </w:tabs>
        <w:spacing w:after="0" w:line="240" w:lineRule="auto"/>
        <w:ind w:firstLine="567"/>
        <w:jc w:val="both"/>
        <w:rPr>
          <w:rFonts w:eastAsia="Times New Roman"/>
          <w:sz w:val="24"/>
          <w:szCs w:val="24"/>
          <w:u w:val="single"/>
          <w:lang w:eastAsia="ru-RU"/>
        </w:rPr>
      </w:pPr>
      <w:r>
        <w:rPr>
          <w:rFonts w:eastAsia="Times New Roman"/>
          <w:sz w:val="24"/>
          <w:szCs w:val="24"/>
          <w:lang w:eastAsia="ru-RU"/>
        </w:rPr>
        <w:t xml:space="preserve">В рамках реализации мероприятий </w:t>
      </w:r>
      <w:r>
        <w:rPr>
          <w:rFonts w:eastAsia="Times New Roman"/>
          <w:i/>
          <w:sz w:val="24"/>
          <w:szCs w:val="24"/>
          <w:lang w:eastAsia="ru-RU"/>
        </w:rPr>
        <w:t>регионального проекта «Старшее поколение»:</w:t>
      </w:r>
    </w:p>
    <w:p w:rsidR="007E27CB" w:rsidRDefault="008F141F">
      <w:pPr>
        <w:pStyle w:val="a6"/>
        <w:numPr>
          <w:ilvl w:val="0"/>
          <w:numId w:val="133"/>
        </w:numPr>
        <w:tabs>
          <w:tab w:val="left" w:pos="851"/>
        </w:tabs>
        <w:spacing w:after="0" w:line="240" w:lineRule="auto"/>
        <w:ind w:left="0" w:firstLine="567"/>
        <w:contextualSpacing w:val="0"/>
        <w:jc w:val="both"/>
        <w:rPr>
          <w:rFonts w:ascii="Times New Roman" w:eastAsiaTheme="minorHAnsi" w:hAnsi="Times New Roman"/>
          <w:bCs/>
          <w:sz w:val="24"/>
          <w:szCs w:val="24"/>
        </w:rPr>
      </w:pPr>
      <w:r>
        <w:rPr>
          <w:rFonts w:ascii="Times New Roman" w:eastAsia="Times New Roman" w:hAnsi="Times New Roman"/>
          <w:sz w:val="24"/>
          <w:szCs w:val="24"/>
          <w:lang w:eastAsia="ru-RU"/>
        </w:rPr>
        <w:t>ведется строительство двух новых корпусов Итатского дома-интерната для престарелых и инвалидов на 170 койко-мест (завершение планируется в 2021 году);</w:t>
      </w:r>
    </w:p>
    <w:p w:rsidR="007E27CB" w:rsidRDefault="008F141F">
      <w:pPr>
        <w:pStyle w:val="a6"/>
        <w:numPr>
          <w:ilvl w:val="0"/>
          <w:numId w:val="133"/>
        </w:numPr>
        <w:tabs>
          <w:tab w:val="left" w:pos="851"/>
        </w:tabs>
        <w:spacing w:after="0" w:line="240" w:lineRule="auto"/>
        <w:ind w:left="0" w:firstLine="567"/>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приобретена вакцина против пневмококковой инфекции на сумму 1,63 млн. рублей, проведена вакцинация 96,4 % граждан старше трудоспособного возраста, проживающих в стационарных организациях социального обслуживания;</w:t>
      </w:r>
    </w:p>
    <w:p w:rsidR="007E27CB" w:rsidRDefault="008F141F">
      <w:pPr>
        <w:pStyle w:val="a6"/>
        <w:numPr>
          <w:ilvl w:val="0"/>
          <w:numId w:val="133"/>
        </w:numPr>
        <w:tabs>
          <w:tab w:val="left" w:pos="851"/>
        </w:tabs>
        <w:spacing w:after="0" w:line="240" w:lineRule="auto"/>
        <w:ind w:left="0" w:firstLine="567"/>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приобретено 23 единицы автотранспортных средств на сумму 25,7 млн. рублей для доставки лиц старше 65 лет, проживающих в сельской местности, в медицинские организации, создано 23 мобильные бригады. За 2019 год мобильными бригадами было доставлено 1 190 граждан старше 65 лет, проживающих в сельской местности Томской области, для прохождения диспансеризации или профилактического осмотра;</w:t>
      </w:r>
    </w:p>
    <w:p w:rsidR="007E27CB" w:rsidRDefault="008F141F">
      <w:pPr>
        <w:pStyle w:val="a6"/>
        <w:numPr>
          <w:ilvl w:val="0"/>
          <w:numId w:val="133"/>
        </w:numPr>
        <w:tabs>
          <w:tab w:val="left" w:pos="851"/>
        </w:tabs>
        <w:spacing w:after="0" w:line="240" w:lineRule="auto"/>
        <w:ind w:left="0" w:firstLine="567"/>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охват граждан старше трудоспособного возраста профилактическими осмотрами, включая диспансеризацию, составил 23,6% при плановом уровне 18,5%. Доля лиц старше трудоспособного возраста, у которых выявлены заболевания и патологические состояния, находящиеся под диспансерным наблюдением, составила 56,9% (план 50,7%);</w:t>
      </w:r>
    </w:p>
    <w:p w:rsidR="007E27CB" w:rsidRDefault="008F141F">
      <w:pPr>
        <w:pStyle w:val="a6"/>
        <w:numPr>
          <w:ilvl w:val="0"/>
          <w:numId w:val="133"/>
        </w:numPr>
        <w:tabs>
          <w:tab w:val="left" w:pos="851"/>
        </w:tabs>
        <w:spacing w:after="0" w:line="240" w:lineRule="auto"/>
        <w:ind w:left="0" w:firstLine="567"/>
        <w:contextualSpacing w:val="0"/>
        <w:jc w:val="both"/>
        <w:rPr>
          <w:rFonts w:ascii="Times New Roman" w:eastAsiaTheme="minorHAnsi" w:hAnsi="Times New Roman"/>
          <w:bCs/>
          <w:sz w:val="24"/>
          <w:szCs w:val="24"/>
        </w:rPr>
      </w:pPr>
      <w:r>
        <w:rPr>
          <w:rFonts w:ascii="Times New Roman" w:eastAsia="Times New Roman" w:hAnsi="Times New Roman"/>
          <w:sz w:val="24"/>
          <w:szCs w:val="24"/>
          <w:lang w:eastAsia="ru-RU"/>
        </w:rPr>
        <w:t>открыто 20 гериатрических коек: по 10 гериатрических коек на базе ФГБУ «Сибирский клинический научный центр ФМБА России» и ОГАУЗ «Больница № 2», также открыт гериатрический кабинет на базе ОГАУЗ «Больница № 2». Уровень госпитализации на геронтологические койки лиц старше 60 лет на 10 тыс. населения соответствующего возраста составил 15 усл. единиц, что соответствует плановому уровню, с учетом госпитализированных в г. Северск;</w:t>
      </w:r>
    </w:p>
    <w:p w:rsidR="007E27CB" w:rsidRDefault="008F141F">
      <w:pPr>
        <w:pStyle w:val="a6"/>
        <w:numPr>
          <w:ilvl w:val="0"/>
          <w:numId w:val="133"/>
        </w:numPr>
        <w:tabs>
          <w:tab w:val="left" w:pos="851"/>
        </w:tabs>
        <w:spacing w:after="0" w:line="240" w:lineRule="auto"/>
        <w:ind w:left="0" w:firstLine="567"/>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заключен 221 договор на организацию профессионального обучения 842 граждан предпенсионного возраста на сумму 28,62 млн. рублей. В том числе возмещены расходы на профессиональное обучение и дополнительное профессиональное образование работников из числа лиц предпенсионного возраста работодателям в сумме 2,64 млн. рублей, негосударственным образовательным организациям </w:t>
      </w:r>
      <w:r>
        <w:rPr>
          <w:rFonts w:ascii="Times New Roman" w:hAnsi="Times New Roman"/>
          <w:sz w:val="24"/>
          <w:szCs w:val="24"/>
        </w:rPr>
        <w:t>–</w:t>
      </w:r>
      <w:r>
        <w:rPr>
          <w:rFonts w:ascii="Times New Roman" w:eastAsia="Times New Roman" w:hAnsi="Times New Roman"/>
          <w:sz w:val="24"/>
          <w:szCs w:val="24"/>
          <w:lang w:eastAsia="ru-RU"/>
        </w:rPr>
        <w:t xml:space="preserve"> в сумме 9,26 млн. рублей.</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 xml:space="preserve">В рамках реализации мероприятий </w:t>
      </w:r>
      <w:r>
        <w:rPr>
          <w:rFonts w:eastAsia="Times New Roman"/>
          <w:i/>
          <w:sz w:val="24"/>
          <w:szCs w:val="24"/>
          <w:lang w:eastAsia="ru-RU"/>
        </w:rPr>
        <w:t xml:space="preserve">регионального проекта «Укрепление общественного здоровья» </w:t>
      </w:r>
      <w:r>
        <w:rPr>
          <w:sz w:val="24"/>
          <w:szCs w:val="24"/>
        </w:rPr>
        <w:t>проведены мероприятия по повышению приверженности граждан к здоровому образу жизни.</w:t>
      </w:r>
    </w:p>
    <w:p w:rsidR="007E27CB" w:rsidRDefault="008F141F">
      <w:pPr>
        <w:spacing w:after="0" w:line="240" w:lineRule="auto"/>
        <w:ind w:firstLine="567"/>
        <w:jc w:val="both"/>
        <w:rPr>
          <w:rFonts w:eastAsia="Times New Roman"/>
          <w:sz w:val="24"/>
          <w:szCs w:val="24"/>
          <w:u w:val="single"/>
          <w:lang w:eastAsia="ru-RU"/>
        </w:rPr>
      </w:pPr>
      <w:r>
        <w:rPr>
          <w:rFonts w:eastAsia="Times New Roman"/>
          <w:sz w:val="24"/>
          <w:szCs w:val="24"/>
          <w:lang w:eastAsia="ru-RU"/>
        </w:rPr>
        <w:t xml:space="preserve">В рамках реализации мероприятий </w:t>
      </w:r>
      <w:r>
        <w:rPr>
          <w:rFonts w:eastAsia="Times New Roman"/>
          <w:i/>
          <w:sz w:val="24"/>
          <w:szCs w:val="24"/>
          <w:lang w:eastAsia="ru-RU"/>
        </w:rPr>
        <w:t>регионального проекта «Спорт - норма жизни»:</w:t>
      </w:r>
    </w:p>
    <w:p w:rsidR="007E27CB" w:rsidRDefault="008F141F">
      <w:pPr>
        <w:pStyle w:val="Default"/>
        <w:numPr>
          <w:ilvl w:val="0"/>
          <w:numId w:val="133"/>
        </w:numPr>
        <w:tabs>
          <w:tab w:val="left" w:pos="851"/>
        </w:tabs>
        <w:ind w:left="0" w:firstLine="567"/>
        <w:jc w:val="both"/>
      </w:pPr>
      <w:r>
        <w:t xml:space="preserve">завершен капитальный ремонт 5 муниципальных объектов спорта: стадиона «Кедр» в с. Кривошеино Кривошеинского района, </w:t>
      </w:r>
      <w:r>
        <w:rPr>
          <w:rFonts w:eastAsia="Times New Roman"/>
          <w:spacing w:val="-2"/>
        </w:rPr>
        <w:t>спортивного комплекса «Юность» в       г. Асино Асиновского района, спортивно-оздоровительного центра «Колос» в                       с. Кожевниково Кожевниковского района, лыжной трассы и хоккейной коробки в с. Бакчар Бакчарского района;</w:t>
      </w:r>
    </w:p>
    <w:p w:rsidR="007E27CB" w:rsidRDefault="008F141F">
      <w:pPr>
        <w:pStyle w:val="Default"/>
        <w:numPr>
          <w:ilvl w:val="0"/>
          <w:numId w:val="133"/>
        </w:numPr>
        <w:tabs>
          <w:tab w:val="left" w:pos="851"/>
        </w:tabs>
        <w:ind w:left="0" w:firstLine="567"/>
        <w:jc w:val="both"/>
      </w:pPr>
      <w:r>
        <w:rPr>
          <w:rFonts w:eastAsia="Times New Roman"/>
          <w:spacing w:val="-2"/>
        </w:rPr>
        <w:t>построены 5 универсальных спортивных площадок: в с. Володино Кривошеинского района, в с. Пудино г. Кедрового, в с. Межениновка и п. Синий Утес Томского района, хоккейная коробка в п. Аэропорт Томского района;</w:t>
      </w:r>
    </w:p>
    <w:p w:rsidR="007E27CB" w:rsidRDefault="008F141F">
      <w:pPr>
        <w:pStyle w:val="Default"/>
        <w:numPr>
          <w:ilvl w:val="0"/>
          <w:numId w:val="133"/>
        </w:numPr>
        <w:tabs>
          <w:tab w:val="left" w:pos="851"/>
        </w:tabs>
        <w:ind w:left="0" w:firstLine="567"/>
        <w:jc w:val="both"/>
      </w:pPr>
      <w:r>
        <w:rPr>
          <w:color w:val="auto"/>
        </w:rPr>
        <w:t>созданы 7 спортивных площадок</w:t>
      </w:r>
      <w:r>
        <w:t xml:space="preserve"> для муниципальных центров тестирования </w:t>
      </w:r>
      <w:r>
        <w:rPr>
          <w:color w:val="auto"/>
        </w:rPr>
        <w:t>Всероссийского физкультурно-спортивного комплекса «Готов к труду и обороне»: в г. Томск, г. Северск, г. Асино, г. Стрежевой, г. Колпашево, п. Зональная Станция Томского района, с. Кожевниково Кожевниковского района;</w:t>
      </w:r>
    </w:p>
    <w:p w:rsidR="007E27CB" w:rsidRDefault="008F141F">
      <w:pPr>
        <w:pStyle w:val="Default"/>
        <w:numPr>
          <w:ilvl w:val="0"/>
          <w:numId w:val="133"/>
        </w:numPr>
        <w:tabs>
          <w:tab w:val="left" w:pos="851"/>
        </w:tabs>
        <w:ind w:left="0" w:firstLine="567"/>
        <w:jc w:val="both"/>
      </w:pPr>
      <w:r>
        <w:rPr>
          <w:color w:val="auto"/>
        </w:rPr>
        <w:t xml:space="preserve">созданы 30 </w:t>
      </w:r>
      <w:r>
        <w:t>малобюджетных спортивных площадок по месту жительства и учебы в 18 муниципальных образованиях Томской области.</w:t>
      </w:r>
    </w:p>
    <w:p w:rsidR="007E27CB" w:rsidRDefault="007E27CB">
      <w:pPr>
        <w:tabs>
          <w:tab w:val="left" w:pos="426"/>
        </w:tabs>
        <w:spacing w:after="0" w:line="240" w:lineRule="auto"/>
        <w:ind w:firstLine="567"/>
        <w:jc w:val="both"/>
        <w:rPr>
          <w:rFonts w:eastAsia="Times New Roman"/>
          <w:b/>
          <w:sz w:val="24"/>
          <w:szCs w:val="24"/>
          <w:lang w:eastAsia="ru-RU"/>
        </w:rPr>
      </w:pPr>
    </w:p>
    <w:p w:rsidR="007E27CB" w:rsidRDefault="008F141F">
      <w:pPr>
        <w:tabs>
          <w:tab w:val="left" w:pos="426"/>
        </w:tabs>
        <w:spacing w:after="0" w:line="240" w:lineRule="auto"/>
        <w:ind w:firstLine="567"/>
        <w:jc w:val="both"/>
        <w:rPr>
          <w:rFonts w:eastAsia="Times New Roman"/>
          <w:b/>
          <w:sz w:val="24"/>
          <w:szCs w:val="24"/>
          <w:lang w:eastAsia="ru-RU"/>
        </w:rPr>
      </w:pPr>
      <w:r>
        <w:rPr>
          <w:rFonts w:eastAsia="Times New Roman"/>
          <w:b/>
          <w:sz w:val="24"/>
          <w:szCs w:val="24"/>
          <w:lang w:eastAsia="ru-RU"/>
        </w:rPr>
        <w:t>Перспективные задачи на 2020 год:</w:t>
      </w:r>
    </w:p>
    <w:p w:rsidR="007E27CB" w:rsidRDefault="008F141F">
      <w:pPr>
        <w:tabs>
          <w:tab w:val="left" w:pos="426"/>
        </w:tabs>
        <w:spacing w:after="0" w:line="240" w:lineRule="auto"/>
        <w:ind w:firstLine="567"/>
        <w:jc w:val="both"/>
        <w:rPr>
          <w:rFonts w:eastAsia="Times New Roman"/>
          <w:i/>
          <w:sz w:val="24"/>
          <w:szCs w:val="24"/>
          <w:lang w:eastAsia="ru-RU"/>
        </w:rPr>
      </w:pPr>
      <w:r>
        <w:rPr>
          <w:rFonts w:eastAsia="Times New Roman"/>
          <w:i/>
          <w:sz w:val="24"/>
          <w:szCs w:val="24"/>
          <w:lang w:eastAsia="ru-RU"/>
        </w:rPr>
        <w:t>Региональный проект «Финансовая поддержка семей при рождении детей»:</w:t>
      </w:r>
    </w:p>
    <w:p w:rsidR="007E27CB" w:rsidRDefault="008F141F">
      <w:pPr>
        <w:pStyle w:val="a6"/>
        <w:numPr>
          <w:ilvl w:val="0"/>
          <w:numId w:val="215"/>
        </w:numPr>
        <w:tabs>
          <w:tab w:val="left" w:pos="284"/>
          <w:tab w:val="left" w:pos="851"/>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Предоставление ежемесячной выплаты из федерального бюджета в связи с рождением первого ребенка.</w:t>
      </w:r>
    </w:p>
    <w:p w:rsidR="007E27CB" w:rsidRDefault="008F141F">
      <w:pPr>
        <w:pStyle w:val="a6"/>
        <w:numPr>
          <w:ilvl w:val="0"/>
          <w:numId w:val="215"/>
        </w:numPr>
        <w:tabs>
          <w:tab w:val="left" w:pos="284"/>
          <w:tab w:val="left" w:pos="851"/>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Предоставление ежемесячной денежной выплаты, назначаемой в случае рождения третьего ребенка или последующих детей до достижения ребенком возраста 3 лет.</w:t>
      </w:r>
    </w:p>
    <w:p w:rsidR="007E27CB" w:rsidRDefault="008F141F">
      <w:pPr>
        <w:pStyle w:val="a6"/>
        <w:numPr>
          <w:ilvl w:val="0"/>
          <w:numId w:val="215"/>
        </w:numPr>
        <w:tabs>
          <w:tab w:val="left" w:pos="284"/>
          <w:tab w:val="left" w:pos="851"/>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Предоставление семьям с тремя и более детьми ежемесячной денежной выплаты, назначаемой в случае рождения с 01.01.2020 третьего ребенка или последующих детей до достижения ребенком возраста 3 лет.</w:t>
      </w:r>
    </w:p>
    <w:p w:rsidR="007E27CB" w:rsidRDefault="008F141F">
      <w:pPr>
        <w:pStyle w:val="a6"/>
        <w:numPr>
          <w:ilvl w:val="0"/>
          <w:numId w:val="215"/>
        </w:numPr>
        <w:tabs>
          <w:tab w:val="left" w:pos="284"/>
          <w:tab w:val="left" w:pos="851"/>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Организация медицинской помощи семьям, страдающим бесплодием, с использованием экстракорпорального оплодотворения.</w:t>
      </w:r>
    </w:p>
    <w:p w:rsidR="007E27CB" w:rsidRDefault="008F141F">
      <w:pPr>
        <w:tabs>
          <w:tab w:val="left" w:pos="426"/>
        </w:tabs>
        <w:spacing w:after="0" w:line="240" w:lineRule="auto"/>
        <w:ind w:firstLine="567"/>
        <w:jc w:val="both"/>
        <w:rPr>
          <w:rFonts w:eastAsia="Times New Roman"/>
          <w:i/>
          <w:sz w:val="24"/>
          <w:szCs w:val="24"/>
          <w:lang w:eastAsia="ru-RU"/>
        </w:rPr>
      </w:pPr>
      <w:r>
        <w:rPr>
          <w:rFonts w:eastAsia="Times New Roman"/>
          <w:i/>
          <w:sz w:val="24"/>
          <w:szCs w:val="24"/>
          <w:lang w:eastAsia="ru-RU"/>
        </w:rPr>
        <w:t>Региональный проект «Содействие занятости женщин - создание условий дошкольного образования для детей в возрасте до трех лет»:</w:t>
      </w:r>
    </w:p>
    <w:p w:rsidR="007E27CB" w:rsidRDefault="008F141F">
      <w:pPr>
        <w:pStyle w:val="a3"/>
        <w:numPr>
          <w:ilvl w:val="0"/>
          <w:numId w:val="216"/>
        </w:numPr>
        <w:tabs>
          <w:tab w:val="left" w:pos="284"/>
          <w:tab w:val="left" w:pos="851"/>
        </w:tabs>
        <w:ind w:left="0" w:firstLine="0"/>
        <w:rPr>
          <w:rFonts w:eastAsia="Times New Roman"/>
        </w:rPr>
      </w:pPr>
      <w:r>
        <w:t>Открытие образовательного процесса в новых детских садах г. Томска (220 мест), Томского (90 мест), Первомайского (90 мест), Молчановского (90 мест) районов.</w:t>
      </w:r>
    </w:p>
    <w:p w:rsidR="007E27CB" w:rsidRDefault="008F141F">
      <w:pPr>
        <w:pStyle w:val="a3"/>
        <w:numPr>
          <w:ilvl w:val="0"/>
          <w:numId w:val="216"/>
        </w:numPr>
        <w:tabs>
          <w:tab w:val="left" w:pos="284"/>
          <w:tab w:val="left" w:pos="851"/>
        </w:tabs>
        <w:ind w:left="0" w:firstLine="0"/>
      </w:pPr>
      <w:r>
        <w:t>Завершение строительства и получение разрешения на ввод объектов в эксплуатацию 3 детских садов по 145 мест каждый в Кожевниковском, Зырянском, Шегарском районах.</w:t>
      </w:r>
    </w:p>
    <w:p w:rsidR="007E27CB" w:rsidRDefault="008F141F">
      <w:pPr>
        <w:pStyle w:val="a3"/>
        <w:numPr>
          <w:ilvl w:val="0"/>
          <w:numId w:val="216"/>
        </w:numPr>
        <w:tabs>
          <w:tab w:val="left" w:pos="284"/>
          <w:tab w:val="left" w:pos="851"/>
        </w:tabs>
        <w:ind w:left="0" w:firstLine="0"/>
      </w:pPr>
      <w:r>
        <w:t>Строительство и получение разрешения на ввод в эксплуатацию 2 детских садов на 220 и 145 мест в г. Томске.</w:t>
      </w:r>
    </w:p>
    <w:p w:rsidR="007E27CB" w:rsidRDefault="008F141F">
      <w:pPr>
        <w:pStyle w:val="a3"/>
        <w:numPr>
          <w:ilvl w:val="0"/>
          <w:numId w:val="216"/>
        </w:numPr>
        <w:tabs>
          <w:tab w:val="left" w:pos="284"/>
          <w:tab w:val="left" w:pos="851"/>
        </w:tabs>
        <w:ind w:left="0" w:firstLine="0"/>
      </w:pPr>
      <w:r>
        <w:t>Создание 1 482 дополнительных мест для детей в возрасте от 1,5 до 3 лет в негосударственном секторе дошкольного образования за счет субсидии из федерального бюджета.</w:t>
      </w:r>
    </w:p>
    <w:p w:rsidR="007E27CB" w:rsidRDefault="008F141F">
      <w:pPr>
        <w:pStyle w:val="a3"/>
        <w:numPr>
          <w:ilvl w:val="0"/>
          <w:numId w:val="216"/>
        </w:numPr>
        <w:tabs>
          <w:tab w:val="left" w:pos="284"/>
          <w:tab w:val="left" w:pos="851"/>
        </w:tabs>
        <w:ind w:left="0" w:firstLine="0"/>
      </w:pPr>
      <w:r>
        <w:t>Обеспечение переобучения и повышения квалификации 300 женщин, находящихся в отпуске по уходу за ребенком в возрасте до трех лет, а также женщин, имеющих детей дошкольного возраста, не состоящих в трудовых отношениях и обратившихся в органы службы занятости.</w:t>
      </w:r>
    </w:p>
    <w:p w:rsidR="007E27CB" w:rsidRDefault="008F141F">
      <w:pPr>
        <w:tabs>
          <w:tab w:val="left" w:pos="426"/>
        </w:tabs>
        <w:spacing w:after="0" w:line="240" w:lineRule="auto"/>
        <w:ind w:firstLine="567"/>
        <w:jc w:val="both"/>
        <w:rPr>
          <w:rFonts w:eastAsia="Times New Roman"/>
          <w:b/>
          <w:sz w:val="24"/>
          <w:szCs w:val="24"/>
          <w:lang w:eastAsia="ru-RU"/>
        </w:rPr>
      </w:pPr>
      <w:r>
        <w:rPr>
          <w:rFonts w:eastAsia="Times New Roman"/>
          <w:i/>
          <w:sz w:val="24"/>
          <w:szCs w:val="24"/>
          <w:lang w:eastAsia="ru-RU"/>
        </w:rPr>
        <w:t>Региональный проект «Старшее поколение»</w:t>
      </w:r>
      <w:r>
        <w:rPr>
          <w:rFonts w:eastAsia="Times New Roman"/>
          <w:sz w:val="24"/>
          <w:szCs w:val="24"/>
          <w:lang w:eastAsia="ru-RU"/>
        </w:rPr>
        <w:t>:</w:t>
      </w:r>
    </w:p>
    <w:p w:rsidR="007E27CB" w:rsidRDefault="008F141F">
      <w:pPr>
        <w:pStyle w:val="a6"/>
        <w:numPr>
          <w:ilvl w:val="0"/>
          <w:numId w:val="217"/>
        </w:numPr>
        <w:tabs>
          <w:tab w:val="left" w:pos="284"/>
          <w:tab w:val="left" w:pos="851"/>
        </w:tabs>
        <w:spacing w:after="0" w:line="240" w:lineRule="auto"/>
        <w:ind w:left="0" w:firstLine="0"/>
        <w:jc w:val="both"/>
        <w:rPr>
          <w:rFonts w:ascii="Times New Roman" w:eastAsia="Times New Roman" w:hAnsi="Times New Roman"/>
          <w:b/>
          <w:sz w:val="24"/>
          <w:szCs w:val="24"/>
          <w:lang w:eastAsia="ru-RU"/>
        </w:rPr>
      </w:pPr>
      <w:r>
        <w:rPr>
          <w:rFonts w:ascii="Times New Roman" w:hAnsi="Times New Roman"/>
          <w:sz w:val="24"/>
          <w:szCs w:val="24"/>
        </w:rPr>
        <w:t>Продолжение строительства корпусов «Итатского дома-интерната для престарелых и инвалидов» (завершение – 2021 год).</w:t>
      </w:r>
    </w:p>
    <w:p w:rsidR="007E27CB" w:rsidRDefault="008F141F">
      <w:pPr>
        <w:pStyle w:val="a6"/>
        <w:numPr>
          <w:ilvl w:val="0"/>
          <w:numId w:val="217"/>
        </w:numPr>
        <w:tabs>
          <w:tab w:val="left" w:pos="284"/>
          <w:tab w:val="left" w:pos="851"/>
        </w:tabs>
        <w:spacing w:after="0" w:line="240" w:lineRule="auto"/>
        <w:ind w:left="0" w:firstLine="0"/>
        <w:jc w:val="both"/>
        <w:rPr>
          <w:rFonts w:ascii="Times New Roman" w:eastAsia="Times New Roman" w:hAnsi="Times New Roman"/>
          <w:b/>
          <w:sz w:val="24"/>
          <w:szCs w:val="24"/>
          <w:lang w:eastAsia="ru-RU"/>
        </w:rPr>
      </w:pPr>
      <w:r>
        <w:rPr>
          <w:rFonts w:ascii="Times New Roman" w:hAnsi="Times New Roman"/>
          <w:sz w:val="24"/>
          <w:szCs w:val="24"/>
        </w:rPr>
        <w:t>Проведение вакцинации против пневмококковой инфекции лиц старше трудоспособного возраста в Томской области из групп риска, проживающих в организациях социального обслуживания (план – 206 человек).</w:t>
      </w:r>
    </w:p>
    <w:p w:rsidR="007E27CB" w:rsidRDefault="008F141F">
      <w:pPr>
        <w:pStyle w:val="a6"/>
        <w:numPr>
          <w:ilvl w:val="0"/>
          <w:numId w:val="217"/>
        </w:numPr>
        <w:tabs>
          <w:tab w:val="left" w:pos="284"/>
          <w:tab w:val="left" w:pos="851"/>
        </w:tabs>
        <w:spacing w:after="0" w:line="240" w:lineRule="auto"/>
        <w:ind w:left="0" w:firstLine="0"/>
        <w:jc w:val="both"/>
        <w:rPr>
          <w:rFonts w:ascii="Times New Roman" w:eastAsia="Times New Roman" w:hAnsi="Times New Roman"/>
          <w:b/>
          <w:sz w:val="24"/>
          <w:szCs w:val="24"/>
          <w:lang w:eastAsia="ru-RU"/>
        </w:rPr>
      </w:pPr>
      <w:r>
        <w:rPr>
          <w:rFonts w:ascii="Times New Roman" w:hAnsi="Times New Roman"/>
          <w:sz w:val="24"/>
          <w:szCs w:val="24"/>
        </w:rPr>
        <w:t>Организация профессионального обучения и дополнительного профессионального образования 358 граждан в возрасте 50 лет и старше, а также лиц предпенсионного возраста.</w:t>
      </w:r>
    </w:p>
    <w:p w:rsidR="007E27CB" w:rsidRDefault="008F141F">
      <w:pPr>
        <w:tabs>
          <w:tab w:val="left" w:pos="284"/>
        </w:tabs>
        <w:spacing w:after="0" w:line="240" w:lineRule="auto"/>
        <w:ind w:firstLine="567"/>
        <w:jc w:val="both"/>
        <w:rPr>
          <w:rFonts w:eastAsia="Times New Roman"/>
          <w:i/>
          <w:sz w:val="24"/>
          <w:szCs w:val="24"/>
          <w:lang w:eastAsia="ru-RU"/>
        </w:rPr>
      </w:pPr>
      <w:r>
        <w:rPr>
          <w:rFonts w:eastAsia="Times New Roman"/>
          <w:i/>
          <w:sz w:val="24"/>
          <w:szCs w:val="24"/>
          <w:lang w:eastAsia="ru-RU"/>
        </w:rPr>
        <w:t>Региональный проект «Укрепление общественного здоровья»:</w:t>
      </w:r>
    </w:p>
    <w:p w:rsidR="007E27CB" w:rsidRDefault="008F141F">
      <w:pPr>
        <w:pStyle w:val="a6"/>
        <w:numPr>
          <w:ilvl w:val="0"/>
          <w:numId w:val="218"/>
        </w:numPr>
        <w:tabs>
          <w:tab w:val="left" w:pos="284"/>
          <w:tab w:val="left" w:pos="851"/>
        </w:tabs>
        <w:spacing w:after="0" w:line="240" w:lineRule="auto"/>
        <w:ind w:left="0" w:firstLine="0"/>
        <w:jc w:val="both"/>
        <w:rPr>
          <w:rFonts w:ascii="Times New Roman" w:hAnsi="Times New Roman"/>
          <w:sz w:val="24"/>
          <w:szCs w:val="24"/>
        </w:rPr>
      </w:pPr>
      <w:r>
        <w:rPr>
          <w:rFonts w:ascii="Times New Roman" w:hAnsi="Times New Roman"/>
          <w:sz w:val="24"/>
          <w:szCs w:val="24"/>
        </w:rPr>
        <w:t>Продолжение реализации мероприятий</w:t>
      </w:r>
      <w:r>
        <w:rPr>
          <w:rFonts w:ascii="Times New Roman" w:hAnsi="Times New Roman"/>
          <w:color w:val="000000"/>
          <w:sz w:val="24"/>
          <w:szCs w:val="24"/>
        </w:rPr>
        <w:t xml:space="preserve"> по формированию приверженности здоровому образу жизни жителей Томской области с привлечением социально ориентированных некоммерческих организаций и волонтерских движений.</w:t>
      </w:r>
    </w:p>
    <w:p w:rsidR="007E27CB" w:rsidRDefault="008F141F">
      <w:pPr>
        <w:spacing w:after="0" w:line="240" w:lineRule="auto"/>
        <w:ind w:firstLine="567"/>
        <w:jc w:val="both"/>
        <w:rPr>
          <w:rFonts w:eastAsia="Times New Roman"/>
          <w:i/>
          <w:sz w:val="24"/>
          <w:szCs w:val="24"/>
          <w:lang w:eastAsia="ru-RU"/>
        </w:rPr>
      </w:pPr>
      <w:r>
        <w:rPr>
          <w:rFonts w:eastAsia="Times New Roman"/>
          <w:i/>
          <w:sz w:val="24"/>
          <w:szCs w:val="24"/>
          <w:lang w:eastAsia="ru-RU"/>
        </w:rPr>
        <w:t xml:space="preserve">Региональный проект «Спорт </w:t>
      </w:r>
      <w:r>
        <w:rPr>
          <w:sz w:val="24"/>
          <w:szCs w:val="24"/>
        </w:rPr>
        <w:t>–</w:t>
      </w:r>
      <w:r>
        <w:rPr>
          <w:rFonts w:eastAsia="Times New Roman"/>
          <w:i/>
          <w:sz w:val="24"/>
          <w:szCs w:val="24"/>
          <w:lang w:eastAsia="ru-RU"/>
        </w:rPr>
        <w:t xml:space="preserve"> норма жизни»:</w:t>
      </w:r>
    </w:p>
    <w:p w:rsidR="007E27CB" w:rsidRDefault="008F141F">
      <w:pPr>
        <w:pStyle w:val="Default"/>
        <w:numPr>
          <w:ilvl w:val="0"/>
          <w:numId w:val="219"/>
        </w:numPr>
        <w:tabs>
          <w:tab w:val="left" w:pos="284"/>
          <w:tab w:val="left" w:pos="851"/>
        </w:tabs>
        <w:ind w:left="0" w:firstLine="0"/>
        <w:jc w:val="both"/>
        <w:rPr>
          <w:color w:val="auto"/>
        </w:rPr>
      </w:pPr>
      <w:r>
        <w:rPr>
          <w:color w:val="auto"/>
        </w:rPr>
        <w:t>Создание 30 малобюджетных площадок ГТО по месту жительства и учебы в 18 муниципальных образованиях Томской области.</w:t>
      </w:r>
    </w:p>
    <w:p w:rsidR="007E27CB" w:rsidRDefault="008F141F">
      <w:pPr>
        <w:pStyle w:val="Default"/>
        <w:numPr>
          <w:ilvl w:val="0"/>
          <w:numId w:val="219"/>
        </w:numPr>
        <w:tabs>
          <w:tab w:val="left" w:pos="284"/>
          <w:tab w:val="left" w:pos="851"/>
        </w:tabs>
        <w:ind w:left="0" w:firstLine="0"/>
        <w:jc w:val="both"/>
        <w:rPr>
          <w:color w:val="auto"/>
        </w:rPr>
      </w:pPr>
      <w:r>
        <w:rPr>
          <w:color w:val="auto"/>
        </w:rPr>
        <w:t>Создание 15 хоккейных коробок с возможностью использования в летний период в муниципальных образованиях Томской области.</w:t>
      </w:r>
    </w:p>
    <w:p w:rsidR="007E27CB" w:rsidRDefault="008F141F">
      <w:pPr>
        <w:pStyle w:val="Default"/>
        <w:numPr>
          <w:ilvl w:val="0"/>
          <w:numId w:val="219"/>
        </w:numPr>
        <w:tabs>
          <w:tab w:val="left" w:pos="284"/>
          <w:tab w:val="left" w:pos="851"/>
        </w:tabs>
        <w:ind w:left="0" w:firstLine="0"/>
        <w:jc w:val="both"/>
        <w:rPr>
          <w:color w:val="auto"/>
        </w:rPr>
      </w:pPr>
      <w:r>
        <w:rPr>
          <w:color w:val="auto"/>
        </w:rPr>
        <w:t>Создание 4 спортивных площадок</w:t>
      </w:r>
      <w:r>
        <w:t xml:space="preserve"> для муниципальных центров тестирования </w:t>
      </w:r>
      <w:r>
        <w:rPr>
          <w:color w:val="auto"/>
        </w:rPr>
        <w:t>Всероссийского физкультурно-спортивного комплекса «Готов к труду и обороне» в Шегарском, Первомайском, Каргасокском и Верхнекетском районах.</w:t>
      </w:r>
    </w:p>
    <w:p w:rsidR="007E27CB" w:rsidRDefault="008F141F">
      <w:pPr>
        <w:pStyle w:val="Default"/>
        <w:numPr>
          <w:ilvl w:val="0"/>
          <w:numId w:val="219"/>
        </w:numPr>
        <w:tabs>
          <w:tab w:val="left" w:pos="284"/>
          <w:tab w:val="left" w:pos="851"/>
        </w:tabs>
        <w:ind w:left="0" w:firstLine="0"/>
        <w:jc w:val="both"/>
        <w:rPr>
          <w:color w:val="auto"/>
        </w:rPr>
      </w:pPr>
      <w:r>
        <w:rPr>
          <w:color w:val="auto"/>
        </w:rPr>
        <w:t xml:space="preserve">Проведение </w:t>
      </w:r>
      <w:r>
        <w:rPr>
          <w:rFonts w:eastAsia="MS Mincho"/>
          <w:color w:val="auto"/>
        </w:rPr>
        <w:t>капитального ремонта 2 муниципальных объектов спорта: стадион в           с. Молчаново Молчановского района, стадион «Геолог» в с. Алексадровское Александровского района</w:t>
      </w:r>
      <w:r>
        <w:rPr>
          <w:color w:val="auto"/>
        </w:rPr>
        <w:t>.</w:t>
      </w:r>
    </w:p>
    <w:p w:rsidR="007E27CB" w:rsidRDefault="007E27CB">
      <w:pPr>
        <w:spacing w:after="0" w:line="240" w:lineRule="auto"/>
        <w:ind w:firstLine="567"/>
        <w:jc w:val="both"/>
        <w:rPr>
          <w:rFonts w:eastAsia="Times New Roman"/>
          <w:sz w:val="24"/>
          <w:szCs w:val="24"/>
          <w:lang w:eastAsia="ru-RU"/>
        </w:rPr>
      </w:pPr>
    </w:p>
    <w:p w:rsidR="007E27CB" w:rsidRDefault="008F141F">
      <w:pPr>
        <w:spacing w:after="0" w:line="240" w:lineRule="auto"/>
        <w:ind w:firstLine="567"/>
        <w:jc w:val="both"/>
        <w:rPr>
          <w:rFonts w:eastAsia="Times New Roman"/>
          <w:b/>
          <w:sz w:val="24"/>
          <w:szCs w:val="24"/>
          <w:lang w:eastAsia="ru-RU"/>
        </w:rPr>
      </w:pPr>
      <w:r>
        <w:rPr>
          <w:rFonts w:eastAsia="Times New Roman"/>
          <w:b/>
          <w:sz w:val="24"/>
          <w:szCs w:val="24"/>
          <w:lang w:eastAsia="ru-RU"/>
        </w:rPr>
        <w:t>Национальный проект «Здравоохранение».</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Целями национального проекта являются:</w:t>
      </w:r>
    </w:p>
    <w:p w:rsidR="007E27CB" w:rsidRDefault="008F141F">
      <w:pPr>
        <w:pStyle w:val="a6"/>
        <w:numPr>
          <w:ilvl w:val="0"/>
          <w:numId w:val="165"/>
        </w:numPr>
        <w:tabs>
          <w:tab w:val="left" w:pos="851"/>
        </w:tabs>
        <w:spacing w:after="0" w:line="240" w:lineRule="auto"/>
        <w:ind w:left="0"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снижение младенческой смертности, смертности населения трудоспособного возраста, смертности населения от сердечно-сосудистых и онкологических заболеваний, больничной летальности от инфаркта и инсульта, рост числа рентгенэндоваскулярных операций, достижение практически полной укомплектованности врачами и медсестрами подразделений, оказывающих амбулаторную помощь, внедрение «бережливых технологий» в медицинских организациях, обеспечение охвата граждан профилактическими медосмотрами не реже одного раза в год, рост объема экспорта медицинских услуг.</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Для достижения целей национального проекта в Томской области реализуются 7 региональных проектов: «Развитие системы оказания первичной медико-санитарной помощи», «Борьба с онкологическими заболеваниями», «Борьба с сердечно-сосудистыми заболеваниями», «Развитие детского здравоохранения, включая создание современной инфраструктуры оказания медицинской помощи детям», «Создание единого цифрового контура в здравоохранении на основе единой государственной информационной системы в сфере здравоохранения (ЕГИСЗ)», «Обеспечение медицинских организаций системы здравоохранения квалифицированными кадрами», «Развитие экспорта медицинских услуг».</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На реализацию региональных проектов национального проекта «Здравоохранение» в 2019 году выделено из федерального и областного бюджета 1 216,1 млн. рублей, фактически израсходовано 1 090,8 млн. рублей (исполнение 89,7%).</w:t>
      </w:r>
    </w:p>
    <w:p w:rsidR="007E27CB" w:rsidRDefault="008F141F">
      <w:pPr>
        <w:spacing w:after="0" w:line="240" w:lineRule="auto"/>
        <w:ind w:firstLine="567"/>
        <w:jc w:val="both"/>
        <w:rPr>
          <w:rFonts w:eastAsia="Times New Roman"/>
          <w:b/>
          <w:sz w:val="24"/>
          <w:szCs w:val="24"/>
          <w:lang w:eastAsia="ru-RU"/>
        </w:rPr>
      </w:pPr>
      <w:r>
        <w:rPr>
          <w:rFonts w:eastAsia="Times New Roman"/>
          <w:b/>
          <w:sz w:val="24"/>
          <w:szCs w:val="24"/>
          <w:lang w:eastAsia="ru-RU"/>
        </w:rPr>
        <w:t>По итогам 2019 года:</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 xml:space="preserve">В рамках реализации мероприятий </w:t>
      </w:r>
      <w:r>
        <w:rPr>
          <w:rFonts w:eastAsia="Times New Roman"/>
          <w:i/>
          <w:sz w:val="24"/>
          <w:szCs w:val="24"/>
          <w:lang w:eastAsia="ru-RU"/>
        </w:rPr>
        <w:t>регионального проекта «Развитие системы оказания первичной медико-санитарной помощи»</w:t>
      </w:r>
      <w:r>
        <w:rPr>
          <w:rFonts w:eastAsia="Times New Roman"/>
          <w:sz w:val="24"/>
          <w:szCs w:val="24"/>
          <w:lang w:eastAsia="ru-RU"/>
        </w:rPr>
        <w:t xml:space="preserve">: </w:t>
      </w:r>
    </w:p>
    <w:p w:rsidR="007E27CB" w:rsidRDefault="008F141F">
      <w:pPr>
        <w:pStyle w:val="a6"/>
        <w:numPr>
          <w:ilvl w:val="0"/>
          <w:numId w:val="133"/>
        </w:numPr>
        <w:tabs>
          <w:tab w:val="left" w:pos="851"/>
        </w:tabs>
        <w:spacing w:after="0" w:line="240" w:lineRule="auto"/>
        <w:ind w:left="0" w:firstLine="567"/>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 модульных конструкций построено для организации новых фельдшерско – акушерских пунктов;</w:t>
      </w:r>
    </w:p>
    <w:p w:rsidR="007E27CB" w:rsidRDefault="008F141F">
      <w:pPr>
        <w:pStyle w:val="a6"/>
        <w:numPr>
          <w:ilvl w:val="0"/>
          <w:numId w:val="133"/>
        </w:numPr>
        <w:tabs>
          <w:tab w:val="left" w:pos="851"/>
        </w:tabs>
        <w:spacing w:after="0" w:line="240" w:lineRule="auto"/>
        <w:ind w:left="0" w:firstLine="567"/>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351 тыс. человек при плане 303 тыс. человек составил охват населения Томской области профилактическими медицинскими осмотрами;</w:t>
      </w:r>
    </w:p>
    <w:p w:rsidR="007E27CB" w:rsidRDefault="008F141F">
      <w:pPr>
        <w:pStyle w:val="a6"/>
        <w:numPr>
          <w:ilvl w:val="0"/>
          <w:numId w:val="133"/>
        </w:numPr>
        <w:tabs>
          <w:tab w:val="left" w:pos="851"/>
        </w:tabs>
        <w:spacing w:after="0" w:line="240" w:lineRule="auto"/>
        <w:ind w:left="0" w:firstLine="567"/>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 35 поликлиниках региона осуществлены мероприятия по внедрению Стандарта организации амбулаторной помощи;</w:t>
      </w:r>
    </w:p>
    <w:p w:rsidR="007E27CB" w:rsidRDefault="008F141F">
      <w:pPr>
        <w:pStyle w:val="a6"/>
        <w:numPr>
          <w:ilvl w:val="0"/>
          <w:numId w:val="133"/>
        </w:numPr>
        <w:tabs>
          <w:tab w:val="left" w:pos="851"/>
        </w:tabs>
        <w:spacing w:after="0" w:line="240" w:lineRule="auto"/>
        <w:ind w:left="0" w:firstLine="567"/>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увеличено число вылетов санитарной авиации за счет средств федерального бюджета – 270 при плане 159, эвакуировано 433 пациента.</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 xml:space="preserve">В рамках реализации мероприятий </w:t>
      </w:r>
      <w:r>
        <w:rPr>
          <w:rFonts w:eastAsia="Times New Roman"/>
          <w:i/>
          <w:sz w:val="24"/>
          <w:szCs w:val="24"/>
          <w:lang w:eastAsia="ru-RU"/>
        </w:rPr>
        <w:t>регионального проекта «Борьба с сердечно-сосудистыми заболеваниями»</w:t>
      </w:r>
      <w:r>
        <w:rPr>
          <w:rFonts w:eastAsia="Times New Roman"/>
          <w:sz w:val="24"/>
          <w:szCs w:val="24"/>
          <w:lang w:eastAsia="ru-RU"/>
        </w:rPr>
        <w:t>:</w:t>
      </w:r>
    </w:p>
    <w:p w:rsidR="007E27CB" w:rsidRDefault="008F141F">
      <w:pPr>
        <w:pStyle w:val="a6"/>
        <w:numPr>
          <w:ilvl w:val="0"/>
          <w:numId w:val="133"/>
        </w:numPr>
        <w:tabs>
          <w:tab w:val="left" w:pos="851"/>
        </w:tabs>
        <w:spacing w:after="0" w:line="240" w:lineRule="auto"/>
        <w:ind w:left="0"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15 единиц оборудования поступило в региональный сосудистый центр Томской областной клинической больницы (ангиограф, аппарат УЗИ, аппараты ИВЛ и др.)</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 xml:space="preserve">В рамках реализации мероприятий </w:t>
      </w:r>
      <w:r>
        <w:rPr>
          <w:rFonts w:eastAsia="Times New Roman"/>
          <w:i/>
          <w:sz w:val="24"/>
          <w:szCs w:val="24"/>
          <w:lang w:eastAsia="ru-RU"/>
        </w:rPr>
        <w:t>регионального  проекта «Борьба с онкологическими заболеваниями»:</w:t>
      </w:r>
    </w:p>
    <w:p w:rsidR="007E27CB" w:rsidRDefault="008F141F">
      <w:pPr>
        <w:pStyle w:val="a6"/>
        <w:numPr>
          <w:ilvl w:val="0"/>
          <w:numId w:val="166"/>
        </w:numPr>
        <w:tabs>
          <w:tab w:val="left" w:pos="851"/>
        </w:tabs>
        <w:spacing w:after="0" w:line="240" w:lineRule="auto"/>
        <w:ind w:left="0"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 онкологический диспансер поступило 28 единиц оборудования (рентгеновский аппарат, маммографы, эндоскопическое оборудование, УЗИ и прочее оборудование);</w:t>
      </w:r>
    </w:p>
    <w:p w:rsidR="007E27CB" w:rsidRDefault="008F141F">
      <w:pPr>
        <w:pStyle w:val="a6"/>
        <w:numPr>
          <w:ilvl w:val="0"/>
          <w:numId w:val="166"/>
        </w:numPr>
        <w:tabs>
          <w:tab w:val="left" w:pos="851"/>
        </w:tabs>
        <w:spacing w:after="0" w:line="240" w:lineRule="auto"/>
        <w:ind w:left="0"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начато строительство нового хирургического корпуса, что позволит расширить амбулаторно-поликлиническую сеть и открыть хирургическое отделение на 120 коек. </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 xml:space="preserve">В рамках реализации мероприятий </w:t>
      </w:r>
      <w:r>
        <w:rPr>
          <w:rFonts w:eastAsia="Times New Roman"/>
          <w:i/>
          <w:sz w:val="24"/>
          <w:szCs w:val="24"/>
          <w:lang w:eastAsia="ru-RU"/>
        </w:rPr>
        <w:t xml:space="preserve">регионального проекта «Развитие детского здравоохранения Томской области»: </w:t>
      </w:r>
    </w:p>
    <w:p w:rsidR="007E27CB" w:rsidRDefault="008F141F">
      <w:pPr>
        <w:pStyle w:val="a6"/>
        <w:numPr>
          <w:ilvl w:val="0"/>
          <w:numId w:val="167"/>
        </w:numPr>
        <w:tabs>
          <w:tab w:val="left" w:pos="851"/>
        </w:tabs>
        <w:spacing w:after="0" w:line="240" w:lineRule="auto"/>
        <w:ind w:left="0"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 детские поликлиники/детские учреждения здравоохранения поступило 20 единиц оборудования (рентгеновские аппараты, УЗИ, фиброскопы для исследования ЖКТ и т.д.);</w:t>
      </w:r>
    </w:p>
    <w:p w:rsidR="007E27CB" w:rsidRDefault="008F141F">
      <w:pPr>
        <w:pStyle w:val="a6"/>
        <w:numPr>
          <w:ilvl w:val="0"/>
          <w:numId w:val="167"/>
        </w:numPr>
        <w:tabs>
          <w:tab w:val="left" w:pos="851"/>
        </w:tabs>
        <w:spacing w:after="0" w:line="240" w:lineRule="auto"/>
        <w:ind w:left="0"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 симуляционных центрах прошли обучение 225 специалистов в области перинатологии, неонатологии и педиатрии;</w:t>
      </w:r>
    </w:p>
    <w:p w:rsidR="007E27CB" w:rsidRDefault="008F141F">
      <w:pPr>
        <w:pStyle w:val="a6"/>
        <w:numPr>
          <w:ilvl w:val="0"/>
          <w:numId w:val="167"/>
        </w:numPr>
        <w:tabs>
          <w:tab w:val="left" w:pos="851"/>
        </w:tabs>
        <w:spacing w:after="0" w:line="240" w:lineRule="auto"/>
        <w:ind w:left="0"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охват профилактическими медицинскими осмотрами детей в возрасте 15 </w:t>
      </w:r>
      <w:r>
        <w:rPr>
          <w:rFonts w:ascii="Times New Roman" w:hAnsi="Times New Roman"/>
          <w:sz w:val="24"/>
          <w:szCs w:val="24"/>
        </w:rPr>
        <w:t>–</w:t>
      </w:r>
      <w:r>
        <w:rPr>
          <w:rFonts w:ascii="Times New Roman" w:eastAsia="Times New Roman" w:hAnsi="Times New Roman"/>
          <w:sz w:val="24"/>
          <w:szCs w:val="24"/>
          <w:lang w:eastAsia="ru-RU"/>
        </w:rPr>
        <w:t xml:space="preserve"> 17 лет составил 63,4%.</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 xml:space="preserve">В рамках реализации мероприятий </w:t>
      </w:r>
      <w:r>
        <w:rPr>
          <w:rFonts w:eastAsia="Times New Roman"/>
          <w:i/>
          <w:sz w:val="24"/>
          <w:szCs w:val="24"/>
          <w:lang w:eastAsia="ru-RU"/>
        </w:rPr>
        <w:t>регионального проекта «Обеспечение медицинских организаций системы здравоохранения квалифицированными кадрами»:</w:t>
      </w:r>
    </w:p>
    <w:p w:rsidR="007E27CB" w:rsidRDefault="008F141F">
      <w:pPr>
        <w:pStyle w:val="a6"/>
        <w:numPr>
          <w:ilvl w:val="0"/>
          <w:numId w:val="168"/>
        </w:numPr>
        <w:tabs>
          <w:tab w:val="left" w:pos="851"/>
        </w:tabs>
        <w:spacing w:after="0" w:line="240" w:lineRule="auto"/>
        <w:ind w:left="0"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показатель обеспеченности врачами, работающими в государственных и муниципальных медицинских организациях, составил 42,8 на 10 тысяч населения;</w:t>
      </w:r>
    </w:p>
    <w:p w:rsidR="007E27CB" w:rsidRDefault="008F141F">
      <w:pPr>
        <w:pStyle w:val="a6"/>
        <w:numPr>
          <w:ilvl w:val="0"/>
          <w:numId w:val="168"/>
        </w:numPr>
        <w:tabs>
          <w:tab w:val="left" w:pos="851"/>
        </w:tabs>
        <w:spacing w:after="0" w:line="240" w:lineRule="auto"/>
        <w:ind w:left="0"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 систему непрерывного образования медицинских работников было вовлечено 3 235 человек.</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 xml:space="preserve">В рамках реализации мероприятий </w:t>
      </w:r>
      <w:r>
        <w:rPr>
          <w:rFonts w:eastAsia="Times New Roman"/>
          <w:i/>
          <w:sz w:val="24"/>
          <w:szCs w:val="24"/>
          <w:lang w:eastAsia="ru-RU"/>
        </w:rPr>
        <w:t>регионального проекта «Создание единого цифрового контура в здравоохранении на основе единой государственной информационной системы в сфере здравоохранения (ЕГИСЗ)»:</w:t>
      </w:r>
    </w:p>
    <w:p w:rsidR="007E27CB" w:rsidRDefault="008F141F">
      <w:pPr>
        <w:pStyle w:val="a6"/>
        <w:numPr>
          <w:ilvl w:val="0"/>
          <w:numId w:val="169"/>
        </w:numPr>
        <w:tabs>
          <w:tab w:val="left" w:pos="851"/>
        </w:tabs>
        <w:spacing w:after="0" w:line="240" w:lineRule="auto"/>
        <w:ind w:left="0"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 44 пунктах ОВП организованы автоматизированные рабочие места для работы в Медицинской информационной системе Томской области;</w:t>
      </w:r>
    </w:p>
    <w:p w:rsidR="007E27CB" w:rsidRDefault="008F141F">
      <w:pPr>
        <w:pStyle w:val="a6"/>
        <w:numPr>
          <w:ilvl w:val="0"/>
          <w:numId w:val="169"/>
        </w:numPr>
        <w:tabs>
          <w:tab w:val="left" w:pos="851"/>
        </w:tabs>
        <w:spacing w:after="0" w:line="240" w:lineRule="auto"/>
        <w:ind w:left="0"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84 ФАПа дооснащены автоматизированными рабочими местами для работы в Медицинской информационной системе Томской области;</w:t>
      </w:r>
    </w:p>
    <w:p w:rsidR="007E27CB" w:rsidRDefault="008F141F">
      <w:pPr>
        <w:pStyle w:val="a6"/>
        <w:numPr>
          <w:ilvl w:val="0"/>
          <w:numId w:val="169"/>
        </w:numPr>
        <w:tabs>
          <w:tab w:val="left" w:pos="851"/>
        </w:tabs>
        <w:spacing w:after="0" w:line="240" w:lineRule="auto"/>
        <w:ind w:left="0"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37 учреждений здравоохранения получили более 900 единиц техники;</w:t>
      </w:r>
    </w:p>
    <w:p w:rsidR="007E27CB" w:rsidRDefault="008F141F">
      <w:pPr>
        <w:pStyle w:val="a6"/>
        <w:numPr>
          <w:ilvl w:val="0"/>
          <w:numId w:val="169"/>
        </w:numPr>
        <w:tabs>
          <w:tab w:val="left" w:pos="851"/>
        </w:tabs>
        <w:spacing w:after="0" w:line="240" w:lineRule="auto"/>
        <w:ind w:left="0"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модернизировано и введено в эксплуатацию новое серверное оборудование центра обработки данных, посредством которого обеспечивается функционирование Медицинской информационной системы Томской области;</w:t>
      </w:r>
    </w:p>
    <w:p w:rsidR="007E27CB" w:rsidRDefault="008F141F">
      <w:pPr>
        <w:pStyle w:val="a6"/>
        <w:numPr>
          <w:ilvl w:val="0"/>
          <w:numId w:val="169"/>
        </w:numPr>
        <w:tabs>
          <w:tab w:val="left" w:pos="851"/>
        </w:tabs>
        <w:spacing w:after="0" w:line="240" w:lineRule="auto"/>
        <w:ind w:left="0"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83% медицинских организаций государственной и муниципальной систем здравоохранения используют медицинские информационные системы для организации и оказания медицинской помощи гражданам, обеспечивающие информационное взаимодействие с ЕГИСЗ.</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 xml:space="preserve">В рамках реализации </w:t>
      </w:r>
      <w:r>
        <w:rPr>
          <w:rFonts w:eastAsia="Times New Roman"/>
          <w:i/>
          <w:sz w:val="24"/>
          <w:szCs w:val="24"/>
          <w:lang w:eastAsia="ru-RU"/>
        </w:rPr>
        <w:t xml:space="preserve">регионального проекта «Развитие экспорта медицинских услуг» </w:t>
      </w:r>
      <w:r>
        <w:rPr>
          <w:rFonts w:eastAsia="Times New Roman"/>
          <w:sz w:val="24"/>
          <w:szCs w:val="24"/>
          <w:lang w:eastAsia="ru-RU"/>
        </w:rPr>
        <w:t>количество иностранных граждан, пролеченных в медицинских организациях Томской области составило, 12,9 тыс. человек при плановом значении 0,58 тыс. человек.</w:t>
      </w:r>
    </w:p>
    <w:p w:rsidR="007E27CB" w:rsidRDefault="007E27CB">
      <w:pPr>
        <w:spacing w:after="0" w:line="240" w:lineRule="auto"/>
        <w:ind w:firstLine="567"/>
        <w:jc w:val="both"/>
        <w:rPr>
          <w:rFonts w:eastAsia="Times New Roman"/>
          <w:b/>
          <w:sz w:val="24"/>
          <w:szCs w:val="24"/>
          <w:lang w:eastAsia="ru-RU"/>
        </w:rPr>
      </w:pPr>
    </w:p>
    <w:p w:rsidR="007E27CB" w:rsidRDefault="008F141F">
      <w:pPr>
        <w:tabs>
          <w:tab w:val="left" w:pos="426"/>
        </w:tabs>
        <w:spacing w:after="0" w:line="240" w:lineRule="auto"/>
        <w:ind w:firstLine="567"/>
        <w:jc w:val="both"/>
        <w:rPr>
          <w:rFonts w:eastAsia="Times New Roman"/>
          <w:b/>
          <w:sz w:val="24"/>
          <w:szCs w:val="24"/>
          <w:lang w:eastAsia="ru-RU"/>
        </w:rPr>
      </w:pPr>
      <w:r>
        <w:rPr>
          <w:rFonts w:eastAsia="Times New Roman"/>
          <w:b/>
          <w:sz w:val="24"/>
          <w:szCs w:val="24"/>
          <w:lang w:eastAsia="ru-RU"/>
        </w:rPr>
        <w:t>Перспективные задачи на 2020 год:</w:t>
      </w:r>
    </w:p>
    <w:p w:rsidR="007E27CB" w:rsidRDefault="008F141F">
      <w:pPr>
        <w:tabs>
          <w:tab w:val="left" w:pos="426"/>
        </w:tabs>
        <w:spacing w:after="0" w:line="240" w:lineRule="auto"/>
        <w:ind w:firstLine="567"/>
        <w:jc w:val="both"/>
        <w:rPr>
          <w:rFonts w:eastAsia="Times New Roman"/>
          <w:i/>
          <w:sz w:val="24"/>
          <w:szCs w:val="24"/>
          <w:lang w:eastAsia="ru-RU"/>
        </w:rPr>
      </w:pPr>
      <w:r>
        <w:rPr>
          <w:rFonts w:eastAsia="Times New Roman"/>
          <w:i/>
          <w:sz w:val="24"/>
          <w:szCs w:val="24"/>
          <w:lang w:eastAsia="ru-RU"/>
        </w:rPr>
        <w:t xml:space="preserve">Региональный проект «Развитие системы оказания первичной медико-санитарной помощи»: </w:t>
      </w:r>
    </w:p>
    <w:p w:rsidR="007E27CB" w:rsidRDefault="008F141F">
      <w:pPr>
        <w:pStyle w:val="a6"/>
        <w:numPr>
          <w:ilvl w:val="0"/>
          <w:numId w:val="220"/>
        </w:numPr>
        <w:tabs>
          <w:tab w:val="left" w:pos="284"/>
          <w:tab w:val="left" w:pos="851"/>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Строительство модульных конструкций для организации 10 новых фельдшерско-акушерских пунктов (Чаинский район, Томский район, Парабельский район, Кожевниковский район, Колпашевский район, Асиновский район).</w:t>
      </w:r>
    </w:p>
    <w:p w:rsidR="007E27CB" w:rsidRDefault="008F141F">
      <w:pPr>
        <w:pStyle w:val="a6"/>
        <w:numPr>
          <w:ilvl w:val="0"/>
          <w:numId w:val="220"/>
        </w:numPr>
        <w:tabs>
          <w:tab w:val="left" w:pos="284"/>
          <w:tab w:val="left" w:pos="851"/>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Продолжение поэтапного перехода медицинских организаций на новую модель оказания первичной медико-санитарной помощи, так называемое «Бережливое производство».</w:t>
      </w:r>
    </w:p>
    <w:p w:rsidR="007E27CB" w:rsidRDefault="008F141F">
      <w:pPr>
        <w:pStyle w:val="a6"/>
        <w:numPr>
          <w:ilvl w:val="0"/>
          <w:numId w:val="220"/>
        </w:numPr>
        <w:tabs>
          <w:tab w:val="left" w:pos="284"/>
          <w:tab w:val="left" w:pos="851"/>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Строительство вертолетной посадочной площадки в Верхнекетском районе.</w:t>
      </w:r>
    </w:p>
    <w:p w:rsidR="007E27CB" w:rsidRDefault="008F141F">
      <w:pPr>
        <w:pStyle w:val="a6"/>
        <w:numPr>
          <w:ilvl w:val="0"/>
          <w:numId w:val="220"/>
        </w:numPr>
        <w:tabs>
          <w:tab w:val="left" w:pos="284"/>
          <w:tab w:val="left" w:pos="851"/>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Охват профилактическими медицинскими осмотрами 325 тыс. человек населения Томской области.</w:t>
      </w:r>
    </w:p>
    <w:p w:rsidR="007E27CB" w:rsidRDefault="008F141F">
      <w:pPr>
        <w:tabs>
          <w:tab w:val="left" w:pos="426"/>
        </w:tabs>
        <w:spacing w:after="0" w:line="240" w:lineRule="auto"/>
        <w:ind w:firstLine="567"/>
        <w:jc w:val="both"/>
        <w:rPr>
          <w:rFonts w:eastAsia="Times New Roman"/>
          <w:i/>
          <w:sz w:val="24"/>
          <w:szCs w:val="24"/>
          <w:lang w:eastAsia="ru-RU"/>
        </w:rPr>
      </w:pPr>
      <w:r>
        <w:rPr>
          <w:rFonts w:eastAsia="Times New Roman"/>
          <w:i/>
          <w:sz w:val="24"/>
          <w:szCs w:val="24"/>
          <w:lang w:eastAsia="ru-RU"/>
        </w:rPr>
        <w:t>Региональный проект «Борьба с сердечно-сосудистыми заболеваниями»:</w:t>
      </w:r>
    </w:p>
    <w:p w:rsidR="007E27CB" w:rsidRDefault="008F141F">
      <w:pPr>
        <w:pStyle w:val="a6"/>
        <w:numPr>
          <w:ilvl w:val="0"/>
          <w:numId w:val="221"/>
        </w:numPr>
        <w:tabs>
          <w:tab w:val="left" w:pos="284"/>
          <w:tab w:val="left" w:pos="851"/>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Переоснащение медицинским оборудованием в общем количестве 34 единицы регионального сосудистого центра ОГАУЗ «Томской областной клинической больницы», а также переоснащение медицинским оборудованием четырех первичных сосудистых отделений районных больниц.</w:t>
      </w:r>
    </w:p>
    <w:p w:rsidR="007E27CB" w:rsidRDefault="008F141F">
      <w:pPr>
        <w:pStyle w:val="a6"/>
        <w:numPr>
          <w:ilvl w:val="0"/>
          <w:numId w:val="221"/>
        </w:numPr>
        <w:tabs>
          <w:tab w:val="left" w:pos="284"/>
          <w:tab w:val="left" w:pos="851"/>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Реализация мероприятий по обеспечению в амбулаторных условиях лекарственными препаратами граждан Томской области, которым были выполнены аортокоронарное шунтирование, ангиопластика коронарных артерий со стентированием и катетерная аблация, перенесших острое нарушение мозгового кровообращения, инфаркт миокарда.</w:t>
      </w:r>
    </w:p>
    <w:p w:rsidR="007E27CB" w:rsidRDefault="008F141F">
      <w:pPr>
        <w:tabs>
          <w:tab w:val="left" w:pos="426"/>
        </w:tabs>
        <w:spacing w:after="0" w:line="240" w:lineRule="auto"/>
        <w:ind w:firstLine="567"/>
        <w:jc w:val="both"/>
        <w:rPr>
          <w:rFonts w:eastAsia="Times New Roman"/>
          <w:i/>
          <w:sz w:val="24"/>
          <w:szCs w:val="24"/>
          <w:lang w:eastAsia="ru-RU"/>
        </w:rPr>
      </w:pPr>
      <w:r>
        <w:rPr>
          <w:rFonts w:eastAsia="Times New Roman"/>
          <w:i/>
          <w:sz w:val="24"/>
          <w:szCs w:val="24"/>
          <w:lang w:eastAsia="ru-RU"/>
        </w:rPr>
        <w:t>Региональный проект «Борьба с онкологическими заболеваниями»:</w:t>
      </w:r>
    </w:p>
    <w:p w:rsidR="007E27CB" w:rsidRDefault="008F141F">
      <w:pPr>
        <w:pStyle w:val="a6"/>
        <w:numPr>
          <w:ilvl w:val="0"/>
          <w:numId w:val="222"/>
        </w:numPr>
        <w:tabs>
          <w:tab w:val="left" w:pos="284"/>
          <w:tab w:val="left" w:pos="851"/>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Продолжение строительства хирургического корпуса.</w:t>
      </w:r>
    </w:p>
    <w:p w:rsidR="007E27CB" w:rsidRDefault="008F141F">
      <w:pPr>
        <w:pStyle w:val="a6"/>
        <w:numPr>
          <w:ilvl w:val="0"/>
          <w:numId w:val="222"/>
        </w:numPr>
        <w:tabs>
          <w:tab w:val="left" w:pos="284"/>
          <w:tab w:val="left" w:pos="851"/>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Переоснащение медицинским оборудованием в количестве 7 единиц ОГАУЗ «Томский областной онкологический диспансер».</w:t>
      </w:r>
    </w:p>
    <w:p w:rsidR="007E27CB" w:rsidRDefault="008F141F">
      <w:pPr>
        <w:tabs>
          <w:tab w:val="left" w:pos="426"/>
        </w:tabs>
        <w:spacing w:after="0" w:line="240" w:lineRule="auto"/>
        <w:ind w:firstLine="567"/>
        <w:jc w:val="both"/>
        <w:rPr>
          <w:rFonts w:eastAsia="Times New Roman"/>
          <w:i/>
          <w:sz w:val="24"/>
          <w:szCs w:val="24"/>
          <w:lang w:eastAsia="ru-RU"/>
        </w:rPr>
      </w:pPr>
      <w:r>
        <w:rPr>
          <w:rFonts w:eastAsia="Times New Roman"/>
          <w:i/>
          <w:sz w:val="24"/>
          <w:szCs w:val="24"/>
          <w:lang w:eastAsia="ru-RU"/>
        </w:rPr>
        <w:t>Региональный проект «Развитие детского здравоохранения Томской области»:</w:t>
      </w:r>
    </w:p>
    <w:p w:rsidR="007E27CB" w:rsidRDefault="008F141F">
      <w:pPr>
        <w:pStyle w:val="a6"/>
        <w:numPr>
          <w:ilvl w:val="0"/>
          <w:numId w:val="223"/>
        </w:numPr>
        <w:tabs>
          <w:tab w:val="left" w:pos="284"/>
          <w:tab w:val="left" w:pos="851"/>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Переоснащение 10 учреждений детского здравоохранения медицинским оборудованием в количестве 14 единиц.</w:t>
      </w:r>
    </w:p>
    <w:p w:rsidR="007E27CB" w:rsidRDefault="008F141F">
      <w:pPr>
        <w:pStyle w:val="a6"/>
        <w:numPr>
          <w:ilvl w:val="0"/>
          <w:numId w:val="223"/>
        </w:numPr>
        <w:tabs>
          <w:tab w:val="left" w:pos="284"/>
          <w:tab w:val="left" w:pos="851"/>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Совершенствование системы ранней диагностики заболеваний органов репродуктивной сферы у детей в возрасте 15 </w:t>
      </w:r>
      <w:r>
        <w:rPr>
          <w:rFonts w:ascii="Times New Roman" w:hAnsi="Times New Roman"/>
          <w:sz w:val="24"/>
          <w:szCs w:val="24"/>
        </w:rPr>
        <w:t xml:space="preserve">– </w:t>
      </w:r>
      <w:r>
        <w:rPr>
          <w:rFonts w:ascii="Times New Roman" w:eastAsia="Times New Roman" w:hAnsi="Times New Roman"/>
          <w:sz w:val="24"/>
          <w:szCs w:val="24"/>
          <w:lang w:eastAsia="ru-RU"/>
        </w:rPr>
        <w:t>17 лет и развитие медицинской профилактики в педиатрии.</w:t>
      </w:r>
    </w:p>
    <w:p w:rsidR="007E27CB" w:rsidRDefault="008F141F">
      <w:pPr>
        <w:tabs>
          <w:tab w:val="left" w:pos="426"/>
        </w:tabs>
        <w:spacing w:after="0" w:line="240" w:lineRule="auto"/>
        <w:ind w:firstLine="567"/>
        <w:jc w:val="both"/>
        <w:rPr>
          <w:rFonts w:eastAsia="Times New Roman"/>
          <w:i/>
          <w:sz w:val="24"/>
          <w:szCs w:val="24"/>
          <w:lang w:eastAsia="ru-RU"/>
        </w:rPr>
      </w:pPr>
      <w:r>
        <w:rPr>
          <w:rFonts w:eastAsia="Times New Roman"/>
          <w:i/>
          <w:sz w:val="24"/>
          <w:szCs w:val="24"/>
          <w:lang w:eastAsia="ru-RU"/>
        </w:rPr>
        <w:t>Региональный проект «Обеспечение медицинских организаций системы здравоохранения квалифицированными кадрами»:</w:t>
      </w:r>
    </w:p>
    <w:p w:rsidR="007E27CB" w:rsidRDefault="008F141F">
      <w:pPr>
        <w:pStyle w:val="a6"/>
        <w:numPr>
          <w:ilvl w:val="0"/>
          <w:numId w:val="224"/>
        </w:numPr>
        <w:tabs>
          <w:tab w:val="left" w:pos="284"/>
          <w:tab w:val="left" w:pos="851"/>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Продолжение реализации мероприятий по привлечению работников в систему здравоохранения и по развитию системы допуска к профессиональной деятельности через процедуру аккредитации специалистов.</w:t>
      </w:r>
    </w:p>
    <w:p w:rsidR="007E27CB" w:rsidRDefault="008F141F">
      <w:pPr>
        <w:pStyle w:val="a6"/>
        <w:numPr>
          <w:ilvl w:val="0"/>
          <w:numId w:val="224"/>
        </w:numPr>
        <w:tabs>
          <w:tab w:val="left" w:pos="284"/>
          <w:tab w:val="left" w:pos="851"/>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Реализация мероприятий по вовлечению 4 141 специалиста в систему непрерывного медицинского образования, в том числе дистанционно.</w:t>
      </w:r>
    </w:p>
    <w:p w:rsidR="007E27CB" w:rsidRDefault="008F141F">
      <w:pPr>
        <w:tabs>
          <w:tab w:val="left" w:pos="426"/>
        </w:tabs>
        <w:spacing w:after="0" w:line="240" w:lineRule="auto"/>
        <w:ind w:firstLine="567"/>
        <w:jc w:val="both"/>
        <w:rPr>
          <w:rFonts w:eastAsia="Times New Roman"/>
          <w:i/>
          <w:sz w:val="24"/>
          <w:szCs w:val="24"/>
          <w:lang w:eastAsia="ru-RU"/>
        </w:rPr>
      </w:pPr>
      <w:r>
        <w:rPr>
          <w:rFonts w:eastAsia="Times New Roman"/>
          <w:i/>
          <w:sz w:val="24"/>
          <w:szCs w:val="24"/>
          <w:lang w:eastAsia="ru-RU"/>
        </w:rPr>
        <w:t>Региональный проект «Создание единого цифрового контура в здравоохранении на основе единой государственной информационной системы в сфере здравоохранения (ЕГИСЗ)»:</w:t>
      </w:r>
    </w:p>
    <w:p w:rsidR="007E27CB" w:rsidRDefault="008F141F">
      <w:pPr>
        <w:pStyle w:val="a6"/>
        <w:numPr>
          <w:ilvl w:val="0"/>
          <w:numId w:val="226"/>
        </w:numPr>
        <w:tabs>
          <w:tab w:val="left" w:pos="284"/>
          <w:tab w:val="left" w:pos="851"/>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Продолжение мероприятий по дооснащению медицинских организаций компьютерной техникой.</w:t>
      </w:r>
    </w:p>
    <w:p w:rsidR="007E27CB" w:rsidRDefault="008F141F">
      <w:pPr>
        <w:pStyle w:val="a6"/>
        <w:numPr>
          <w:ilvl w:val="0"/>
          <w:numId w:val="226"/>
        </w:numPr>
        <w:tabs>
          <w:tab w:val="left" w:pos="284"/>
          <w:tab w:val="left" w:pos="851"/>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Разработка отдельных компонентов Медицинской информационной системы Томской области.</w:t>
      </w:r>
    </w:p>
    <w:p w:rsidR="007E27CB" w:rsidRDefault="008F141F">
      <w:pPr>
        <w:tabs>
          <w:tab w:val="left" w:pos="426"/>
        </w:tabs>
        <w:spacing w:after="0" w:line="240" w:lineRule="auto"/>
        <w:ind w:firstLine="567"/>
        <w:jc w:val="both"/>
        <w:rPr>
          <w:rFonts w:eastAsia="Times New Roman"/>
          <w:i/>
          <w:sz w:val="24"/>
          <w:szCs w:val="24"/>
          <w:lang w:eastAsia="ru-RU"/>
        </w:rPr>
      </w:pPr>
      <w:r>
        <w:rPr>
          <w:rFonts w:eastAsia="Times New Roman"/>
          <w:i/>
          <w:sz w:val="24"/>
          <w:szCs w:val="24"/>
          <w:lang w:eastAsia="ru-RU"/>
        </w:rPr>
        <w:t>Региональный проект «Развитие экспорта медицинских услуг»:</w:t>
      </w:r>
    </w:p>
    <w:p w:rsidR="007E27CB" w:rsidRDefault="008F141F">
      <w:pPr>
        <w:pStyle w:val="a6"/>
        <w:numPr>
          <w:ilvl w:val="0"/>
          <w:numId w:val="225"/>
        </w:numPr>
        <w:tabs>
          <w:tab w:val="left" w:pos="284"/>
          <w:tab w:val="left" w:pos="851"/>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Разработка программы коммуникационных мероприятий по повышению уровня информированности иностранных граждан о медицинских услугах, оказываемых на территории региона.</w:t>
      </w:r>
    </w:p>
    <w:p w:rsidR="007E27CB" w:rsidRDefault="007E27CB">
      <w:pPr>
        <w:spacing w:after="0" w:line="240" w:lineRule="auto"/>
        <w:ind w:firstLine="567"/>
        <w:jc w:val="both"/>
        <w:rPr>
          <w:rFonts w:eastAsia="Times New Roman"/>
          <w:sz w:val="24"/>
          <w:szCs w:val="24"/>
          <w:lang w:eastAsia="ru-RU"/>
        </w:rPr>
      </w:pPr>
    </w:p>
    <w:p w:rsidR="007E27CB" w:rsidRDefault="008F141F">
      <w:pPr>
        <w:spacing w:after="0" w:line="240" w:lineRule="auto"/>
        <w:ind w:firstLine="567"/>
        <w:jc w:val="both"/>
        <w:rPr>
          <w:rFonts w:eastAsia="Times New Roman"/>
          <w:b/>
          <w:sz w:val="24"/>
          <w:szCs w:val="24"/>
          <w:lang w:eastAsia="ru-RU"/>
        </w:rPr>
      </w:pPr>
      <w:r>
        <w:rPr>
          <w:rFonts w:eastAsia="Times New Roman"/>
          <w:b/>
          <w:sz w:val="24"/>
          <w:szCs w:val="24"/>
          <w:lang w:eastAsia="ru-RU"/>
        </w:rPr>
        <w:t>Национальный проект «Образование»</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Целями национального проекта являются:</w:t>
      </w:r>
    </w:p>
    <w:p w:rsidR="007E27CB" w:rsidRDefault="008F141F">
      <w:pPr>
        <w:pStyle w:val="a3"/>
        <w:numPr>
          <w:ilvl w:val="0"/>
          <w:numId w:val="170"/>
        </w:numPr>
        <w:tabs>
          <w:tab w:val="left" w:pos="851"/>
        </w:tabs>
        <w:ind w:left="0" w:firstLine="567"/>
        <w:rPr>
          <w:rFonts w:eastAsia="Times New Roman"/>
        </w:rPr>
      </w:pPr>
      <w:r>
        <w:t>обеспечение глобальной конкурентоспособности российского образования, вхождение Российской Федерации в число 10 ведущих стран мира по качеству общего образования;</w:t>
      </w:r>
    </w:p>
    <w:p w:rsidR="007E27CB" w:rsidRDefault="008F141F">
      <w:pPr>
        <w:pStyle w:val="a3"/>
        <w:numPr>
          <w:ilvl w:val="0"/>
          <w:numId w:val="170"/>
        </w:numPr>
        <w:tabs>
          <w:tab w:val="left" w:pos="851"/>
        </w:tabs>
        <w:ind w:left="0" w:firstLine="567"/>
      </w:pPr>
      <w:r>
        <w:t>воспитание гармонично развитой и социально ответственной личности на основе духовно-нравственных ценностей народов Российской Федерации, исторических и национально-культурных традиций.</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Для достижения целей национального проекта в Томской области реализуются 10 региональных проектов: «Современная школа», «Успех каждого ребенка, «Цифровая образовательная среда», «Учитель будущего», «Поддержка семей, имеющих детей», «Молодые профессионалы (Повышение конкурентоспособности профессионального образования)», «Новые возможности для каждого», «Социальные лифты для каждого», «Экспорт образования», «Социальная активность».</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На реализацию региональных проектов Национального проекта «Образование» в 2019 году выделено из федерального, областного и местного бюджетов 2 149, 9 млн. рублей, фактически израсходовано 2 050,1 млн. рублей (исполнение 95,4%).</w:t>
      </w:r>
    </w:p>
    <w:p w:rsidR="007E27CB" w:rsidRDefault="008F141F">
      <w:pPr>
        <w:spacing w:after="0" w:line="240" w:lineRule="auto"/>
        <w:ind w:firstLine="567"/>
        <w:jc w:val="both"/>
        <w:rPr>
          <w:rFonts w:eastAsia="Times New Roman"/>
          <w:b/>
          <w:sz w:val="24"/>
          <w:szCs w:val="24"/>
          <w:lang w:eastAsia="ru-RU"/>
        </w:rPr>
      </w:pPr>
      <w:r>
        <w:rPr>
          <w:rFonts w:eastAsia="Times New Roman"/>
          <w:b/>
          <w:sz w:val="24"/>
          <w:szCs w:val="24"/>
          <w:lang w:eastAsia="ru-RU"/>
        </w:rPr>
        <w:t>По итогам 2019 года:</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 xml:space="preserve">В рамках реализации мероприятий </w:t>
      </w:r>
      <w:r>
        <w:rPr>
          <w:rFonts w:eastAsia="Times New Roman"/>
          <w:i/>
          <w:sz w:val="24"/>
          <w:szCs w:val="24"/>
          <w:lang w:eastAsia="ru-RU"/>
        </w:rPr>
        <w:t>регионального  проекта «Современная школа»:</w:t>
      </w:r>
    </w:p>
    <w:p w:rsidR="007E27CB" w:rsidRDefault="008F141F">
      <w:pPr>
        <w:pStyle w:val="a3"/>
        <w:numPr>
          <w:ilvl w:val="0"/>
          <w:numId w:val="171"/>
        </w:numPr>
        <w:tabs>
          <w:tab w:val="left" w:pos="851"/>
        </w:tabs>
        <w:ind w:left="0" w:firstLine="567"/>
        <w:rPr>
          <w:rFonts w:eastAsia="Times New Roman"/>
        </w:rPr>
      </w:pPr>
      <w:r>
        <w:t>открыто 29 центров образования цифрового и гуманитарного профилей «Точка роста» в сельской местности и малых городах с охватом 12,78 тыс. детей;</w:t>
      </w:r>
    </w:p>
    <w:p w:rsidR="007E27CB" w:rsidRDefault="008F141F">
      <w:pPr>
        <w:pStyle w:val="a3"/>
        <w:numPr>
          <w:ilvl w:val="0"/>
          <w:numId w:val="171"/>
        </w:numPr>
        <w:tabs>
          <w:tab w:val="left" w:pos="851"/>
        </w:tabs>
        <w:ind w:left="0" w:firstLine="567"/>
      </w:pPr>
      <w:r>
        <w:t xml:space="preserve">введена в эксплуатацию школа на 1 100 мест по ул. П. Федоровского, 4, в которой с сентября 2019 года запущен образовательный процесс. </w:t>
      </w:r>
    </w:p>
    <w:p w:rsidR="007E27CB" w:rsidRDefault="008F141F">
      <w:pPr>
        <w:tabs>
          <w:tab w:val="left" w:pos="993"/>
        </w:tabs>
        <w:spacing w:after="0" w:line="240" w:lineRule="auto"/>
        <w:ind w:firstLine="567"/>
        <w:jc w:val="both"/>
        <w:rPr>
          <w:rFonts w:eastAsia="Times New Roman"/>
          <w:sz w:val="24"/>
          <w:szCs w:val="24"/>
          <w:u w:val="single"/>
          <w:lang w:eastAsia="ru-RU"/>
        </w:rPr>
      </w:pPr>
      <w:r>
        <w:rPr>
          <w:rFonts w:eastAsia="Times New Roman"/>
          <w:sz w:val="24"/>
          <w:szCs w:val="24"/>
          <w:lang w:eastAsia="ru-RU"/>
        </w:rPr>
        <w:t xml:space="preserve">В рамках реализации мероприятий </w:t>
      </w:r>
      <w:r>
        <w:rPr>
          <w:rFonts w:eastAsia="Times New Roman"/>
          <w:i/>
          <w:sz w:val="24"/>
          <w:szCs w:val="24"/>
          <w:lang w:eastAsia="ru-RU"/>
        </w:rPr>
        <w:t>регионального  проекта «Успех каждого ребенка»:</w:t>
      </w:r>
    </w:p>
    <w:p w:rsidR="007E27CB" w:rsidRDefault="008F141F">
      <w:pPr>
        <w:pStyle w:val="a3"/>
        <w:numPr>
          <w:ilvl w:val="0"/>
          <w:numId w:val="172"/>
        </w:numPr>
        <w:tabs>
          <w:tab w:val="left" w:pos="851"/>
        </w:tabs>
        <w:ind w:left="0" w:firstLine="567"/>
        <w:rPr>
          <w:rFonts w:eastAsia="Times New Roman"/>
        </w:rPr>
      </w:pPr>
      <w:r>
        <w:t>73% детей в возрасте от 5 до 18 лет, проживающих в Томской области, охвачено дополнительным образованием;</w:t>
      </w:r>
    </w:p>
    <w:p w:rsidR="007E27CB" w:rsidRDefault="008F141F">
      <w:pPr>
        <w:pStyle w:val="a3"/>
        <w:numPr>
          <w:ilvl w:val="0"/>
          <w:numId w:val="172"/>
        </w:numPr>
        <w:tabs>
          <w:tab w:val="left" w:pos="851"/>
        </w:tabs>
        <w:ind w:left="0" w:firstLine="567"/>
      </w:pPr>
      <w:r>
        <w:t>36,5% детей с ОВЗ охвачено дополнительными общеобразовательными программами;</w:t>
      </w:r>
    </w:p>
    <w:p w:rsidR="007E27CB" w:rsidRDefault="008F141F">
      <w:pPr>
        <w:pStyle w:val="a3"/>
        <w:numPr>
          <w:ilvl w:val="0"/>
          <w:numId w:val="172"/>
        </w:numPr>
        <w:tabs>
          <w:tab w:val="left" w:pos="851"/>
        </w:tabs>
        <w:ind w:left="0" w:firstLine="567"/>
      </w:pPr>
      <w:r>
        <w:t>деятельностью детского технопарка «Кванториум» и других проектов, реализующих дополнительные общеразвивающие программы естественнонаучной и технической направленностей, охвачено 30,4 тыс. детей;</w:t>
      </w:r>
    </w:p>
    <w:p w:rsidR="007E27CB" w:rsidRDefault="008F141F">
      <w:pPr>
        <w:pStyle w:val="a3"/>
        <w:numPr>
          <w:ilvl w:val="0"/>
          <w:numId w:val="172"/>
        </w:numPr>
        <w:tabs>
          <w:tab w:val="left" w:pos="851"/>
        </w:tabs>
        <w:ind w:left="0" w:firstLine="567"/>
      </w:pPr>
      <w:r>
        <w:t>выполнены работы по капитальному ремонту спортзала МБОУ «Ореховская СОШ» Первомайского района;</w:t>
      </w:r>
    </w:p>
    <w:p w:rsidR="007E27CB" w:rsidRDefault="008F141F">
      <w:pPr>
        <w:pStyle w:val="a3"/>
        <w:numPr>
          <w:ilvl w:val="0"/>
          <w:numId w:val="172"/>
        </w:numPr>
        <w:tabs>
          <w:tab w:val="left" w:pos="851"/>
        </w:tabs>
        <w:ind w:left="0" w:firstLine="567"/>
      </w:pPr>
      <w:r>
        <w:t xml:space="preserve">продолжена реализация регионального проекта «Территория интеллекта», в рамках которого создана сеть из 30 детских научных клубов, работающих по программам дополнительного образования «Фабрика миров», «Через 3D к реальным проектам» и «Юный дизайнер».  </w:t>
      </w:r>
    </w:p>
    <w:p w:rsidR="007E27CB" w:rsidRDefault="008F141F">
      <w:pPr>
        <w:pStyle w:val="a3"/>
        <w:ind w:firstLine="567"/>
      </w:pPr>
      <w:r>
        <w:t>В рамках реализации мероприятий регионального  проекта «Цифровая образовательная среда»:</w:t>
      </w:r>
    </w:p>
    <w:p w:rsidR="007E27CB" w:rsidRDefault="008F141F">
      <w:pPr>
        <w:pStyle w:val="a3"/>
        <w:numPr>
          <w:ilvl w:val="0"/>
          <w:numId w:val="173"/>
        </w:numPr>
        <w:tabs>
          <w:tab w:val="left" w:pos="851"/>
        </w:tabs>
        <w:ind w:left="0" w:firstLine="567"/>
      </w:pPr>
      <w:r>
        <w:t>в 12 общеобразовательных организациях и 2 организациях среднего профессионального образования в 9 муниципалитетах Томской области обновлена материально-техническая база в целях внедрения целевой модели цифровой образовательной среды;</w:t>
      </w:r>
    </w:p>
    <w:p w:rsidR="007E27CB" w:rsidRDefault="008F141F">
      <w:pPr>
        <w:pStyle w:val="a6"/>
        <w:numPr>
          <w:ilvl w:val="0"/>
          <w:numId w:val="173"/>
        </w:numPr>
        <w:tabs>
          <w:tab w:val="left" w:pos="851"/>
        </w:tabs>
        <w:spacing w:after="0" w:line="240" w:lineRule="auto"/>
        <w:ind w:left="0"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698 педагогов 12 школ Томской области прошли курсы повышения квалификации по теме: «Развитие современных педагогических компетенций в рамках проекта «Цифровая образовательная среда» в том числе. 248 слушателей прошли обучение с использованием функционала регионального информационного ресурса «одного окна» («Система дистанционного обучения ТОИПКРО).</w:t>
      </w:r>
    </w:p>
    <w:p w:rsidR="007E27CB" w:rsidRDefault="008F141F">
      <w:pPr>
        <w:tabs>
          <w:tab w:val="left" w:pos="993"/>
        </w:tabs>
        <w:spacing w:after="0" w:line="240" w:lineRule="auto"/>
        <w:ind w:firstLine="567"/>
        <w:jc w:val="both"/>
        <w:rPr>
          <w:rFonts w:eastAsia="Times New Roman"/>
          <w:sz w:val="24"/>
          <w:szCs w:val="24"/>
          <w:u w:val="single"/>
          <w:lang w:eastAsia="ru-RU"/>
        </w:rPr>
      </w:pPr>
      <w:r>
        <w:rPr>
          <w:rFonts w:eastAsia="Times New Roman"/>
          <w:sz w:val="24"/>
          <w:szCs w:val="24"/>
          <w:lang w:eastAsia="ru-RU"/>
        </w:rPr>
        <w:t xml:space="preserve">В рамках реализации мероприятий </w:t>
      </w:r>
      <w:r>
        <w:rPr>
          <w:rFonts w:eastAsia="Times New Roman"/>
          <w:i/>
          <w:sz w:val="24"/>
          <w:szCs w:val="24"/>
          <w:lang w:eastAsia="ru-RU"/>
        </w:rPr>
        <w:t>регионального  проекта «Молодые профессионалы (Повышение конкурентоспособности профессионального образования)»:</w:t>
      </w:r>
    </w:p>
    <w:p w:rsidR="007E27CB" w:rsidRDefault="008F141F">
      <w:pPr>
        <w:pStyle w:val="a3"/>
        <w:numPr>
          <w:ilvl w:val="0"/>
          <w:numId w:val="174"/>
        </w:numPr>
        <w:tabs>
          <w:tab w:val="left" w:pos="851"/>
        </w:tabs>
        <w:ind w:left="0" w:firstLine="567"/>
        <w:rPr>
          <w:rFonts w:eastAsia="Times New Roman"/>
        </w:rPr>
      </w:pPr>
      <w:r>
        <w:t>открыт  первый  Центр опережающей профессиональной подготовки, экосистема которого включает 25 профессиональных образовательных организаций, 5 вузов и 200 компаний IT-кластера региона;</w:t>
      </w:r>
    </w:p>
    <w:p w:rsidR="007E27CB" w:rsidRDefault="008F141F">
      <w:pPr>
        <w:pStyle w:val="a3"/>
        <w:numPr>
          <w:ilvl w:val="0"/>
          <w:numId w:val="174"/>
        </w:numPr>
        <w:tabs>
          <w:tab w:val="left" w:pos="851"/>
        </w:tabs>
        <w:ind w:left="0" w:firstLine="567"/>
      </w:pPr>
      <w:r>
        <w:t>созданы и оснащены современным оборудованием в соответствии с международными стандартами Ворлдскиллс 20 мастерских для подготовки специалистов по опережающим компетенциям: сити-фермерство, геномная инженерия, скорая медицинская помощь, акушерская помощь женщине и новорожденному, IT- решения для бизнеса на платформе «1С: Предприятие 8»;</w:t>
      </w:r>
    </w:p>
    <w:p w:rsidR="007E27CB" w:rsidRDefault="008F141F">
      <w:pPr>
        <w:pStyle w:val="a3"/>
        <w:numPr>
          <w:ilvl w:val="0"/>
          <w:numId w:val="174"/>
        </w:numPr>
        <w:tabs>
          <w:tab w:val="left" w:pos="851"/>
        </w:tabs>
        <w:ind w:left="0" w:firstLine="567"/>
      </w:pPr>
      <w:r>
        <w:t>внедряется демонстрационный экзамен – инструмент независимой оценки качества подготовки выпускников. Доля выпускников 2019 года, аттестованных с использованием данного механизма, – 13,41% (642 выпускника) по 12 компетенциям. По итогам демонстрационного экзамена 33,49% участников соответствуют стандартам Ворлдскиллс Россия.</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 xml:space="preserve">В рамках реализации мероприятий </w:t>
      </w:r>
      <w:r>
        <w:rPr>
          <w:rFonts w:eastAsia="Times New Roman"/>
          <w:i/>
          <w:sz w:val="24"/>
          <w:szCs w:val="24"/>
          <w:lang w:eastAsia="ru-RU"/>
        </w:rPr>
        <w:t>регионального  проекта «Поддержка семей, имеющих детей»</w:t>
      </w:r>
      <w:r>
        <w:rPr>
          <w:rFonts w:eastAsia="Times New Roman"/>
          <w:sz w:val="24"/>
          <w:szCs w:val="24"/>
          <w:lang w:eastAsia="ru-RU"/>
        </w:rPr>
        <w:t xml:space="preserve"> оказано 20 200 услуг психолого-педагогической, методической и консультативной помощи родителям (законным представителям) детей, а также гражданам, желающим принять на воспитание в свою семью детей, оставшихся без попечения родителей.</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 xml:space="preserve">В рамках реализации мероприятий </w:t>
      </w:r>
      <w:r>
        <w:rPr>
          <w:rFonts w:eastAsia="Times New Roman"/>
          <w:i/>
          <w:sz w:val="24"/>
          <w:szCs w:val="24"/>
          <w:lang w:eastAsia="ru-RU"/>
        </w:rPr>
        <w:t>регионального  проекта «Учитель будущего»</w:t>
      </w:r>
      <w:r>
        <w:rPr>
          <w:rFonts w:eastAsia="Times New Roman"/>
          <w:sz w:val="24"/>
          <w:szCs w:val="24"/>
          <w:lang w:eastAsia="ru-RU"/>
        </w:rPr>
        <w:t xml:space="preserve"> проводилось планомерное повышение квалификации работников образования, ведется непрерывная работа по подготовке педагогов Томской области к участию во всероссийских конкурсах профессионального педагогического мастерства. Сформирован проект дорожной карты по работе с молодыми педагогами (поддержка и сопровождение учителей в возрасте до 35 лет в первые три года работы).</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 xml:space="preserve">В рамках реализации </w:t>
      </w:r>
      <w:r>
        <w:rPr>
          <w:rFonts w:eastAsia="Times New Roman"/>
          <w:i/>
          <w:sz w:val="24"/>
          <w:szCs w:val="24"/>
          <w:lang w:eastAsia="ru-RU"/>
        </w:rPr>
        <w:t>регионального проекта «Новые возможности для каждого»</w:t>
      </w:r>
      <w:r>
        <w:rPr>
          <w:rFonts w:eastAsia="Times New Roman"/>
          <w:sz w:val="24"/>
          <w:szCs w:val="24"/>
          <w:lang w:eastAsia="ru-RU"/>
        </w:rPr>
        <w:t xml:space="preserve"> в томских вузах прошли обучение 25,1 тыс. чел., из них по программам повышения квалификации –  22, 7 тыс. чел., по программам профессиональной переподготовки – 1,8 тыс. чел., по программам профессионального обучения – 0,6 тыс. чел.</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 xml:space="preserve">В рамках реализации </w:t>
      </w:r>
      <w:r>
        <w:rPr>
          <w:rFonts w:eastAsia="Times New Roman"/>
          <w:i/>
          <w:sz w:val="24"/>
          <w:szCs w:val="24"/>
          <w:lang w:eastAsia="ru-RU"/>
        </w:rPr>
        <w:t>регионального проекта «Социальные лифты для каждого»</w:t>
      </w:r>
      <w:r>
        <w:rPr>
          <w:rFonts w:eastAsia="Times New Roman"/>
          <w:sz w:val="24"/>
          <w:szCs w:val="24"/>
          <w:lang w:eastAsia="ru-RU"/>
        </w:rPr>
        <w:t xml:space="preserve"> с целью предоставления гражданам возможностей для профессионального и карьерного роста органами власти и томскими вузами были организованы мероприятия, направленные на вовлечение более 2 тыс. чел. к участию в двух профессиональных конкурсах: Студенческой олимпиады «Я – профессионал» и Международного инженерного чемпионата «Case-In»: </w:t>
      </w:r>
    </w:p>
    <w:p w:rsidR="007E27CB" w:rsidRDefault="008F141F">
      <w:pPr>
        <w:pStyle w:val="a6"/>
        <w:numPr>
          <w:ilvl w:val="0"/>
          <w:numId w:val="175"/>
        </w:numPr>
        <w:tabs>
          <w:tab w:val="left" w:pos="851"/>
        </w:tabs>
        <w:spacing w:after="0" w:line="240" w:lineRule="auto"/>
        <w:ind w:left="0"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студенты вузов Томской области выиграли во втором сезоне Всероссийской олимпиады студентов «Я – профессионал» 143 диплома и 11 медалей. Это третья позиция в топ-10 регионов после Москвы и Санкт-Петербурга;</w:t>
      </w:r>
    </w:p>
    <w:p w:rsidR="007E27CB" w:rsidRDefault="008F141F">
      <w:pPr>
        <w:pStyle w:val="a6"/>
        <w:numPr>
          <w:ilvl w:val="0"/>
          <w:numId w:val="175"/>
        </w:numPr>
        <w:tabs>
          <w:tab w:val="left" w:pos="851"/>
        </w:tabs>
        <w:spacing w:after="0" w:line="240" w:lineRule="auto"/>
        <w:ind w:left="0"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команда «Квант» студентов геолого-географического факультета ТГУ успешно выступила в финале чемпионата «CASE-IN» в рамках лиги «Геологоразведка» и вошла в тройку лучших на международном чемпионате.</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 xml:space="preserve">В рамках реализации </w:t>
      </w:r>
      <w:r>
        <w:rPr>
          <w:rFonts w:eastAsia="Times New Roman"/>
          <w:i/>
          <w:sz w:val="24"/>
          <w:szCs w:val="24"/>
          <w:lang w:eastAsia="ru-RU"/>
        </w:rPr>
        <w:t>регионального проекта  «Экспорт образования»</w:t>
      </w:r>
      <w:r>
        <w:rPr>
          <w:rFonts w:eastAsia="Times New Roman"/>
          <w:sz w:val="24"/>
          <w:szCs w:val="24"/>
          <w:lang w:eastAsia="ru-RU"/>
        </w:rPr>
        <w:t xml:space="preserve"> все 6 томских университетов приняли участие в апробации механизма государственной поддержки продвижения российского образования за рубежом, в том числе через систему летних и зимних школ для привлечения иностранных граждан с целью последующего приема на обучение по программам высшего образования. Всего в 2019 году в летних и зимних школах прошли обучение 283 зарубежных участника. </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В качестве слушателей на подготовительные отделения в вузы привлечено 575 иностранцев. В течение 2019 года томскими университетами осуществлено 56 выездных миссий в страны дальнего зарубежья. 473 преподавателя томских университетов реализуют дисциплины, курсы (модули)  на иностранных языках.</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 xml:space="preserve">В рамках </w:t>
      </w:r>
      <w:r>
        <w:rPr>
          <w:rFonts w:eastAsia="Times New Roman"/>
          <w:i/>
          <w:sz w:val="24"/>
          <w:szCs w:val="24"/>
          <w:lang w:eastAsia="ru-RU"/>
        </w:rPr>
        <w:t>регионального проекта «Социальная активность»</w:t>
      </w:r>
      <w:r>
        <w:rPr>
          <w:rFonts w:eastAsia="Times New Roman"/>
          <w:sz w:val="24"/>
          <w:szCs w:val="24"/>
          <w:lang w:eastAsia="ru-RU"/>
        </w:rPr>
        <w:t xml:space="preserve"> начата реализация федерального проекта студенческих дискуссионных клубов «Диалог на равных». В 12 встречах с известными творческими, политическими и общественными деятелями приняли участие 2 589 студентов Томска и области. На волонтерской платформе Добро.университет прошли обучение 300 организаторов добровольческой деятельности, проведена информационная и рекламная кампания в целях популяризации добровольчества, в творческую деятельность вовлечены более 73 000 молодых людей.</w:t>
      </w:r>
    </w:p>
    <w:p w:rsidR="007E27CB" w:rsidRDefault="007E27CB">
      <w:pPr>
        <w:tabs>
          <w:tab w:val="left" w:pos="426"/>
        </w:tabs>
        <w:spacing w:after="0" w:line="240" w:lineRule="auto"/>
        <w:ind w:firstLine="567"/>
        <w:jc w:val="both"/>
        <w:rPr>
          <w:rFonts w:eastAsia="Times New Roman"/>
          <w:b/>
          <w:sz w:val="24"/>
          <w:szCs w:val="24"/>
          <w:lang w:eastAsia="ru-RU"/>
        </w:rPr>
      </w:pPr>
    </w:p>
    <w:p w:rsidR="007E27CB" w:rsidRDefault="008F141F">
      <w:pPr>
        <w:tabs>
          <w:tab w:val="left" w:pos="426"/>
        </w:tabs>
        <w:spacing w:after="0" w:line="240" w:lineRule="auto"/>
        <w:ind w:firstLine="567"/>
        <w:jc w:val="both"/>
        <w:rPr>
          <w:rFonts w:eastAsia="Times New Roman"/>
          <w:b/>
          <w:sz w:val="24"/>
          <w:szCs w:val="24"/>
          <w:lang w:eastAsia="ru-RU"/>
        </w:rPr>
      </w:pPr>
      <w:r>
        <w:rPr>
          <w:rFonts w:eastAsia="Times New Roman"/>
          <w:b/>
          <w:sz w:val="24"/>
          <w:szCs w:val="24"/>
          <w:lang w:eastAsia="ru-RU"/>
        </w:rPr>
        <w:t>Перспективные задачи на 2020 год</w:t>
      </w:r>
    </w:p>
    <w:p w:rsidR="007E27CB" w:rsidRDefault="008F141F">
      <w:pPr>
        <w:tabs>
          <w:tab w:val="left" w:pos="426"/>
        </w:tabs>
        <w:spacing w:after="0" w:line="240" w:lineRule="auto"/>
        <w:ind w:firstLine="567"/>
        <w:jc w:val="both"/>
        <w:rPr>
          <w:rFonts w:eastAsia="Times New Roman"/>
          <w:i/>
          <w:sz w:val="24"/>
          <w:szCs w:val="24"/>
          <w:lang w:eastAsia="ru-RU"/>
        </w:rPr>
      </w:pPr>
      <w:r>
        <w:rPr>
          <w:rFonts w:eastAsia="Times New Roman"/>
          <w:i/>
          <w:sz w:val="24"/>
          <w:szCs w:val="24"/>
          <w:lang w:eastAsia="ru-RU"/>
        </w:rPr>
        <w:t>Региональный проект «Современная школа»:</w:t>
      </w:r>
    </w:p>
    <w:p w:rsidR="007E27CB" w:rsidRDefault="008F141F">
      <w:pPr>
        <w:pStyle w:val="a6"/>
        <w:numPr>
          <w:ilvl w:val="0"/>
          <w:numId w:val="227"/>
        </w:numPr>
        <w:tabs>
          <w:tab w:val="left" w:pos="284"/>
          <w:tab w:val="left" w:pos="851"/>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Открытие новой школы «Интеграция» в мкр. «Южные ворота» Томского района и завершение строительства школы на 200 мест в с. Корнилово Томского района.</w:t>
      </w:r>
    </w:p>
    <w:p w:rsidR="007E27CB" w:rsidRDefault="008F141F">
      <w:pPr>
        <w:pStyle w:val="a6"/>
        <w:numPr>
          <w:ilvl w:val="0"/>
          <w:numId w:val="227"/>
        </w:numPr>
        <w:tabs>
          <w:tab w:val="left" w:pos="284"/>
          <w:tab w:val="left" w:pos="851"/>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Обновление материально-технической базы в двух коррекционных школах (ОГБОУ «Уртамская школа-интернат для детей-сирот и детей, оставшихся без попечения родителей, с ограниченными возможностями здоровья» и ОГКОУ «Школа-интернат для обучающихся с нарушениями зрения»).</w:t>
      </w:r>
    </w:p>
    <w:p w:rsidR="007E27CB" w:rsidRDefault="008F141F">
      <w:pPr>
        <w:pStyle w:val="a6"/>
        <w:numPr>
          <w:ilvl w:val="0"/>
          <w:numId w:val="227"/>
        </w:numPr>
        <w:tabs>
          <w:tab w:val="left" w:pos="284"/>
          <w:tab w:val="left" w:pos="851"/>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Открытие 31 центра образования цифрового и гуманитарного профиля «Точка роста» в 19 муниципалитетах. </w:t>
      </w:r>
    </w:p>
    <w:p w:rsidR="007E27CB" w:rsidRDefault="008F141F">
      <w:pPr>
        <w:tabs>
          <w:tab w:val="left" w:pos="426"/>
        </w:tabs>
        <w:spacing w:after="0" w:line="240" w:lineRule="auto"/>
        <w:ind w:firstLine="567"/>
        <w:jc w:val="both"/>
        <w:rPr>
          <w:rFonts w:eastAsia="Times New Roman"/>
          <w:i/>
          <w:sz w:val="24"/>
          <w:szCs w:val="24"/>
          <w:lang w:eastAsia="ru-RU"/>
        </w:rPr>
      </w:pPr>
      <w:r>
        <w:rPr>
          <w:rFonts w:eastAsia="Times New Roman"/>
          <w:i/>
          <w:sz w:val="24"/>
          <w:szCs w:val="24"/>
          <w:lang w:eastAsia="ru-RU"/>
        </w:rPr>
        <w:t>Региональный проект «Успех каждого ребенка»:</w:t>
      </w:r>
    </w:p>
    <w:p w:rsidR="007E27CB" w:rsidRDefault="008F141F">
      <w:pPr>
        <w:pStyle w:val="a6"/>
        <w:numPr>
          <w:ilvl w:val="0"/>
          <w:numId w:val="228"/>
        </w:numPr>
        <w:tabs>
          <w:tab w:val="left" w:pos="284"/>
          <w:tab w:val="left" w:pos="851"/>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Ремонт спортивных залов в двух сельских школах (МБОУ «ООШ» с. Больше-Дорохово Асиновского района, МБОУ «Парбигская СОШ» Бакчарского района) с привлечением средств федерального бюджета.</w:t>
      </w:r>
    </w:p>
    <w:p w:rsidR="007E27CB" w:rsidRDefault="008F141F">
      <w:pPr>
        <w:pStyle w:val="a6"/>
        <w:numPr>
          <w:ilvl w:val="0"/>
          <w:numId w:val="228"/>
        </w:numPr>
        <w:tabs>
          <w:tab w:val="left" w:pos="284"/>
          <w:tab w:val="left" w:pos="851"/>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Создание 4 485 новых мест в образовательных организациях различных типов для реализации дополнительных общеразвивающих программ всех направленностей.</w:t>
      </w:r>
    </w:p>
    <w:p w:rsidR="007E27CB" w:rsidRDefault="008F141F">
      <w:pPr>
        <w:pStyle w:val="a6"/>
        <w:numPr>
          <w:ilvl w:val="0"/>
          <w:numId w:val="228"/>
        </w:numPr>
        <w:tabs>
          <w:tab w:val="left" w:pos="284"/>
          <w:tab w:val="left" w:pos="851"/>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Создание мобильного технопарка «Кванториум», в план передвижений войдут 6 муниципальных образований.</w:t>
      </w:r>
    </w:p>
    <w:p w:rsidR="007E27CB" w:rsidRDefault="008F141F">
      <w:pPr>
        <w:tabs>
          <w:tab w:val="left" w:pos="426"/>
        </w:tabs>
        <w:spacing w:after="0" w:line="240" w:lineRule="auto"/>
        <w:ind w:firstLine="567"/>
        <w:jc w:val="both"/>
        <w:rPr>
          <w:rFonts w:eastAsia="Times New Roman"/>
          <w:i/>
          <w:sz w:val="24"/>
          <w:szCs w:val="24"/>
          <w:lang w:eastAsia="ru-RU"/>
        </w:rPr>
      </w:pPr>
      <w:r>
        <w:rPr>
          <w:rFonts w:eastAsia="Times New Roman"/>
          <w:i/>
          <w:sz w:val="24"/>
          <w:szCs w:val="24"/>
          <w:lang w:eastAsia="ru-RU"/>
        </w:rPr>
        <w:t>Региональный проект «Цифровая образовательная среда»:</w:t>
      </w:r>
    </w:p>
    <w:p w:rsidR="007E27CB" w:rsidRDefault="008F141F">
      <w:pPr>
        <w:pStyle w:val="a6"/>
        <w:numPr>
          <w:ilvl w:val="0"/>
          <w:numId w:val="229"/>
        </w:numPr>
        <w:tabs>
          <w:tab w:val="left" w:pos="284"/>
          <w:tab w:val="left" w:pos="851"/>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Обновление материально-технической базы для внедрения целевой модели цифровой образовательной среды в 101 средне- и общеобразовательной организации Томской области.</w:t>
      </w:r>
    </w:p>
    <w:p w:rsidR="007E27CB" w:rsidRDefault="008F141F">
      <w:pPr>
        <w:pStyle w:val="a6"/>
        <w:numPr>
          <w:ilvl w:val="0"/>
          <w:numId w:val="229"/>
        </w:numPr>
        <w:tabs>
          <w:tab w:val="left" w:pos="284"/>
          <w:tab w:val="left" w:pos="851"/>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Открытие 1 центра цифрового образования для детей «IT-куб» в г. Томске.</w:t>
      </w:r>
    </w:p>
    <w:p w:rsidR="007E27CB" w:rsidRDefault="008F141F">
      <w:pPr>
        <w:pStyle w:val="a6"/>
        <w:numPr>
          <w:ilvl w:val="0"/>
          <w:numId w:val="229"/>
        </w:numPr>
        <w:tabs>
          <w:tab w:val="left" w:pos="284"/>
          <w:tab w:val="left" w:pos="851"/>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Внедрение федеральной информационно-сервисной платформы цифровой образовательной среды на территории Томской области.</w:t>
      </w:r>
    </w:p>
    <w:p w:rsidR="007E27CB" w:rsidRDefault="008F141F">
      <w:pPr>
        <w:tabs>
          <w:tab w:val="left" w:pos="426"/>
        </w:tabs>
        <w:spacing w:after="0" w:line="240" w:lineRule="auto"/>
        <w:ind w:firstLine="567"/>
        <w:jc w:val="both"/>
        <w:rPr>
          <w:rFonts w:eastAsia="Times New Roman"/>
          <w:i/>
          <w:sz w:val="24"/>
          <w:szCs w:val="24"/>
          <w:lang w:eastAsia="ru-RU"/>
        </w:rPr>
      </w:pPr>
      <w:r>
        <w:rPr>
          <w:rFonts w:eastAsia="Times New Roman"/>
          <w:i/>
          <w:sz w:val="24"/>
          <w:szCs w:val="24"/>
          <w:lang w:eastAsia="ru-RU"/>
        </w:rPr>
        <w:t>Региональный проект «Молодые профессионалы (Повышение конкурентоспособности профессионального образования)»:</w:t>
      </w:r>
    </w:p>
    <w:p w:rsidR="007E27CB" w:rsidRDefault="008F141F">
      <w:pPr>
        <w:pStyle w:val="a6"/>
        <w:numPr>
          <w:ilvl w:val="0"/>
          <w:numId w:val="230"/>
        </w:numPr>
        <w:tabs>
          <w:tab w:val="left" w:pos="284"/>
          <w:tab w:val="left" w:pos="851"/>
        </w:tabs>
        <w:spacing w:after="0" w:line="240" w:lineRule="auto"/>
        <w:ind w:left="0" w:firstLine="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Оснащение современным оборудованием не менее 5 мастерских, лабораторий.</w:t>
      </w:r>
    </w:p>
    <w:p w:rsidR="007E27CB" w:rsidRDefault="008F141F">
      <w:pPr>
        <w:pStyle w:val="a6"/>
        <w:numPr>
          <w:ilvl w:val="0"/>
          <w:numId w:val="230"/>
        </w:numPr>
        <w:tabs>
          <w:tab w:val="left" w:pos="284"/>
          <w:tab w:val="left" w:pos="851"/>
        </w:tabs>
        <w:spacing w:after="0" w:line="240" w:lineRule="auto"/>
        <w:ind w:left="0" w:firstLine="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Проведение аттестации обучающихся образовательных организаций с использованием демонстрационного экзамена, исходя из планового значения, установленного для Томской области, не менее 6% обучающихся.</w:t>
      </w:r>
    </w:p>
    <w:p w:rsidR="007E27CB" w:rsidRDefault="008F141F">
      <w:pPr>
        <w:pStyle w:val="a6"/>
        <w:numPr>
          <w:ilvl w:val="0"/>
          <w:numId w:val="230"/>
        </w:numPr>
        <w:tabs>
          <w:tab w:val="left" w:pos="284"/>
          <w:tab w:val="left" w:pos="851"/>
        </w:tabs>
        <w:spacing w:after="0" w:line="240" w:lineRule="auto"/>
        <w:ind w:left="0" w:firstLine="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Внедрение не менее 2 коротких программ по наиболее востребованным и перспективным профессиям на уровне, соответствующем стандартам Ворлдскиллс.</w:t>
      </w:r>
    </w:p>
    <w:p w:rsidR="007E27CB" w:rsidRDefault="008F141F">
      <w:pPr>
        <w:pStyle w:val="a6"/>
        <w:numPr>
          <w:ilvl w:val="0"/>
          <w:numId w:val="230"/>
        </w:numPr>
        <w:tabs>
          <w:tab w:val="left" w:pos="284"/>
          <w:tab w:val="left" w:pos="851"/>
        </w:tabs>
        <w:spacing w:after="0" w:line="240" w:lineRule="auto"/>
        <w:ind w:left="0" w:firstLine="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Повышение квалификации 90 преподавателей, мастеров производственного обучения по программам, основанным на опыте Союза Ворлдскиллс Россия.</w:t>
      </w:r>
    </w:p>
    <w:p w:rsidR="007E27CB" w:rsidRDefault="008F141F">
      <w:pPr>
        <w:tabs>
          <w:tab w:val="left" w:pos="426"/>
        </w:tabs>
        <w:spacing w:after="0" w:line="240" w:lineRule="auto"/>
        <w:ind w:firstLine="567"/>
        <w:jc w:val="both"/>
        <w:rPr>
          <w:rFonts w:eastAsia="Times New Roman"/>
          <w:i/>
          <w:sz w:val="24"/>
          <w:szCs w:val="24"/>
          <w:lang w:eastAsia="ru-RU"/>
        </w:rPr>
      </w:pPr>
      <w:r>
        <w:rPr>
          <w:rFonts w:eastAsia="Times New Roman"/>
          <w:i/>
          <w:sz w:val="24"/>
          <w:szCs w:val="24"/>
          <w:lang w:eastAsia="ru-RU"/>
        </w:rPr>
        <w:t>Региональный проект «Поддержка семей, имеющих детей»:</w:t>
      </w:r>
    </w:p>
    <w:p w:rsidR="007E27CB" w:rsidRDefault="008F141F">
      <w:pPr>
        <w:pStyle w:val="a6"/>
        <w:numPr>
          <w:ilvl w:val="0"/>
          <w:numId w:val="231"/>
        </w:numPr>
        <w:tabs>
          <w:tab w:val="left" w:pos="284"/>
          <w:tab w:val="left" w:pos="851"/>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Оказание 30</w:t>
      </w:r>
      <w:r>
        <w:rPr>
          <w:rFonts w:eastAsia="Times New Roman"/>
          <w:sz w:val="24"/>
          <w:szCs w:val="24"/>
          <w:lang w:eastAsia="ru-RU"/>
        </w:rPr>
        <w:t> </w:t>
      </w:r>
      <w:r>
        <w:rPr>
          <w:rFonts w:ascii="Times New Roman" w:eastAsia="Times New Roman" w:hAnsi="Times New Roman"/>
          <w:sz w:val="24"/>
          <w:szCs w:val="24"/>
          <w:lang w:eastAsia="ru-RU"/>
        </w:rPr>
        <w:t>200 услуг психолого-педагогической, методической и консультативной помощи родителям (законным представителям) детей, а также гражданам, желающим принять на воспитание в свою семью детей, оставшихся без попечения родителей (нарастающим итогом).</w:t>
      </w:r>
    </w:p>
    <w:p w:rsidR="007E27CB" w:rsidRDefault="008F141F">
      <w:pPr>
        <w:tabs>
          <w:tab w:val="left" w:pos="426"/>
        </w:tabs>
        <w:spacing w:after="0" w:line="240" w:lineRule="auto"/>
        <w:ind w:firstLine="567"/>
        <w:jc w:val="both"/>
        <w:rPr>
          <w:rFonts w:eastAsia="Times New Roman"/>
          <w:i/>
          <w:sz w:val="24"/>
          <w:szCs w:val="24"/>
          <w:lang w:eastAsia="ru-RU"/>
        </w:rPr>
      </w:pPr>
      <w:r>
        <w:rPr>
          <w:rFonts w:eastAsia="Times New Roman"/>
          <w:i/>
          <w:sz w:val="24"/>
          <w:szCs w:val="24"/>
          <w:lang w:eastAsia="ru-RU"/>
        </w:rPr>
        <w:t>Региональный проект «Учитель будущего»:</w:t>
      </w:r>
    </w:p>
    <w:p w:rsidR="007E27CB" w:rsidRDefault="008F141F">
      <w:pPr>
        <w:pStyle w:val="a6"/>
        <w:numPr>
          <w:ilvl w:val="0"/>
          <w:numId w:val="232"/>
        </w:numPr>
        <w:tabs>
          <w:tab w:val="left" w:pos="284"/>
          <w:tab w:val="left" w:pos="851"/>
        </w:tabs>
        <w:spacing w:after="0" w:line="240" w:lineRule="auto"/>
        <w:ind w:left="0" w:firstLine="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Обновление механизмов поддержки и сопровождения учителей в возрасте до 35 лет в первые три года работы на муниципальном и региональном уровне и обеспечение возможности для непрерывного и планомерного повышения квалификации педагогических работников с использованием современных цифровых технологий.</w:t>
      </w:r>
    </w:p>
    <w:p w:rsidR="007E27CB" w:rsidRDefault="008F141F">
      <w:pPr>
        <w:tabs>
          <w:tab w:val="left" w:pos="426"/>
        </w:tabs>
        <w:spacing w:after="0" w:line="240" w:lineRule="auto"/>
        <w:ind w:firstLine="567"/>
        <w:jc w:val="both"/>
        <w:rPr>
          <w:rFonts w:eastAsia="Times New Roman"/>
          <w:i/>
          <w:sz w:val="24"/>
          <w:szCs w:val="24"/>
          <w:lang w:eastAsia="ru-RU"/>
        </w:rPr>
      </w:pPr>
      <w:r>
        <w:rPr>
          <w:rFonts w:eastAsia="Times New Roman"/>
          <w:i/>
          <w:sz w:val="24"/>
          <w:szCs w:val="24"/>
          <w:lang w:eastAsia="ru-RU"/>
        </w:rPr>
        <w:t>Региональный проект «Новые возможности для каждого»:</w:t>
      </w:r>
    </w:p>
    <w:p w:rsidR="007E27CB" w:rsidRDefault="008F141F">
      <w:pPr>
        <w:pStyle w:val="a6"/>
        <w:numPr>
          <w:ilvl w:val="0"/>
          <w:numId w:val="233"/>
        </w:numPr>
        <w:tabs>
          <w:tab w:val="left" w:pos="284"/>
          <w:tab w:val="left" w:pos="851"/>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Обучение не менее 20 тыс. чел. по программам непрерывного образования, обеспечивающий личностный рост, расширение и обновление профессиональных знаний граждан и приобретение ими новых профессиональных навыков в соответствии с быстро меняющимися технологиями и условиями.</w:t>
      </w:r>
    </w:p>
    <w:p w:rsidR="007E27CB" w:rsidRDefault="008F141F">
      <w:pPr>
        <w:tabs>
          <w:tab w:val="left" w:pos="426"/>
        </w:tabs>
        <w:spacing w:after="0" w:line="240" w:lineRule="auto"/>
        <w:ind w:firstLine="567"/>
        <w:jc w:val="both"/>
        <w:rPr>
          <w:rFonts w:eastAsia="Times New Roman"/>
          <w:i/>
          <w:sz w:val="24"/>
          <w:szCs w:val="24"/>
          <w:lang w:eastAsia="ru-RU"/>
        </w:rPr>
      </w:pPr>
      <w:r>
        <w:rPr>
          <w:rFonts w:eastAsia="Times New Roman"/>
          <w:i/>
          <w:sz w:val="24"/>
          <w:szCs w:val="24"/>
          <w:lang w:eastAsia="ru-RU"/>
        </w:rPr>
        <w:t>Региональный проект «Социальные лифты для каждого»:</w:t>
      </w:r>
    </w:p>
    <w:p w:rsidR="007E27CB" w:rsidRDefault="008F141F">
      <w:pPr>
        <w:pStyle w:val="a6"/>
        <w:numPr>
          <w:ilvl w:val="0"/>
          <w:numId w:val="234"/>
        </w:numPr>
        <w:tabs>
          <w:tab w:val="left" w:pos="284"/>
          <w:tab w:val="left" w:pos="851"/>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Проведение профессиональных конкурсов в целях предоставления возможностей для профессионального и карьерного роста с охватом не менее 4 тыс. граждан.</w:t>
      </w:r>
    </w:p>
    <w:p w:rsidR="007E27CB" w:rsidRDefault="008F141F">
      <w:pPr>
        <w:tabs>
          <w:tab w:val="left" w:pos="426"/>
        </w:tabs>
        <w:spacing w:after="0" w:line="240" w:lineRule="auto"/>
        <w:ind w:firstLine="567"/>
        <w:jc w:val="both"/>
        <w:rPr>
          <w:rFonts w:eastAsia="Times New Roman"/>
          <w:i/>
          <w:sz w:val="24"/>
          <w:szCs w:val="24"/>
          <w:lang w:eastAsia="ru-RU"/>
        </w:rPr>
      </w:pPr>
      <w:r>
        <w:rPr>
          <w:rFonts w:eastAsia="Times New Roman"/>
          <w:i/>
          <w:sz w:val="24"/>
          <w:szCs w:val="24"/>
          <w:lang w:eastAsia="ru-RU"/>
        </w:rPr>
        <w:t>Региональный проект «Экспорт образования»:</w:t>
      </w:r>
    </w:p>
    <w:p w:rsidR="007E27CB" w:rsidRDefault="008F141F">
      <w:pPr>
        <w:pStyle w:val="a6"/>
        <w:numPr>
          <w:ilvl w:val="0"/>
          <w:numId w:val="235"/>
        </w:numPr>
        <w:tabs>
          <w:tab w:val="left" w:pos="284"/>
          <w:tab w:val="left" w:pos="851"/>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Продолжение апробации механизма государственной поддержки продвижения российского образования за рубежом томскими вузами.</w:t>
      </w:r>
    </w:p>
    <w:p w:rsidR="007E27CB" w:rsidRDefault="008F141F">
      <w:pPr>
        <w:tabs>
          <w:tab w:val="left" w:pos="426"/>
        </w:tabs>
        <w:spacing w:after="0" w:line="240" w:lineRule="auto"/>
        <w:ind w:firstLine="567"/>
        <w:jc w:val="both"/>
        <w:rPr>
          <w:rFonts w:eastAsia="Times New Roman"/>
          <w:i/>
          <w:sz w:val="24"/>
          <w:szCs w:val="24"/>
          <w:lang w:eastAsia="ru-RU"/>
        </w:rPr>
      </w:pPr>
      <w:r>
        <w:rPr>
          <w:rFonts w:eastAsia="Times New Roman"/>
          <w:i/>
          <w:sz w:val="24"/>
          <w:szCs w:val="24"/>
          <w:lang w:eastAsia="ru-RU"/>
        </w:rPr>
        <w:t>Региональный проект «Социальная активность»:</w:t>
      </w:r>
    </w:p>
    <w:p w:rsidR="007E27CB" w:rsidRDefault="008F141F">
      <w:pPr>
        <w:pStyle w:val="a6"/>
        <w:numPr>
          <w:ilvl w:val="0"/>
          <w:numId w:val="236"/>
        </w:numPr>
        <w:tabs>
          <w:tab w:val="left" w:pos="284"/>
          <w:tab w:val="left" w:pos="851"/>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Увеличение количества волонтеров на территории Томской области путем создания волонтерского центра, единая площадка которого объединит добровольцев, добровольческие НКО и благополучателей.</w:t>
      </w:r>
    </w:p>
    <w:p w:rsidR="007E27CB" w:rsidRDefault="007E27CB">
      <w:pPr>
        <w:pStyle w:val="a6"/>
        <w:tabs>
          <w:tab w:val="left" w:pos="284"/>
          <w:tab w:val="left" w:pos="993"/>
        </w:tabs>
        <w:spacing w:after="0" w:line="240" w:lineRule="auto"/>
        <w:ind w:left="0"/>
        <w:jc w:val="both"/>
        <w:rPr>
          <w:rFonts w:ascii="Times New Roman" w:eastAsia="Times New Roman" w:hAnsi="Times New Roman"/>
          <w:sz w:val="24"/>
          <w:szCs w:val="24"/>
          <w:lang w:eastAsia="ru-RU"/>
        </w:rPr>
      </w:pPr>
    </w:p>
    <w:p w:rsidR="007E27CB" w:rsidRDefault="008F141F">
      <w:pPr>
        <w:pStyle w:val="a6"/>
        <w:tabs>
          <w:tab w:val="left" w:pos="993"/>
        </w:tabs>
        <w:spacing w:after="0" w:line="240" w:lineRule="auto"/>
        <w:ind w:left="0" w:firstLine="567"/>
        <w:jc w:val="both"/>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Национальный проект «Жилье и городская среда»</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Целями национального проекта являются:</w:t>
      </w:r>
    </w:p>
    <w:p w:rsidR="007E27CB" w:rsidRDefault="008F141F">
      <w:pPr>
        <w:pStyle w:val="a3"/>
        <w:numPr>
          <w:ilvl w:val="0"/>
          <w:numId w:val="176"/>
        </w:numPr>
        <w:tabs>
          <w:tab w:val="left" w:pos="851"/>
        </w:tabs>
        <w:ind w:left="0" w:firstLine="567"/>
        <w:rPr>
          <w:rFonts w:eastAsia="Times New Roman"/>
        </w:rPr>
      </w:pPr>
      <w:r>
        <w:t>обеспечение доступным жильем семей со средним достатком, в том числе создание возможностей для приобретения (строительства) ими жилья с использованием ипотечного кредита, ставка по которому должна быть менее 8%;</w:t>
      </w:r>
    </w:p>
    <w:p w:rsidR="007E27CB" w:rsidRDefault="008F141F">
      <w:pPr>
        <w:pStyle w:val="a3"/>
        <w:numPr>
          <w:ilvl w:val="0"/>
          <w:numId w:val="176"/>
        </w:numPr>
        <w:tabs>
          <w:tab w:val="left" w:pos="851"/>
        </w:tabs>
        <w:ind w:left="0" w:firstLine="567"/>
      </w:pPr>
      <w:r>
        <w:t>увеличение объема жилищного строительства не менее чем до 120 млн. квадратных метров в год;</w:t>
      </w:r>
    </w:p>
    <w:p w:rsidR="007E27CB" w:rsidRDefault="008F141F">
      <w:pPr>
        <w:pStyle w:val="a3"/>
        <w:numPr>
          <w:ilvl w:val="0"/>
          <w:numId w:val="176"/>
        </w:numPr>
        <w:tabs>
          <w:tab w:val="left" w:pos="851"/>
        </w:tabs>
        <w:ind w:left="0" w:firstLine="567"/>
      </w:pPr>
      <w:r>
        <w:t>кардинальное повышение комфортности городской среды, повышение индекса качества городской среды на 30 процентов, сокращение в соответствии с этим индексом количества городов с неблагоприятной средой в два раза;</w:t>
      </w:r>
    </w:p>
    <w:p w:rsidR="007E27CB" w:rsidRDefault="008F141F">
      <w:pPr>
        <w:pStyle w:val="a3"/>
        <w:numPr>
          <w:ilvl w:val="0"/>
          <w:numId w:val="176"/>
        </w:numPr>
        <w:tabs>
          <w:tab w:val="left" w:pos="851"/>
        </w:tabs>
        <w:ind w:left="0" w:firstLine="567"/>
      </w:pPr>
      <w:r>
        <w:t>создание механизма прямого участия граждан в формировании комфортной городской среды, увеличение доли граждан, принимающих участие в решении вопросов развития городской среды, до 30%;</w:t>
      </w:r>
    </w:p>
    <w:p w:rsidR="007E27CB" w:rsidRDefault="008F141F">
      <w:pPr>
        <w:pStyle w:val="a3"/>
        <w:numPr>
          <w:ilvl w:val="0"/>
          <w:numId w:val="176"/>
        </w:numPr>
        <w:tabs>
          <w:tab w:val="left" w:pos="851"/>
        </w:tabs>
        <w:ind w:left="0" w:firstLine="567"/>
      </w:pPr>
      <w:r>
        <w:t>обеспечение устойчивого сокращения непригодного для проживания жилищного фонда.</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Для достижения целей национального проекта в Томской области реализуются 3 региональных проекта: «Жилье», «Формирование комфортной городской среды», «Обеспечение устойчивого  сокращения непригодного для проживания жилищного фонда».</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На реализацию региональных проектов Национального проекта «Жилье и городская среда» в 2019 году выделено из всех источников бюджета 1 270,5 млн. рублей, фактически израсходовано 1 220, 6 млн. рублей (исполнение 96,1%).</w:t>
      </w:r>
    </w:p>
    <w:p w:rsidR="007E27CB" w:rsidRDefault="007E27CB">
      <w:pPr>
        <w:spacing w:after="0" w:line="240" w:lineRule="auto"/>
        <w:ind w:firstLine="567"/>
        <w:jc w:val="both"/>
        <w:rPr>
          <w:rFonts w:eastAsia="Times New Roman"/>
          <w:b/>
          <w:sz w:val="24"/>
          <w:szCs w:val="24"/>
          <w:lang w:eastAsia="ru-RU"/>
        </w:rPr>
      </w:pPr>
    </w:p>
    <w:p w:rsidR="007E27CB" w:rsidRDefault="008F141F">
      <w:pPr>
        <w:spacing w:after="0" w:line="240" w:lineRule="auto"/>
        <w:ind w:firstLine="567"/>
        <w:jc w:val="both"/>
        <w:rPr>
          <w:rFonts w:eastAsia="Times New Roman"/>
          <w:b/>
          <w:sz w:val="24"/>
          <w:szCs w:val="24"/>
          <w:lang w:eastAsia="ru-RU"/>
        </w:rPr>
      </w:pPr>
      <w:r>
        <w:rPr>
          <w:rFonts w:eastAsia="Times New Roman"/>
          <w:b/>
          <w:sz w:val="24"/>
          <w:szCs w:val="24"/>
          <w:lang w:eastAsia="ru-RU"/>
        </w:rPr>
        <w:t>По итогам 2019 года:</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 xml:space="preserve">В рамках реализации мероприятий </w:t>
      </w:r>
      <w:r>
        <w:rPr>
          <w:rFonts w:eastAsia="Times New Roman"/>
          <w:i/>
          <w:sz w:val="24"/>
          <w:szCs w:val="24"/>
          <w:lang w:eastAsia="ru-RU"/>
        </w:rPr>
        <w:t>регионального  проекта «Жилье»:</w:t>
      </w:r>
    </w:p>
    <w:p w:rsidR="007E27CB" w:rsidRDefault="008F141F">
      <w:pPr>
        <w:pStyle w:val="a3"/>
        <w:numPr>
          <w:ilvl w:val="0"/>
          <w:numId w:val="177"/>
        </w:numPr>
        <w:tabs>
          <w:tab w:val="left" w:pos="851"/>
        </w:tabs>
        <w:ind w:left="0" w:firstLine="567"/>
        <w:rPr>
          <w:rFonts w:eastAsia="Times New Roman"/>
        </w:rPr>
      </w:pPr>
      <w:r>
        <w:t>введено 438,6 тыс. кв. м жилья, (100,4% к уровню 2018 года): из них 255,7 тыс. кв. м в многоквартирных домах и 182,9 тыс. кв. м индивидуального жилищного строительства;</w:t>
      </w:r>
    </w:p>
    <w:p w:rsidR="007E27CB" w:rsidRDefault="008F141F">
      <w:pPr>
        <w:pStyle w:val="a3"/>
        <w:numPr>
          <w:ilvl w:val="0"/>
          <w:numId w:val="177"/>
        </w:numPr>
        <w:tabs>
          <w:tab w:val="left" w:pos="851"/>
        </w:tabs>
        <w:ind w:left="0" w:firstLine="567"/>
      </w:pPr>
      <w:r>
        <w:t>фактический средний срок по предоставлению услуги по получению разрешения на строительство составляет 5 дней, что снизит административную нагрузку на застройщиков;</w:t>
      </w:r>
    </w:p>
    <w:p w:rsidR="007E27CB" w:rsidRDefault="008F141F">
      <w:pPr>
        <w:pStyle w:val="a3"/>
        <w:numPr>
          <w:ilvl w:val="0"/>
          <w:numId w:val="177"/>
        </w:numPr>
        <w:tabs>
          <w:tab w:val="left" w:pos="851"/>
        </w:tabs>
        <w:ind w:left="0" w:firstLine="567"/>
      </w:pPr>
      <w:r>
        <w:t xml:space="preserve">фактический срок проведения экспертизы проектной документации и результатов инженерных изысканий для объектов жилищного строительства составляет 30 дней. </w:t>
      </w:r>
    </w:p>
    <w:p w:rsidR="007E27CB" w:rsidRDefault="008F141F">
      <w:pPr>
        <w:tabs>
          <w:tab w:val="left" w:pos="993"/>
        </w:tabs>
        <w:spacing w:after="0" w:line="240" w:lineRule="auto"/>
        <w:ind w:firstLine="567"/>
        <w:jc w:val="both"/>
        <w:rPr>
          <w:rFonts w:eastAsia="Times New Roman"/>
          <w:sz w:val="24"/>
          <w:szCs w:val="24"/>
          <w:u w:val="single"/>
          <w:lang w:eastAsia="ru-RU"/>
        </w:rPr>
      </w:pPr>
      <w:r>
        <w:rPr>
          <w:rFonts w:eastAsia="Times New Roman"/>
          <w:sz w:val="24"/>
          <w:szCs w:val="24"/>
          <w:lang w:eastAsia="ru-RU"/>
        </w:rPr>
        <w:t xml:space="preserve">В рамках реализации мероприятий </w:t>
      </w:r>
      <w:r>
        <w:rPr>
          <w:rFonts w:eastAsia="Times New Roman"/>
          <w:i/>
          <w:sz w:val="24"/>
          <w:szCs w:val="24"/>
          <w:lang w:eastAsia="ru-RU"/>
        </w:rPr>
        <w:t>регионального  проекта «Формирование комфортной городской среды»:</w:t>
      </w:r>
    </w:p>
    <w:p w:rsidR="007E27CB" w:rsidRDefault="008F141F">
      <w:pPr>
        <w:pStyle w:val="a3"/>
        <w:numPr>
          <w:ilvl w:val="0"/>
          <w:numId w:val="178"/>
        </w:numPr>
        <w:tabs>
          <w:tab w:val="left" w:pos="851"/>
        </w:tabs>
        <w:ind w:left="0" w:firstLine="567"/>
        <w:rPr>
          <w:rFonts w:eastAsia="Times New Roman"/>
        </w:rPr>
      </w:pPr>
      <w:r>
        <w:t>предусмотрено кардинальное изменение качества городской среды к 2024 году (на 30%) и увеличение количества благоустроенных городов. По итогам г. Северск признан городом с благоприятной городской средой, индекс качества городской среды      г. Северска составил 193 усл. ед. из 360 усл. ед. Среднее значение индекса качества городской среды в регионе составило 167 усл. ед., в г. Томске – 176 усл. ед.</w:t>
      </w:r>
    </w:p>
    <w:p w:rsidR="007E27CB" w:rsidRDefault="008F141F">
      <w:pPr>
        <w:pStyle w:val="a3"/>
        <w:numPr>
          <w:ilvl w:val="0"/>
          <w:numId w:val="178"/>
        </w:numPr>
        <w:tabs>
          <w:tab w:val="left" w:pos="851"/>
        </w:tabs>
        <w:ind w:left="0" w:firstLine="567"/>
      </w:pPr>
      <w:r>
        <w:t>в 20 муниципальных образованиях проведены благоустроительные работы на 67 общественных территориях (на 3 территориях благоустроительные работы проведены на сложившуюся экономию);</w:t>
      </w:r>
    </w:p>
    <w:p w:rsidR="007E27CB" w:rsidRDefault="008F141F">
      <w:pPr>
        <w:pStyle w:val="a3"/>
        <w:numPr>
          <w:ilvl w:val="0"/>
          <w:numId w:val="178"/>
        </w:numPr>
        <w:tabs>
          <w:tab w:val="left" w:pos="851"/>
        </w:tabs>
        <w:ind w:left="0" w:firstLine="567"/>
      </w:pPr>
      <w:r>
        <w:t xml:space="preserve">проведено два рейтинговых голосования по отбору территорий:  </w:t>
      </w:r>
    </w:p>
    <w:p w:rsidR="007E27CB" w:rsidRDefault="008F141F">
      <w:pPr>
        <w:numPr>
          <w:ilvl w:val="0"/>
          <w:numId w:val="134"/>
        </w:numPr>
        <w:tabs>
          <w:tab w:val="left" w:pos="851"/>
        </w:tabs>
        <w:spacing w:after="0" w:line="240" w:lineRule="auto"/>
        <w:ind w:left="0" w:firstLine="567"/>
        <w:jc w:val="both"/>
        <w:rPr>
          <w:rFonts w:eastAsia="Times New Roman"/>
          <w:sz w:val="24"/>
          <w:szCs w:val="24"/>
          <w:lang w:eastAsia="ru-RU"/>
        </w:rPr>
      </w:pPr>
      <w:r>
        <w:rPr>
          <w:rFonts w:eastAsia="Times New Roman"/>
          <w:sz w:val="24"/>
          <w:szCs w:val="24"/>
          <w:lang w:eastAsia="ru-RU"/>
        </w:rPr>
        <w:t>до 1 марта 2019 года – отбор территорий на 2019 год, приняло участие 109 135 человек, что составляет 12% от количества жителей Томской области старше 14 лет.</w:t>
      </w:r>
    </w:p>
    <w:p w:rsidR="007E27CB" w:rsidRDefault="008F141F">
      <w:pPr>
        <w:numPr>
          <w:ilvl w:val="0"/>
          <w:numId w:val="134"/>
        </w:numPr>
        <w:tabs>
          <w:tab w:val="left" w:pos="851"/>
        </w:tabs>
        <w:spacing w:after="0" w:line="240" w:lineRule="auto"/>
        <w:ind w:left="0" w:firstLine="567"/>
        <w:jc w:val="both"/>
        <w:rPr>
          <w:rFonts w:eastAsia="Times New Roman"/>
          <w:sz w:val="24"/>
          <w:szCs w:val="24"/>
          <w:lang w:eastAsia="ru-RU"/>
        </w:rPr>
      </w:pPr>
      <w:r>
        <w:rPr>
          <w:rFonts w:eastAsia="Times New Roman"/>
          <w:sz w:val="24"/>
          <w:szCs w:val="24"/>
          <w:lang w:eastAsia="ru-RU"/>
        </w:rPr>
        <w:t xml:space="preserve"> до 1 ноября 2019 года – отбор территорий на 2020 год, приняло участие 124 351 человек, что составляет 14% от количества жителей Томской области старше 14 лет.</w:t>
      </w:r>
    </w:p>
    <w:p w:rsidR="007E27CB" w:rsidRDefault="008F141F">
      <w:pPr>
        <w:pStyle w:val="a3"/>
        <w:ind w:firstLine="567"/>
        <w:rPr>
          <w:rFonts w:eastAsia="Times New Roman"/>
        </w:rPr>
      </w:pPr>
      <w:r>
        <w:tab/>
        <w:t>г. Кедровый стал победителем во Всероссийском конкурсе малых городов и исторических поселений. По итогам конкурса Томской области выделено 40 млн. рублей на реализацию проекта победителя конкурса. Муниципальным образованием «Город Кедровый» заключен муниципальный контракт на выполнение работ по благоустройству единого общественного пространства «ЭКОКЕДР».</w:t>
      </w:r>
    </w:p>
    <w:p w:rsidR="007E27CB" w:rsidRDefault="008F141F">
      <w:pPr>
        <w:pStyle w:val="a3"/>
        <w:ind w:firstLine="567"/>
      </w:pPr>
      <w:r>
        <w:tab/>
        <w:t xml:space="preserve">В рамках реализации мероприятий </w:t>
      </w:r>
      <w:r>
        <w:rPr>
          <w:i/>
        </w:rPr>
        <w:t>регионального проекта «Обеспечение устойчивого сокращения непригодного для проживания жилищного фонда»</w:t>
      </w:r>
      <w:r>
        <w:t>:</w:t>
      </w:r>
    </w:p>
    <w:p w:rsidR="007E27CB" w:rsidRDefault="008F141F">
      <w:pPr>
        <w:pStyle w:val="a3"/>
        <w:numPr>
          <w:ilvl w:val="0"/>
          <w:numId w:val="193"/>
        </w:numPr>
        <w:tabs>
          <w:tab w:val="left" w:pos="851"/>
        </w:tabs>
        <w:ind w:left="0" w:firstLine="567"/>
      </w:pPr>
      <w:r>
        <w:t>утверждена региональная программа переселения граждан из непригодного для проживания жилищного фонда на 2019 – 2024 годы;</w:t>
      </w:r>
    </w:p>
    <w:p w:rsidR="007E27CB" w:rsidRDefault="008F141F">
      <w:pPr>
        <w:pStyle w:val="a3"/>
        <w:numPr>
          <w:ilvl w:val="0"/>
          <w:numId w:val="193"/>
        </w:numPr>
        <w:tabs>
          <w:tab w:val="left" w:pos="851"/>
        </w:tabs>
        <w:ind w:left="0" w:firstLine="567"/>
      </w:pPr>
      <w:r>
        <w:t>расселено 150 аварийных жилых помещений в трех муниципальных образованиях;</w:t>
      </w:r>
    </w:p>
    <w:p w:rsidR="007E27CB" w:rsidRDefault="008F141F">
      <w:pPr>
        <w:pStyle w:val="a3"/>
        <w:numPr>
          <w:ilvl w:val="0"/>
          <w:numId w:val="193"/>
        </w:numPr>
        <w:tabs>
          <w:tab w:val="left" w:pos="851"/>
        </w:tabs>
        <w:ind w:left="0" w:firstLine="567"/>
      </w:pPr>
      <w:r>
        <w:t>обеспечено расселение 267 человек с 5,48 тыс. кв. м аварийного жилищного фонда.</w:t>
      </w:r>
    </w:p>
    <w:p w:rsidR="007E27CB" w:rsidRDefault="007E27CB">
      <w:pPr>
        <w:spacing w:after="0" w:line="240" w:lineRule="auto"/>
        <w:ind w:firstLine="567"/>
        <w:jc w:val="both"/>
        <w:rPr>
          <w:rFonts w:eastAsia="Times New Roman"/>
          <w:b/>
          <w:sz w:val="24"/>
          <w:szCs w:val="24"/>
          <w:lang w:eastAsia="ru-RU"/>
        </w:rPr>
      </w:pPr>
    </w:p>
    <w:p w:rsidR="007E27CB" w:rsidRDefault="008F141F">
      <w:pPr>
        <w:tabs>
          <w:tab w:val="left" w:pos="426"/>
        </w:tabs>
        <w:spacing w:after="0" w:line="240" w:lineRule="auto"/>
        <w:ind w:firstLine="567"/>
        <w:jc w:val="both"/>
        <w:rPr>
          <w:rFonts w:eastAsia="Times New Roman"/>
          <w:b/>
          <w:sz w:val="24"/>
          <w:szCs w:val="24"/>
          <w:lang w:eastAsia="ru-RU"/>
        </w:rPr>
      </w:pPr>
      <w:r>
        <w:rPr>
          <w:rFonts w:eastAsia="Times New Roman"/>
          <w:b/>
          <w:sz w:val="24"/>
          <w:szCs w:val="24"/>
          <w:lang w:eastAsia="ru-RU"/>
        </w:rPr>
        <w:t>Перспективные задачи на 2020 год</w:t>
      </w:r>
    </w:p>
    <w:p w:rsidR="007E27CB" w:rsidRDefault="008F141F">
      <w:pPr>
        <w:tabs>
          <w:tab w:val="left" w:pos="426"/>
        </w:tabs>
        <w:spacing w:after="0" w:line="240" w:lineRule="auto"/>
        <w:ind w:firstLine="567"/>
        <w:jc w:val="both"/>
        <w:rPr>
          <w:rFonts w:eastAsia="Times New Roman"/>
          <w:i/>
          <w:sz w:val="24"/>
          <w:szCs w:val="24"/>
          <w:lang w:eastAsia="ru-RU"/>
        </w:rPr>
      </w:pPr>
      <w:r>
        <w:rPr>
          <w:rFonts w:eastAsia="Times New Roman"/>
          <w:i/>
          <w:sz w:val="24"/>
          <w:szCs w:val="24"/>
          <w:lang w:eastAsia="ru-RU"/>
        </w:rPr>
        <w:t>Региональный проект «Жилье»:</w:t>
      </w:r>
    </w:p>
    <w:p w:rsidR="007E27CB" w:rsidRDefault="008F141F">
      <w:pPr>
        <w:pStyle w:val="a6"/>
        <w:numPr>
          <w:ilvl w:val="0"/>
          <w:numId w:val="237"/>
        </w:numPr>
        <w:tabs>
          <w:tab w:val="left" w:pos="0"/>
          <w:tab w:val="left" w:pos="284"/>
          <w:tab w:val="left" w:pos="851"/>
        </w:tabs>
        <w:spacing w:after="0" w:line="240" w:lineRule="auto"/>
        <w:ind w:left="0" w:firstLine="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Увеличение объема жилищного строительства до 723 тыс. кв. м в 2024 году, плановый объем ввода жилья на 2020 год – 591 тыс. кв. м.</w:t>
      </w:r>
    </w:p>
    <w:p w:rsidR="007E27CB" w:rsidRDefault="008F141F">
      <w:pPr>
        <w:tabs>
          <w:tab w:val="left" w:pos="426"/>
        </w:tabs>
        <w:spacing w:after="0" w:line="240" w:lineRule="auto"/>
        <w:ind w:firstLine="567"/>
        <w:jc w:val="both"/>
        <w:rPr>
          <w:rFonts w:eastAsia="Times New Roman"/>
          <w:i/>
          <w:sz w:val="24"/>
          <w:szCs w:val="24"/>
          <w:lang w:eastAsia="ru-RU"/>
        </w:rPr>
      </w:pPr>
      <w:r>
        <w:rPr>
          <w:rFonts w:eastAsia="Times New Roman"/>
          <w:i/>
          <w:sz w:val="24"/>
          <w:szCs w:val="24"/>
          <w:lang w:eastAsia="ru-RU"/>
        </w:rPr>
        <w:t>Региональный проект «Формирование комфортной городской среды»:</w:t>
      </w:r>
    </w:p>
    <w:p w:rsidR="007E27CB" w:rsidRDefault="008F141F">
      <w:pPr>
        <w:pStyle w:val="a6"/>
        <w:numPr>
          <w:ilvl w:val="0"/>
          <w:numId w:val="238"/>
        </w:numPr>
        <w:tabs>
          <w:tab w:val="left" w:pos="284"/>
          <w:tab w:val="left" w:pos="851"/>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Благоустройство 54 общественных территорий во всех муниципальных образованиях Томской области.</w:t>
      </w:r>
    </w:p>
    <w:p w:rsidR="007E27CB" w:rsidRDefault="008F141F">
      <w:pPr>
        <w:pStyle w:val="a6"/>
        <w:numPr>
          <w:ilvl w:val="0"/>
          <w:numId w:val="238"/>
        </w:numPr>
        <w:tabs>
          <w:tab w:val="left" w:pos="284"/>
          <w:tab w:val="left" w:pos="851"/>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Благоустройство единого общественного пространства «ЭКОКЕДР» в г. Кедровый.</w:t>
      </w:r>
    </w:p>
    <w:p w:rsidR="007E27CB" w:rsidRDefault="008F141F">
      <w:pPr>
        <w:pStyle w:val="a6"/>
        <w:numPr>
          <w:ilvl w:val="0"/>
          <w:numId w:val="238"/>
        </w:numPr>
        <w:tabs>
          <w:tab w:val="left" w:pos="284"/>
          <w:tab w:val="left" w:pos="851"/>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Увеличение качества городской среды в регионе за счет проведения благоустройства. Среднее значение индекса качества городской среды в регионе составит 165 усл. ед. По итогам 2020 года количество городов с благоприятной городской средой в регионе увеличить до двух.</w:t>
      </w:r>
    </w:p>
    <w:p w:rsidR="007E27CB" w:rsidRDefault="008F141F">
      <w:pPr>
        <w:tabs>
          <w:tab w:val="left" w:pos="426"/>
        </w:tabs>
        <w:spacing w:after="0" w:line="240" w:lineRule="auto"/>
        <w:ind w:firstLine="567"/>
        <w:jc w:val="both"/>
        <w:rPr>
          <w:rFonts w:eastAsia="Times New Roman"/>
          <w:i/>
          <w:sz w:val="24"/>
          <w:szCs w:val="24"/>
          <w:lang w:eastAsia="ru-RU"/>
        </w:rPr>
      </w:pPr>
      <w:r>
        <w:rPr>
          <w:rFonts w:eastAsia="Times New Roman"/>
          <w:i/>
          <w:sz w:val="24"/>
          <w:szCs w:val="24"/>
          <w:lang w:eastAsia="ru-RU"/>
        </w:rPr>
        <w:t>Региональный проект «Обеспечение устойчивого  сокращения непригодного для проживания жилищного фонда»:</w:t>
      </w:r>
    </w:p>
    <w:p w:rsidR="007E27CB" w:rsidRDefault="008F141F">
      <w:pPr>
        <w:pStyle w:val="a6"/>
        <w:numPr>
          <w:ilvl w:val="0"/>
          <w:numId w:val="239"/>
        </w:numPr>
        <w:tabs>
          <w:tab w:val="left" w:pos="0"/>
          <w:tab w:val="left" w:pos="284"/>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Обеспечение расселения 720 человек с 13,12 тыс. кв. метров аварийного жилья.</w:t>
      </w:r>
    </w:p>
    <w:p w:rsidR="007E27CB" w:rsidRDefault="008F141F">
      <w:pPr>
        <w:pStyle w:val="a6"/>
        <w:numPr>
          <w:ilvl w:val="0"/>
          <w:numId w:val="239"/>
        </w:numPr>
        <w:tabs>
          <w:tab w:val="left" w:pos="0"/>
          <w:tab w:val="left" w:pos="142"/>
          <w:tab w:val="left" w:pos="284"/>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Обеспечение расселения 309 аварийных жилых помещений в трех муниципальных образованиях: «Город Томск», «Томский район», «Каргасокский район».</w:t>
      </w:r>
    </w:p>
    <w:p w:rsidR="007E27CB" w:rsidRDefault="008F141F">
      <w:pPr>
        <w:pStyle w:val="a6"/>
        <w:tabs>
          <w:tab w:val="left" w:pos="993"/>
        </w:tabs>
        <w:spacing w:after="0" w:line="240" w:lineRule="auto"/>
        <w:ind w:left="0" w:firstLine="567"/>
        <w:jc w:val="both"/>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Национальный проект «Экология»</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Целями национального проекта являются:</w:t>
      </w:r>
    </w:p>
    <w:p w:rsidR="007E27CB" w:rsidRDefault="008F141F">
      <w:pPr>
        <w:pStyle w:val="a6"/>
        <w:numPr>
          <w:ilvl w:val="0"/>
          <w:numId w:val="179"/>
        </w:numPr>
        <w:tabs>
          <w:tab w:val="left" w:pos="851"/>
        </w:tabs>
        <w:spacing w:after="0" w:line="240" w:lineRule="auto"/>
        <w:ind w:left="0" w:firstLine="567"/>
        <w:jc w:val="both"/>
        <w:rPr>
          <w:rFonts w:ascii="Times New Roman" w:hAnsi="Times New Roman"/>
          <w:sz w:val="24"/>
          <w:szCs w:val="24"/>
        </w:rPr>
      </w:pPr>
      <w:r>
        <w:rPr>
          <w:rFonts w:ascii="Times New Roman" w:eastAsia="Times New Roman" w:hAnsi="Times New Roman"/>
          <w:sz w:val="24"/>
          <w:szCs w:val="24"/>
          <w:lang w:eastAsia="ru-RU"/>
        </w:rPr>
        <w:t>э</w:t>
      </w:r>
      <w:r>
        <w:rPr>
          <w:rFonts w:ascii="Times New Roman" w:hAnsi="Times New Roman"/>
          <w:sz w:val="24"/>
          <w:szCs w:val="24"/>
        </w:rPr>
        <w:t>ффективное обращение с отходами производства и потребления, включая ликвидацию всех выявленных на 1 января 2018 г. несанкционированных свалок в границах городов;</w:t>
      </w:r>
    </w:p>
    <w:p w:rsidR="007E27CB" w:rsidRDefault="008F141F">
      <w:pPr>
        <w:pStyle w:val="a6"/>
        <w:numPr>
          <w:ilvl w:val="0"/>
          <w:numId w:val="179"/>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снижение уровня загрязнения атмосферного воздуха в крупных промышленных центрах, в том числе уменьшение не менее чем на 20 процентов совокупного объема выбросов загрязняющих веществ в атмосферный воздух в наиболее загрязненных городах;</w:t>
      </w:r>
    </w:p>
    <w:p w:rsidR="007E27CB" w:rsidRDefault="008F141F">
      <w:pPr>
        <w:pStyle w:val="a6"/>
        <w:numPr>
          <w:ilvl w:val="0"/>
          <w:numId w:val="179"/>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повышение качества питьевой воды для населения, в том числе для жителей населенных пунктов, не оборудованных современными системами централизованного водоснабжения;</w:t>
      </w:r>
    </w:p>
    <w:p w:rsidR="007E27CB" w:rsidRDefault="008F141F">
      <w:pPr>
        <w:pStyle w:val="a6"/>
        <w:numPr>
          <w:ilvl w:val="0"/>
          <w:numId w:val="179"/>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экологическое оздоровление водных объектов, включая реку Волгу, и сохранение уникальных водных систем, включая озера Байкал и Телецкое;</w:t>
      </w:r>
    </w:p>
    <w:p w:rsidR="007E27CB" w:rsidRDefault="008F141F">
      <w:pPr>
        <w:pStyle w:val="a6"/>
        <w:numPr>
          <w:ilvl w:val="0"/>
          <w:numId w:val="179"/>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сохранение биологического разнообразия, в том числе посредством создания не менее 24 новых особо охраняемых природных территорий;</w:t>
      </w:r>
    </w:p>
    <w:p w:rsidR="007E27CB" w:rsidRDefault="008F141F">
      <w:pPr>
        <w:pStyle w:val="a6"/>
        <w:numPr>
          <w:ilvl w:val="0"/>
          <w:numId w:val="179"/>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обеспечение баланса выбытия и воспроизводства лесов в соотношении 100% к 2024 году.</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Для достижения целей национального проекта в Томской области реализуются 5 региональных проектов: «Чистая страна», «Комплексная система обращения с твердыми коммунальными отходами», «Чистая вода», «Сохранение уникальных водных объектов», «Сохранение лесов».</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На реализацию региональных проектов национального проекта «Экология» в 2019 году выделено из федерального, областного и местного бюджетов 178,1 млн. рублей, фактически израсходовано 148,4 млн. рублей (исполнение 83,3%).</w:t>
      </w:r>
    </w:p>
    <w:p w:rsidR="007E27CB" w:rsidRDefault="008F141F">
      <w:pPr>
        <w:spacing w:after="0" w:line="240" w:lineRule="auto"/>
        <w:ind w:firstLine="567"/>
        <w:jc w:val="both"/>
        <w:rPr>
          <w:rFonts w:eastAsiaTheme="minorEastAsia"/>
          <w:color w:val="46556D"/>
          <w:kern w:val="24"/>
          <w:sz w:val="24"/>
          <w:szCs w:val="24"/>
          <w:lang w:eastAsia="ru-RU"/>
        </w:rPr>
      </w:pPr>
      <w:r>
        <w:rPr>
          <w:rFonts w:eastAsia="Times New Roman"/>
          <w:b/>
          <w:sz w:val="24"/>
          <w:szCs w:val="24"/>
          <w:lang w:eastAsia="ru-RU"/>
        </w:rPr>
        <w:t>По итогам 2019 года:</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 xml:space="preserve">В рамках реализации мероприятий </w:t>
      </w:r>
      <w:r>
        <w:rPr>
          <w:rFonts w:eastAsia="Times New Roman"/>
          <w:i/>
          <w:sz w:val="24"/>
          <w:szCs w:val="24"/>
          <w:lang w:eastAsia="ru-RU"/>
        </w:rPr>
        <w:t xml:space="preserve">регионального  проекта «Чистая страна» </w:t>
      </w:r>
      <w:r>
        <w:rPr>
          <w:sz w:val="24"/>
          <w:szCs w:val="24"/>
        </w:rPr>
        <w:t>одобрена заявка на получение субсидий из федерального бюджета в 2020 году на рекультивацию полигона твердых бытовых отходов в с. Новомихайловка.</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 xml:space="preserve">В рамках реализации мероприятий </w:t>
      </w:r>
      <w:r>
        <w:rPr>
          <w:rFonts w:eastAsia="Times New Roman"/>
          <w:i/>
          <w:sz w:val="24"/>
          <w:szCs w:val="24"/>
          <w:lang w:eastAsia="ru-RU"/>
        </w:rPr>
        <w:t>регионального  проекта «Комплексная система обращения с твердыми коммунальными отходами»</w:t>
      </w:r>
      <w:r>
        <w:rPr>
          <w:rFonts w:eastAsia="Times New Roman"/>
          <w:sz w:val="24"/>
          <w:szCs w:val="24"/>
          <w:lang w:eastAsia="ru-RU"/>
        </w:rPr>
        <w:t xml:space="preserve"> </w:t>
      </w:r>
      <w:r>
        <w:rPr>
          <w:sz w:val="24"/>
          <w:szCs w:val="24"/>
        </w:rPr>
        <w:t>разработана проектно-сметная документация на строительство 2 мусоросортировочных комплексов в с. Бакчар и              с. Мельниково, срок получения заключения государственной экспертизы до 31.03.2020 г.</w:t>
      </w:r>
    </w:p>
    <w:p w:rsidR="007E27CB" w:rsidRDefault="008F141F">
      <w:pPr>
        <w:spacing w:after="0" w:line="240" w:lineRule="auto"/>
        <w:ind w:firstLine="567"/>
        <w:jc w:val="both"/>
        <w:rPr>
          <w:rFonts w:eastAsia="Times New Roman"/>
          <w:sz w:val="24"/>
          <w:szCs w:val="24"/>
          <w:u w:val="single"/>
          <w:lang w:eastAsia="ru-RU"/>
        </w:rPr>
      </w:pPr>
      <w:r>
        <w:rPr>
          <w:rFonts w:eastAsia="Times New Roman"/>
          <w:sz w:val="24"/>
          <w:szCs w:val="24"/>
          <w:lang w:eastAsia="ru-RU"/>
        </w:rPr>
        <w:t xml:space="preserve">В рамках реализации мероприятий </w:t>
      </w:r>
      <w:r>
        <w:rPr>
          <w:rFonts w:eastAsia="Times New Roman"/>
          <w:i/>
          <w:sz w:val="24"/>
          <w:szCs w:val="24"/>
          <w:lang w:eastAsia="ru-RU"/>
        </w:rPr>
        <w:t>регионального  проекта «Чистая вода»:</w:t>
      </w:r>
    </w:p>
    <w:p w:rsidR="007E27CB" w:rsidRDefault="008F141F">
      <w:pPr>
        <w:pStyle w:val="a6"/>
        <w:numPr>
          <w:ilvl w:val="0"/>
          <w:numId w:val="180"/>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выполнены строительно-монтажные работы по строительству станции водоподготовки, расположенной в д. Лоскутово муниципального образования «Город Томск» Томской области, в объеме 42,53 млн. рублей;</w:t>
      </w:r>
    </w:p>
    <w:p w:rsidR="007E27CB" w:rsidRDefault="008F141F">
      <w:pPr>
        <w:pStyle w:val="a6"/>
        <w:numPr>
          <w:ilvl w:val="0"/>
          <w:numId w:val="180"/>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продолжилась установка локальных водоочистных комплексов в сельских территориях Томской области: установлены 23 водоочистных комплекса в 23 населенных пунктах, что дополнительно обеспечило доступ к воде питьевого качества для 8,9 тысячи жителей Томской области. В результате численность сельского населения Томской области, получившего доступ к воде питьевого качества, возросла до 90 тыс. человек.</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 xml:space="preserve">В рамках реализации мероприятий </w:t>
      </w:r>
      <w:r>
        <w:rPr>
          <w:rFonts w:eastAsia="Times New Roman"/>
          <w:i/>
          <w:sz w:val="24"/>
          <w:szCs w:val="24"/>
          <w:lang w:eastAsia="ru-RU"/>
        </w:rPr>
        <w:t>регионального  проекта «Сохранение уникальных водных объектов»</w:t>
      </w:r>
      <w:r>
        <w:rPr>
          <w:rFonts w:eastAsia="Times New Roman"/>
          <w:sz w:val="24"/>
          <w:szCs w:val="24"/>
          <w:lang w:eastAsia="ru-RU"/>
        </w:rPr>
        <w:t>:</w:t>
      </w:r>
    </w:p>
    <w:p w:rsidR="007E27CB" w:rsidRDefault="008F141F">
      <w:pPr>
        <w:pStyle w:val="a6"/>
        <w:numPr>
          <w:ilvl w:val="0"/>
          <w:numId w:val="181"/>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разработаны и проходят процедуру государственной экспертизы проектно-сметная документация по 5 объектам:  озеро в п. Аэропорт Томского района, озеро Док в г. Северск, пруд в с. Пудовка Кривошеинского района, пруд в с. Каргала Шегарского района, озеро Беленькое г. Томске;</w:t>
      </w:r>
    </w:p>
    <w:p w:rsidR="007E27CB" w:rsidRDefault="008F141F">
      <w:pPr>
        <w:pStyle w:val="a6"/>
        <w:numPr>
          <w:ilvl w:val="0"/>
          <w:numId w:val="181"/>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заключен государственный контракт на выполнение работ по разработке проектно-сметной документации на восстановление и экологическую реабилитацию озерного комплекса в пос. Самусь Томской области.</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 xml:space="preserve">В рамках реализации мероприятий </w:t>
      </w:r>
      <w:r>
        <w:rPr>
          <w:rFonts w:eastAsia="Times New Roman"/>
          <w:i/>
          <w:sz w:val="24"/>
          <w:szCs w:val="24"/>
          <w:lang w:eastAsia="ru-RU"/>
        </w:rPr>
        <w:t>регионального проекта «Сохранение лесов»:</w:t>
      </w:r>
    </w:p>
    <w:p w:rsidR="007E27CB" w:rsidRDefault="008F141F">
      <w:pPr>
        <w:pStyle w:val="a6"/>
        <w:numPr>
          <w:ilvl w:val="0"/>
          <w:numId w:val="182"/>
        </w:numPr>
        <w:tabs>
          <w:tab w:val="left" w:pos="851"/>
        </w:tabs>
        <w:spacing w:after="0" w:line="240" w:lineRule="auto"/>
        <w:ind w:left="0"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запас лесных семян для лесовосстановления на всех участках вырубленных и погибших лесных насаждений на территории Томской области составил 3 422,48 кг, что на 1% выше целевого показателя 2021 года;</w:t>
      </w:r>
    </w:p>
    <w:p w:rsidR="007E27CB" w:rsidRDefault="008F141F">
      <w:pPr>
        <w:pStyle w:val="a6"/>
        <w:numPr>
          <w:ilvl w:val="0"/>
          <w:numId w:val="182"/>
        </w:numPr>
        <w:tabs>
          <w:tab w:val="left" w:pos="851"/>
        </w:tabs>
        <w:spacing w:after="0" w:line="240" w:lineRule="auto"/>
        <w:ind w:left="0"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площадь лесовосстановления и лесоразведения также перевыполнена и составляет 32,6 тыс. га;</w:t>
      </w:r>
    </w:p>
    <w:p w:rsidR="007E27CB" w:rsidRDefault="008F141F">
      <w:pPr>
        <w:pStyle w:val="a6"/>
        <w:numPr>
          <w:ilvl w:val="0"/>
          <w:numId w:val="182"/>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закуплено и поставлено 15 единиц лесопожарной техники для проведения комплекса мероприятий по воспроизводству лесов (100% от плана);</w:t>
      </w:r>
    </w:p>
    <w:p w:rsidR="007E27CB" w:rsidRDefault="008F141F">
      <w:pPr>
        <w:pStyle w:val="a6"/>
        <w:numPr>
          <w:ilvl w:val="0"/>
          <w:numId w:val="182"/>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закуплено 30 единиц техники и 154 единицы оборудования для проведения комплекса мероприятий по охране лесов от пожаров (100% от плана). </w:t>
      </w:r>
    </w:p>
    <w:p w:rsidR="007E27CB" w:rsidRDefault="007E27CB">
      <w:pPr>
        <w:spacing w:after="0" w:line="240" w:lineRule="auto"/>
        <w:ind w:firstLine="567"/>
        <w:jc w:val="both"/>
        <w:rPr>
          <w:rFonts w:eastAsia="Times New Roman"/>
          <w:b/>
          <w:sz w:val="24"/>
          <w:szCs w:val="24"/>
          <w:lang w:eastAsia="ru-RU"/>
        </w:rPr>
      </w:pPr>
    </w:p>
    <w:p w:rsidR="007E27CB" w:rsidRDefault="008F141F">
      <w:pPr>
        <w:tabs>
          <w:tab w:val="left" w:pos="426"/>
        </w:tabs>
        <w:spacing w:after="0" w:line="240" w:lineRule="auto"/>
        <w:ind w:firstLine="567"/>
        <w:jc w:val="both"/>
        <w:rPr>
          <w:rFonts w:eastAsia="Times New Roman"/>
          <w:b/>
          <w:sz w:val="24"/>
          <w:szCs w:val="24"/>
          <w:lang w:eastAsia="ru-RU"/>
        </w:rPr>
      </w:pPr>
      <w:r>
        <w:rPr>
          <w:rFonts w:eastAsia="Times New Roman"/>
          <w:b/>
          <w:sz w:val="24"/>
          <w:szCs w:val="24"/>
          <w:lang w:eastAsia="ru-RU"/>
        </w:rPr>
        <w:t>Перспективные задачи на 2020 год</w:t>
      </w:r>
    </w:p>
    <w:p w:rsidR="007E27CB" w:rsidRDefault="008F141F">
      <w:pPr>
        <w:tabs>
          <w:tab w:val="left" w:pos="426"/>
        </w:tabs>
        <w:spacing w:after="0" w:line="240" w:lineRule="auto"/>
        <w:ind w:firstLine="567"/>
        <w:rPr>
          <w:rFonts w:eastAsia="Times New Roman"/>
          <w:i/>
          <w:sz w:val="24"/>
          <w:szCs w:val="24"/>
          <w:lang w:eastAsia="ru-RU"/>
        </w:rPr>
      </w:pPr>
      <w:r>
        <w:rPr>
          <w:rFonts w:eastAsia="Times New Roman"/>
          <w:i/>
          <w:sz w:val="24"/>
          <w:szCs w:val="24"/>
          <w:lang w:eastAsia="ru-RU"/>
        </w:rPr>
        <w:t>Региональный проект «Чистая страна»:</w:t>
      </w:r>
    </w:p>
    <w:p w:rsidR="007E27CB" w:rsidRDefault="008F141F">
      <w:pPr>
        <w:pStyle w:val="a6"/>
        <w:numPr>
          <w:ilvl w:val="0"/>
          <w:numId w:val="240"/>
        </w:numPr>
        <w:tabs>
          <w:tab w:val="left" w:pos="284"/>
        </w:tabs>
        <w:spacing w:after="0" w:line="240" w:lineRule="auto"/>
        <w:ind w:left="0" w:firstLine="0"/>
        <w:jc w:val="both"/>
        <w:rPr>
          <w:rFonts w:ascii="Times New Roman" w:hAnsi="Times New Roman"/>
          <w:sz w:val="24"/>
          <w:szCs w:val="24"/>
        </w:rPr>
      </w:pPr>
      <w:r>
        <w:rPr>
          <w:rFonts w:ascii="Times New Roman" w:hAnsi="Times New Roman"/>
          <w:sz w:val="24"/>
          <w:szCs w:val="24"/>
        </w:rPr>
        <w:t>Начало работ по техническому этапу рекультивации полигона твердых бытовых отходов в окрестностях с.Новомихайловка.</w:t>
      </w:r>
    </w:p>
    <w:p w:rsidR="007E27CB" w:rsidRDefault="008F141F">
      <w:pPr>
        <w:tabs>
          <w:tab w:val="left" w:pos="426"/>
        </w:tabs>
        <w:spacing w:after="0" w:line="240" w:lineRule="auto"/>
        <w:ind w:firstLine="567"/>
        <w:jc w:val="both"/>
        <w:rPr>
          <w:rFonts w:eastAsia="Times New Roman"/>
          <w:i/>
          <w:sz w:val="24"/>
          <w:szCs w:val="24"/>
          <w:lang w:eastAsia="ru-RU"/>
        </w:rPr>
      </w:pPr>
      <w:r>
        <w:rPr>
          <w:rFonts w:eastAsia="Times New Roman"/>
          <w:i/>
          <w:sz w:val="24"/>
          <w:szCs w:val="24"/>
          <w:lang w:eastAsia="ru-RU"/>
        </w:rPr>
        <w:t>Региональный проект «Комплексная система обращения с твердыми коммунальными отходами»:</w:t>
      </w:r>
    </w:p>
    <w:p w:rsidR="007E27CB" w:rsidRDefault="008F141F">
      <w:pPr>
        <w:pStyle w:val="a6"/>
        <w:numPr>
          <w:ilvl w:val="0"/>
          <w:numId w:val="241"/>
        </w:numPr>
        <w:tabs>
          <w:tab w:val="left" w:pos="284"/>
          <w:tab w:val="left" w:pos="851"/>
        </w:tabs>
        <w:spacing w:after="0" w:line="240" w:lineRule="auto"/>
        <w:ind w:left="0" w:firstLine="0"/>
        <w:jc w:val="both"/>
        <w:rPr>
          <w:rFonts w:ascii="Times New Roman" w:hAnsi="Times New Roman"/>
          <w:sz w:val="24"/>
          <w:szCs w:val="24"/>
        </w:rPr>
      </w:pPr>
      <w:r>
        <w:rPr>
          <w:rFonts w:ascii="Times New Roman" w:hAnsi="Times New Roman"/>
          <w:sz w:val="24"/>
          <w:szCs w:val="24"/>
        </w:rPr>
        <w:t xml:space="preserve">Подача заявки в Минприроды России на софинансирование мероприятия из средств федерального бюджета в 2021 году на строительство двух мусоросортировочных комплексов в с. Бакчар и с. Мельниково. </w:t>
      </w:r>
    </w:p>
    <w:p w:rsidR="007E27CB" w:rsidRDefault="008F141F">
      <w:pPr>
        <w:pStyle w:val="a6"/>
        <w:numPr>
          <w:ilvl w:val="0"/>
          <w:numId w:val="241"/>
        </w:numPr>
        <w:tabs>
          <w:tab w:val="left" w:pos="284"/>
          <w:tab w:val="left" w:pos="851"/>
        </w:tabs>
        <w:spacing w:after="0" w:line="240" w:lineRule="auto"/>
        <w:ind w:left="0" w:firstLine="0"/>
        <w:jc w:val="both"/>
        <w:rPr>
          <w:rFonts w:ascii="Times New Roman" w:eastAsia="Times New Roman" w:hAnsi="Times New Roman"/>
          <w:sz w:val="24"/>
          <w:szCs w:val="24"/>
          <w:lang w:eastAsia="ru-RU"/>
        </w:rPr>
      </w:pPr>
      <w:r>
        <w:rPr>
          <w:rFonts w:ascii="Times New Roman" w:hAnsi="Times New Roman"/>
          <w:sz w:val="24"/>
          <w:szCs w:val="24"/>
        </w:rPr>
        <w:t>Разработка проектно-сметной документации на строительство мусоросортировочного комплекса в г. Асино.</w:t>
      </w:r>
    </w:p>
    <w:p w:rsidR="007E27CB" w:rsidRDefault="008F141F">
      <w:pPr>
        <w:tabs>
          <w:tab w:val="left" w:pos="426"/>
        </w:tabs>
        <w:spacing w:after="0" w:line="240" w:lineRule="auto"/>
        <w:ind w:firstLine="567"/>
        <w:jc w:val="both"/>
        <w:rPr>
          <w:rFonts w:eastAsia="Times New Roman"/>
          <w:i/>
          <w:sz w:val="24"/>
          <w:szCs w:val="24"/>
          <w:lang w:eastAsia="ru-RU"/>
        </w:rPr>
      </w:pPr>
      <w:r>
        <w:rPr>
          <w:rFonts w:eastAsia="Times New Roman"/>
          <w:i/>
          <w:sz w:val="24"/>
          <w:szCs w:val="24"/>
          <w:lang w:eastAsia="ru-RU"/>
        </w:rPr>
        <w:t>Региональный проект «Чистая вода»:</w:t>
      </w:r>
    </w:p>
    <w:p w:rsidR="007E27CB" w:rsidRDefault="008F141F">
      <w:pPr>
        <w:pStyle w:val="a6"/>
        <w:numPr>
          <w:ilvl w:val="0"/>
          <w:numId w:val="148"/>
        </w:numPr>
        <w:tabs>
          <w:tab w:val="left" w:pos="284"/>
          <w:tab w:val="left" w:pos="851"/>
        </w:tabs>
        <w:spacing w:after="0" w:line="240" w:lineRule="auto"/>
        <w:ind w:left="0" w:firstLine="0"/>
        <w:jc w:val="both"/>
        <w:rPr>
          <w:rFonts w:ascii="Times New Roman" w:hAnsi="Times New Roman"/>
          <w:sz w:val="24"/>
          <w:szCs w:val="24"/>
        </w:rPr>
      </w:pPr>
      <w:r>
        <w:rPr>
          <w:rFonts w:ascii="Times New Roman" w:hAnsi="Times New Roman"/>
          <w:sz w:val="24"/>
          <w:szCs w:val="24"/>
        </w:rPr>
        <w:t xml:space="preserve">Реализация 4-го этапа проекта Губернатора Томской области «Чистая вода» по установке в населенных пунктах Томской области локальных водоочистных станций с целью повышения доступа к питьевой воде населения, проживающего на сельских территориях. </w:t>
      </w:r>
    </w:p>
    <w:p w:rsidR="007E27CB" w:rsidRDefault="008F141F">
      <w:pPr>
        <w:pStyle w:val="a6"/>
        <w:numPr>
          <w:ilvl w:val="0"/>
          <w:numId w:val="148"/>
        </w:numPr>
        <w:tabs>
          <w:tab w:val="left" w:pos="284"/>
          <w:tab w:val="left" w:pos="851"/>
        </w:tabs>
        <w:spacing w:after="0" w:line="240" w:lineRule="auto"/>
        <w:ind w:left="0" w:firstLine="0"/>
        <w:jc w:val="both"/>
        <w:rPr>
          <w:rFonts w:ascii="Times New Roman" w:hAnsi="Times New Roman"/>
          <w:sz w:val="24"/>
          <w:szCs w:val="24"/>
        </w:rPr>
      </w:pPr>
      <w:r>
        <w:rPr>
          <w:rFonts w:ascii="Times New Roman" w:hAnsi="Times New Roman"/>
          <w:sz w:val="24"/>
          <w:szCs w:val="24"/>
        </w:rPr>
        <w:t>Продолжение реализации работ по проекту реконструкции водозабора г. Асино, а также установке в населенных пунктах Томской области локальных водоочистных станций с целью повышения доступа к питьевой воде населения, проживающего на сельских территориях Томской области.</w:t>
      </w:r>
    </w:p>
    <w:p w:rsidR="007E27CB" w:rsidRDefault="008F141F">
      <w:pPr>
        <w:tabs>
          <w:tab w:val="left" w:pos="426"/>
        </w:tabs>
        <w:spacing w:after="0" w:line="240" w:lineRule="auto"/>
        <w:ind w:firstLine="567"/>
        <w:jc w:val="both"/>
        <w:rPr>
          <w:rFonts w:eastAsia="Times New Roman"/>
          <w:i/>
          <w:sz w:val="24"/>
          <w:szCs w:val="24"/>
          <w:lang w:eastAsia="ru-RU"/>
        </w:rPr>
      </w:pPr>
      <w:r>
        <w:rPr>
          <w:rFonts w:eastAsia="Times New Roman"/>
          <w:i/>
          <w:sz w:val="24"/>
          <w:szCs w:val="24"/>
          <w:lang w:eastAsia="ru-RU"/>
        </w:rPr>
        <w:t>Региональный проект «Сохранение уникальных водных объектов»:</w:t>
      </w:r>
    </w:p>
    <w:p w:rsidR="007E27CB" w:rsidRDefault="008F141F">
      <w:pPr>
        <w:pStyle w:val="a6"/>
        <w:numPr>
          <w:ilvl w:val="0"/>
          <w:numId w:val="242"/>
        </w:numPr>
        <w:tabs>
          <w:tab w:val="left" w:pos="284"/>
          <w:tab w:val="left" w:pos="851"/>
        </w:tabs>
        <w:spacing w:after="0" w:line="240" w:lineRule="auto"/>
        <w:ind w:left="0" w:firstLine="0"/>
        <w:jc w:val="both"/>
        <w:rPr>
          <w:rFonts w:ascii="Times New Roman" w:hAnsi="Times New Roman"/>
          <w:sz w:val="24"/>
          <w:szCs w:val="24"/>
        </w:rPr>
      </w:pPr>
      <w:r>
        <w:rPr>
          <w:rFonts w:ascii="Times New Roman" w:hAnsi="Times New Roman"/>
          <w:sz w:val="24"/>
          <w:szCs w:val="24"/>
        </w:rPr>
        <w:t xml:space="preserve">Подача заявки в Минприроды России для получения субсидии из федерального бюджета по направлению «Восстановление и экологическая реабилитация водных объектов, которые осуществляются на территориях субъектов Российской Федерации» в 2021 </w:t>
      </w:r>
      <w:r>
        <w:rPr>
          <w:rFonts w:eastAsia="Times New Roman"/>
          <w:sz w:val="24"/>
          <w:szCs w:val="24"/>
          <w:lang w:eastAsia="ru-RU"/>
        </w:rPr>
        <w:t xml:space="preserve">– </w:t>
      </w:r>
      <w:r>
        <w:rPr>
          <w:rFonts w:ascii="Times New Roman" w:hAnsi="Times New Roman"/>
          <w:sz w:val="24"/>
          <w:szCs w:val="24"/>
        </w:rPr>
        <w:t>2023 гг. (озеро в п. Аэропорт Томского района, озеро Док в г. Северск, озеро Беленькое в г. Томске, пруд в с. Пудовка Кривошеинского района, пруд в с. Каргала Шегарского района, озерный комплекс в пос. Самусь).</w:t>
      </w:r>
    </w:p>
    <w:p w:rsidR="007E27CB" w:rsidRDefault="008F141F">
      <w:pPr>
        <w:pStyle w:val="a6"/>
        <w:numPr>
          <w:ilvl w:val="0"/>
          <w:numId w:val="242"/>
        </w:numPr>
        <w:tabs>
          <w:tab w:val="left" w:pos="284"/>
          <w:tab w:val="left" w:pos="851"/>
        </w:tabs>
        <w:spacing w:after="0" w:line="240" w:lineRule="auto"/>
        <w:ind w:left="0" w:firstLine="0"/>
        <w:jc w:val="both"/>
        <w:rPr>
          <w:rFonts w:ascii="Times New Roman" w:eastAsia="Times New Roman" w:hAnsi="Times New Roman"/>
          <w:sz w:val="24"/>
          <w:szCs w:val="24"/>
          <w:lang w:eastAsia="ru-RU"/>
        </w:rPr>
      </w:pPr>
      <w:r>
        <w:rPr>
          <w:rFonts w:ascii="Times New Roman" w:hAnsi="Times New Roman"/>
          <w:sz w:val="24"/>
          <w:szCs w:val="24"/>
        </w:rPr>
        <w:t>Продолжение работы по разработке проектно-сметной документации по восстановлению и экологической реабилитации водных объектов Томской области (озерный комплекс в пос. Самусь, водохранилище на р. Ум, пруд в с. Новопокровка Кожевниковского района).</w:t>
      </w:r>
    </w:p>
    <w:p w:rsidR="007E27CB" w:rsidRDefault="008F141F">
      <w:pPr>
        <w:tabs>
          <w:tab w:val="left" w:pos="426"/>
        </w:tabs>
        <w:spacing w:after="0" w:line="240" w:lineRule="auto"/>
        <w:ind w:firstLine="567"/>
        <w:jc w:val="both"/>
        <w:rPr>
          <w:rFonts w:eastAsia="Times New Roman"/>
          <w:i/>
          <w:sz w:val="24"/>
          <w:szCs w:val="24"/>
          <w:lang w:eastAsia="ru-RU"/>
        </w:rPr>
      </w:pPr>
      <w:r>
        <w:rPr>
          <w:rFonts w:eastAsia="Times New Roman"/>
          <w:i/>
          <w:sz w:val="24"/>
          <w:szCs w:val="24"/>
          <w:lang w:eastAsia="ru-RU"/>
        </w:rPr>
        <w:t>Региональный проект «Сохранение лесов»:</w:t>
      </w:r>
    </w:p>
    <w:p w:rsidR="007E27CB" w:rsidRDefault="008F141F">
      <w:pPr>
        <w:pStyle w:val="a6"/>
        <w:numPr>
          <w:ilvl w:val="0"/>
          <w:numId w:val="243"/>
        </w:numPr>
        <w:tabs>
          <w:tab w:val="left" w:pos="284"/>
          <w:tab w:val="left" w:pos="851"/>
        </w:tabs>
        <w:spacing w:after="0" w:line="240" w:lineRule="auto"/>
        <w:ind w:left="0" w:firstLine="0"/>
        <w:jc w:val="both"/>
        <w:rPr>
          <w:rFonts w:ascii="Times New Roman" w:eastAsia="Times New Roman" w:hAnsi="Times New Roman"/>
          <w:sz w:val="24"/>
          <w:szCs w:val="24"/>
          <w:lang w:eastAsia="ru-RU"/>
        </w:rPr>
      </w:pPr>
      <w:r>
        <w:rPr>
          <w:rFonts w:ascii="Times New Roman" w:eastAsia="Arial Unicode MS" w:hAnsi="Times New Roman"/>
          <w:sz w:val="24"/>
          <w:szCs w:val="24"/>
        </w:rPr>
        <w:t>Увеличение площади лесовосстановления до 28 516 га, повышение качества и эффективности работ по лесовосстановлению на лесных участках</w:t>
      </w:r>
      <w:r>
        <w:rPr>
          <w:rFonts w:ascii="Times New Roman" w:eastAsia="Times New Roman" w:hAnsi="Times New Roman"/>
          <w:sz w:val="24"/>
          <w:szCs w:val="24"/>
          <w:lang w:eastAsia="ru-RU"/>
        </w:rPr>
        <w:t>.</w:t>
      </w:r>
    </w:p>
    <w:p w:rsidR="007E27CB" w:rsidRDefault="008F141F">
      <w:pPr>
        <w:pStyle w:val="a6"/>
        <w:numPr>
          <w:ilvl w:val="0"/>
          <w:numId w:val="243"/>
        </w:numPr>
        <w:tabs>
          <w:tab w:val="left" w:pos="284"/>
          <w:tab w:val="left" w:pos="851"/>
        </w:tabs>
        <w:spacing w:after="0" w:line="240" w:lineRule="auto"/>
        <w:ind w:left="0" w:firstLine="0"/>
        <w:jc w:val="both"/>
        <w:rPr>
          <w:rFonts w:ascii="Times New Roman" w:eastAsia="Times New Roman" w:hAnsi="Times New Roman"/>
          <w:sz w:val="24"/>
          <w:szCs w:val="24"/>
          <w:lang w:eastAsia="ru-RU"/>
        </w:rPr>
      </w:pPr>
      <w:r>
        <w:rPr>
          <w:rFonts w:ascii="Times New Roman" w:hAnsi="Times New Roman"/>
          <w:sz w:val="24"/>
          <w:szCs w:val="24"/>
        </w:rPr>
        <w:t>Приобретение техники в количестве 19 штук на оснащение учреждений, выполняющих мероприятия по воспроизводству лесов, специализированной лесохозяйственной техникой и оборудованием для проведения комплекса мероприятий по лесовосстановлению и лесоразведению.</w:t>
      </w:r>
    </w:p>
    <w:p w:rsidR="007E27CB" w:rsidRDefault="008F141F">
      <w:pPr>
        <w:pStyle w:val="a6"/>
        <w:numPr>
          <w:ilvl w:val="0"/>
          <w:numId w:val="243"/>
        </w:numPr>
        <w:tabs>
          <w:tab w:val="left" w:pos="284"/>
          <w:tab w:val="left" w:pos="851"/>
        </w:tabs>
        <w:spacing w:after="0" w:line="240" w:lineRule="auto"/>
        <w:ind w:left="0" w:firstLine="0"/>
        <w:jc w:val="both"/>
        <w:rPr>
          <w:rFonts w:ascii="Times New Roman" w:eastAsia="Times New Roman" w:hAnsi="Times New Roman"/>
          <w:sz w:val="24"/>
          <w:szCs w:val="24"/>
          <w:lang w:eastAsia="ru-RU"/>
        </w:rPr>
      </w:pPr>
      <w:r>
        <w:rPr>
          <w:rFonts w:ascii="Times New Roman" w:hAnsi="Times New Roman"/>
          <w:sz w:val="24"/>
          <w:szCs w:val="24"/>
        </w:rPr>
        <w:t>Приобретение техники в количестве 20 единиц для оснащения специализированных учреждений лесопожарной техникой и оборудованием для проведения комплекса мероприятий по охране лесов от пожаров.</w:t>
      </w:r>
    </w:p>
    <w:p w:rsidR="007E27CB" w:rsidRDefault="008F141F">
      <w:pPr>
        <w:pStyle w:val="a6"/>
        <w:tabs>
          <w:tab w:val="left" w:pos="993"/>
        </w:tabs>
        <w:spacing w:after="0" w:line="240" w:lineRule="auto"/>
        <w:ind w:left="0" w:firstLine="567"/>
        <w:jc w:val="both"/>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Национальный проект «Безопасные и качественные автомобильные дороги»</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Целями национального проекта являются:</w:t>
      </w:r>
    </w:p>
    <w:p w:rsidR="007E27CB" w:rsidRDefault="008F141F">
      <w:pPr>
        <w:pStyle w:val="a3"/>
        <w:numPr>
          <w:ilvl w:val="0"/>
          <w:numId w:val="183"/>
        </w:numPr>
        <w:tabs>
          <w:tab w:val="left" w:pos="851"/>
        </w:tabs>
        <w:ind w:left="0" w:firstLine="567"/>
        <w:rPr>
          <w:rFonts w:eastAsia="Times New Roman"/>
        </w:rPr>
      </w:pPr>
      <w:r>
        <w:t>увеличение доли автомобильных дорог регионального значения, соответствующих нормативным требованиям, в их общей протяженности не менее чем до 50 процентов (относительно их протяженности по состоянию на 31 декабря 2017 г.), а также утверждение органами государственной власти субъектов Российской Федерации таких нормативов исходя из установленных на федеральном уровне требований безопасности автомобильных дорог;</w:t>
      </w:r>
    </w:p>
    <w:p w:rsidR="007E27CB" w:rsidRDefault="008F141F">
      <w:pPr>
        <w:pStyle w:val="a3"/>
        <w:numPr>
          <w:ilvl w:val="0"/>
          <w:numId w:val="183"/>
        </w:numPr>
        <w:tabs>
          <w:tab w:val="left" w:pos="851"/>
        </w:tabs>
        <w:ind w:left="0" w:firstLine="567"/>
      </w:pPr>
      <w:r>
        <w:t>снижение доли автомобильных дорог федерального и регионального значения, работающих в режиме перегрузки, в их общей протяженности на 10 процентов по сравнению с 2017 годом;</w:t>
      </w:r>
    </w:p>
    <w:p w:rsidR="007E27CB" w:rsidRDefault="008F141F">
      <w:pPr>
        <w:pStyle w:val="a3"/>
        <w:numPr>
          <w:ilvl w:val="0"/>
          <w:numId w:val="183"/>
        </w:numPr>
        <w:tabs>
          <w:tab w:val="left" w:pos="851"/>
        </w:tabs>
        <w:ind w:left="0" w:firstLine="567"/>
      </w:pPr>
      <w:r>
        <w:t>снижение количества мест концентрации дорожно-транспортных происшествий (аварийно-опасных участков) на дорожной сети в два раза по сравнению с 2017 годом;</w:t>
      </w:r>
    </w:p>
    <w:p w:rsidR="007E27CB" w:rsidRDefault="008F141F">
      <w:pPr>
        <w:pStyle w:val="a3"/>
        <w:numPr>
          <w:ilvl w:val="0"/>
          <w:numId w:val="183"/>
        </w:numPr>
        <w:tabs>
          <w:tab w:val="left" w:pos="851"/>
        </w:tabs>
        <w:ind w:left="0" w:firstLine="567"/>
      </w:pPr>
      <w:r>
        <w:t xml:space="preserve">снижение смертности в результате дорожно-транспортных происшествий в 3,5 раза по сравнению с 2017 годом </w:t>
      </w:r>
      <w:r>
        <w:sym w:font="Symbol" w:char="F02D"/>
      </w:r>
      <w:r>
        <w:t xml:space="preserve"> до уровня, не превышающего четырех человек на 100 тыс. населения.</w:t>
      </w:r>
    </w:p>
    <w:p w:rsidR="007E27CB" w:rsidRDefault="008F141F">
      <w:pPr>
        <w:pStyle w:val="a3"/>
        <w:ind w:firstLine="567"/>
      </w:pPr>
      <w:r>
        <w:tab/>
        <w:t>Для достижения целей национального проекта в Томской области реализуются 3 региональных проекта: «Дорожная сеть», «Общесистемные меры развития дорожного хозяйства», «Безопасность дорожного движения».</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 xml:space="preserve">На реализацию региональных проектов национального проекта «Безопасные и качественные автомобильные дороги» в 2019 году выделено из всех источников бюджета </w:t>
      </w:r>
      <w:r>
        <w:rPr>
          <w:sz w:val="24"/>
          <w:szCs w:val="24"/>
          <w:lang w:eastAsia="ru-RU"/>
        </w:rPr>
        <w:t>2 724, 3</w:t>
      </w:r>
      <w:r>
        <w:rPr>
          <w:rFonts w:eastAsia="Times New Roman"/>
          <w:sz w:val="24"/>
          <w:szCs w:val="24"/>
          <w:lang w:eastAsia="ru-RU"/>
        </w:rPr>
        <w:t xml:space="preserve"> млн. рублей, фактически израсходовано </w:t>
      </w:r>
      <w:r>
        <w:rPr>
          <w:sz w:val="24"/>
          <w:szCs w:val="24"/>
          <w:lang w:eastAsia="ru-RU"/>
        </w:rPr>
        <w:t>2 721,0</w:t>
      </w:r>
      <w:r>
        <w:rPr>
          <w:rFonts w:eastAsia="Times New Roman"/>
          <w:sz w:val="24"/>
          <w:szCs w:val="24"/>
          <w:lang w:eastAsia="ru-RU"/>
        </w:rPr>
        <w:t xml:space="preserve"> млн. рублей (исполнение 99,9%).</w:t>
      </w:r>
    </w:p>
    <w:p w:rsidR="007E27CB" w:rsidRDefault="008F141F">
      <w:pPr>
        <w:spacing w:after="0" w:line="240" w:lineRule="auto"/>
        <w:ind w:firstLine="567"/>
        <w:jc w:val="both"/>
        <w:rPr>
          <w:rFonts w:eastAsia="Times New Roman"/>
          <w:b/>
          <w:sz w:val="24"/>
          <w:szCs w:val="24"/>
          <w:lang w:eastAsia="ru-RU"/>
        </w:rPr>
      </w:pPr>
      <w:r>
        <w:rPr>
          <w:rFonts w:eastAsia="Times New Roman"/>
          <w:b/>
          <w:sz w:val="24"/>
          <w:szCs w:val="24"/>
          <w:lang w:eastAsia="ru-RU"/>
        </w:rPr>
        <w:t>По итогам 2019 года:</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 xml:space="preserve">В рамках реализации мероприятий </w:t>
      </w:r>
      <w:r>
        <w:rPr>
          <w:rFonts w:eastAsia="Times New Roman"/>
          <w:i/>
          <w:sz w:val="24"/>
          <w:szCs w:val="24"/>
          <w:lang w:eastAsia="ru-RU"/>
        </w:rPr>
        <w:t>регионального проекта «Дорожная сеть»:</w:t>
      </w:r>
    </w:p>
    <w:p w:rsidR="007E27CB" w:rsidRDefault="008F141F">
      <w:pPr>
        <w:pStyle w:val="a3"/>
        <w:numPr>
          <w:ilvl w:val="0"/>
          <w:numId w:val="184"/>
        </w:numPr>
        <w:tabs>
          <w:tab w:val="left" w:pos="851"/>
        </w:tabs>
        <w:ind w:left="0" w:firstLine="567"/>
        <w:rPr>
          <w:rFonts w:eastAsia="Times New Roman"/>
        </w:rPr>
      </w:pPr>
      <w:r>
        <w:t>отремонтировано 23 участка улично-дорожной сети протяженностью 138,17 км, из них: 114,36 км автомобильных дорог регионального и межмуниципального значения и 23,9 км автомобильных дорог муниципального значения (в том числе в границах Томской агломерации отремонтировано 36,32 км);</w:t>
      </w:r>
    </w:p>
    <w:p w:rsidR="007E27CB" w:rsidRDefault="008F141F">
      <w:pPr>
        <w:pStyle w:val="a3"/>
        <w:numPr>
          <w:ilvl w:val="0"/>
          <w:numId w:val="184"/>
        </w:numPr>
        <w:tabs>
          <w:tab w:val="left" w:pos="851"/>
        </w:tabs>
        <w:ind w:left="0" w:firstLine="567"/>
      </w:pPr>
      <w:r>
        <w:t>нанесено 92,65 км дорожной разметки с использованием долговечных материалов;</w:t>
      </w:r>
    </w:p>
    <w:p w:rsidR="007E27CB" w:rsidRDefault="008F141F">
      <w:pPr>
        <w:pStyle w:val="a3"/>
        <w:numPr>
          <w:ilvl w:val="0"/>
          <w:numId w:val="184"/>
        </w:numPr>
        <w:tabs>
          <w:tab w:val="left" w:pos="851"/>
        </w:tabs>
        <w:ind w:left="0" w:firstLine="567"/>
      </w:pPr>
      <w:r>
        <w:t>установлено 18,8 км барьерного ограждения;</w:t>
      </w:r>
    </w:p>
    <w:p w:rsidR="007E27CB" w:rsidRDefault="008F141F">
      <w:pPr>
        <w:pStyle w:val="a3"/>
        <w:numPr>
          <w:ilvl w:val="0"/>
          <w:numId w:val="184"/>
        </w:numPr>
        <w:tabs>
          <w:tab w:val="left" w:pos="851"/>
        </w:tabs>
        <w:ind w:left="0" w:firstLine="567"/>
      </w:pPr>
      <w:r>
        <w:t>обустроено 11 автобусных остановок;</w:t>
      </w:r>
    </w:p>
    <w:p w:rsidR="007E27CB" w:rsidRDefault="008F141F">
      <w:pPr>
        <w:pStyle w:val="a3"/>
        <w:numPr>
          <w:ilvl w:val="0"/>
          <w:numId w:val="184"/>
        </w:numPr>
        <w:tabs>
          <w:tab w:val="left" w:pos="851"/>
        </w:tabs>
        <w:ind w:left="0" w:firstLine="567"/>
      </w:pPr>
      <w:r>
        <w:t>проведены работы по ликвидации 7 мест концентрации ДТП;</w:t>
      </w:r>
    </w:p>
    <w:p w:rsidR="007E27CB" w:rsidRDefault="008F141F">
      <w:pPr>
        <w:pStyle w:val="a3"/>
        <w:numPr>
          <w:ilvl w:val="0"/>
          <w:numId w:val="184"/>
        </w:numPr>
        <w:tabs>
          <w:tab w:val="left" w:pos="851"/>
        </w:tabs>
        <w:ind w:left="0" w:firstLine="567"/>
      </w:pPr>
      <w:r>
        <w:t>установлено 460 шт. дорожных знаков, 662 шт. направляющих устройств;</w:t>
      </w:r>
    </w:p>
    <w:p w:rsidR="007E27CB" w:rsidRDefault="008F141F">
      <w:pPr>
        <w:pStyle w:val="a3"/>
        <w:numPr>
          <w:ilvl w:val="0"/>
          <w:numId w:val="184"/>
        </w:numPr>
        <w:tabs>
          <w:tab w:val="left" w:pos="851"/>
        </w:tabs>
        <w:ind w:left="0" w:firstLine="567"/>
      </w:pPr>
      <w:r>
        <w:t>доля автомобильных дорог регионального значения, находящаяся в нормативном состоянии, составила 25,0% (план – 25,0%);</w:t>
      </w:r>
    </w:p>
    <w:p w:rsidR="007E27CB" w:rsidRDefault="008F141F">
      <w:pPr>
        <w:pStyle w:val="a3"/>
        <w:numPr>
          <w:ilvl w:val="0"/>
          <w:numId w:val="184"/>
        </w:numPr>
        <w:tabs>
          <w:tab w:val="left" w:pos="851"/>
        </w:tabs>
        <w:ind w:left="0" w:firstLine="567"/>
      </w:pPr>
      <w:r>
        <w:t>доля дорожной сети городских агломераций, находящаяся в нормативном состоянии, составила 62,64% (план – 62,5%);</w:t>
      </w:r>
    </w:p>
    <w:p w:rsidR="007E27CB" w:rsidRDefault="008F141F">
      <w:pPr>
        <w:pStyle w:val="a3"/>
        <w:numPr>
          <w:ilvl w:val="0"/>
          <w:numId w:val="184"/>
        </w:numPr>
        <w:tabs>
          <w:tab w:val="left" w:pos="851"/>
        </w:tabs>
        <w:ind w:left="0" w:firstLine="567"/>
      </w:pPr>
      <w:r>
        <w:t xml:space="preserve">за счет межбюджетного трансферта из федерального бюджета начато строительство II этапа (52,7 млн. рублей) подъезда к терминалу аэропорта г. Томска с остановочными и парковочными площадками на участке км 19 </w:t>
      </w:r>
      <w:r>
        <w:rPr>
          <w:rFonts w:eastAsia="Times New Roman"/>
        </w:rPr>
        <w:t xml:space="preserve">– </w:t>
      </w:r>
      <w:r>
        <w:t>км 20,185.</w:t>
      </w:r>
    </w:p>
    <w:p w:rsidR="007E27CB" w:rsidRDefault="008F141F">
      <w:pPr>
        <w:tabs>
          <w:tab w:val="left" w:pos="993"/>
        </w:tabs>
        <w:spacing w:after="0" w:line="240" w:lineRule="auto"/>
        <w:ind w:firstLine="567"/>
        <w:jc w:val="both"/>
        <w:rPr>
          <w:rFonts w:eastAsia="Times New Roman"/>
          <w:sz w:val="24"/>
          <w:szCs w:val="24"/>
          <w:u w:val="single"/>
          <w:lang w:eastAsia="ru-RU"/>
        </w:rPr>
      </w:pPr>
      <w:r>
        <w:rPr>
          <w:rFonts w:eastAsia="Times New Roman"/>
          <w:sz w:val="24"/>
          <w:szCs w:val="24"/>
          <w:lang w:eastAsia="ru-RU"/>
        </w:rPr>
        <w:t xml:space="preserve">В рамках реализации мероприятий </w:t>
      </w:r>
      <w:r>
        <w:rPr>
          <w:rFonts w:eastAsia="Times New Roman"/>
          <w:i/>
          <w:sz w:val="24"/>
          <w:szCs w:val="24"/>
          <w:lang w:eastAsia="ru-RU"/>
        </w:rPr>
        <w:t>регионального проекта «Общесистемные меры развития дорожного хозяйства»:</w:t>
      </w:r>
    </w:p>
    <w:p w:rsidR="007E27CB" w:rsidRDefault="008F141F">
      <w:pPr>
        <w:pStyle w:val="a3"/>
        <w:numPr>
          <w:ilvl w:val="0"/>
          <w:numId w:val="185"/>
        </w:numPr>
        <w:tabs>
          <w:tab w:val="left" w:pos="851"/>
        </w:tabs>
        <w:ind w:left="0" w:firstLine="567"/>
        <w:rPr>
          <w:rFonts w:eastAsia="Times New Roman"/>
        </w:rPr>
      </w:pPr>
      <w:r>
        <w:t>установлено 5 камер фото-видеофиксации нарушений правил дорожного движения на автомобильных дорогах;</w:t>
      </w:r>
    </w:p>
    <w:p w:rsidR="007E27CB" w:rsidRDefault="008F141F">
      <w:pPr>
        <w:pStyle w:val="a3"/>
        <w:numPr>
          <w:ilvl w:val="0"/>
          <w:numId w:val="185"/>
        </w:numPr>
        <w:tabs>
          <w:tab w:val="left" w:pos="851"/>
        </w:tabs>
        <w:ind w:left="0" w:firstLine="567"/>
      </w:pPr>
      <w:r>
        <w:t>доля контрактов на осуществление дорожной деятельности, предусматривающих использование новых технологий и материалов, в общем объеме новых государственных контрактов на выполнение работ по капитальному ремонту, ремонту и содержанию автомобильных дорог составила 73%.</w:t>
      </w:r>
    </w:p>
    <w:p w:rsidR="007E27CB" w:rsidRDefault="008F141F">
      <w:pPr>
        <w:pStyle w:val="a3"/>
        <w:ind w:firstLine="567"/>
      </w:pPr>
      <w:r>
        <w:tab/>
        <w:t xml:space="preserve">В рамках реализации мероприятий </w:t>
      </w:r>
      <w:r>
        <w:rPr>
          <w:i/>
        </w:rPr>
        <w:t>регионального  проекта «Безопасность дорожного движения»:</w:t>
      </w:r>
    </w:p>
    <w:p w:rsidR="007E27CB" w:rsidRDefault="008F141F">
      <w:pPr>
        <w:pStyle w:val="a3"/>
        <w:numPr>
          <w:ilvl w:val="0"/>
          <w:numId w:val="186"/>
        </w:numPr>
        <w:tabs>
          <w:tab w:val="left" w:pos="851"/>
        </w:tabs>
        <w:ind w:left="0" w:firstLine="567"/>
      </w:pPr>
      <w:r>
        <w:t>проведено 7 областных конкурсов и соревнований среди отрядов юных инспекторов движения и обучающихся в образовательных организациях;</w:t>
      </w:r>
    </w:p>
    <w:p w:rsidR="007E27CB" w:rsidRDefault="008F141F">
      <w:pPr>
        <w:pStyle w:val="a6"/>
        <w:numPr>
          <w:ilvl w:val="0"/>
          <w:numId w:val="186"/>
        </w:numPr>
        <w:tabs>
          <w:tab w:val="left" w:pos="851"/>
        </w:tabs>
        <w:spacing w:after="0" w:line="240" w:lineRule="auto"/>
        <w:ind w:left="0"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проведен 21 конкурс юных  инспекторов движения «Безопасное колесо».</w:t>
      </w:r>
    </w:p>
    <w:p w:rsidR="007E27CB" w:rsidRDefault="007E27CB">
      <w:pPr>
        <w:spacing w:after="0" w:line="240" w:lineRule="auto"/>
        <w:ind w:firstLine="567"/>
        <w:jc w:val="both"/>
        <w:rPr>
          <w:rFonts w:eastAsia="Times New Roman"/>
          <w:b/>
          <w:sz w:val="24"/>
          <w:szCs w:val="24"/>
          <w:lang w:eastAsia="ru-RU"/>
        </w:rPr>
      </w:pPr>
    </w:p>
    <w:p w:rsidR="007E27CB" w:rsidRDefault="008F141F">
      <w:pPr>
        <w:tabs>
          <w:tab w:val="left" w:pos="426"/>
        </w:tabs>
        <w:spacing w:after="0" w:line="240" w:lineRule="auto"/>
        <w:ind w:firstLine="567"/>
        <w:jc w:val="both"/>
        <w:rPr>
          <w:rFonts w:eastAsia="Times New Roman"/>
          <w:b/>
          <w:sz w:val="24"/>
          <w:szCs w:val="24"/>
          <w:lang w:eastAsia="ru-RU"/>
        </w:rPr>
      </w:pPr>
      <w:r>
        <w:rPr>
          <w:rFonts w:eastAsia="Times New Roman"/>
          <w:b/>
          <w:sz w:val="24"/>
          <w:szCs w:val="24"/>
          <w:lang w:eastAsia="ru-RU"/>
        </w:rPr>
        <w:t>Перспективные задачи на 2020 год</w:t>
      </w:r>
    </w:p>
    <w:p w:rsidR="007E27CB" w:rsidRDefault="008F141F">
      <w:pPr>
        <w:tabs>
          <w:tab w:val="left" w:pos="426"/>
        </w:tabs>
        <w:spacing w:after="0" w:line="240" w:lineRule="auto"/>
        <w:ind w:firstLine="567"/>
        <w:jc w:val="both"/>
        <w:rPr>
          <w:rFonts w:eastAsia="Times New Roman"/>
          <w:i/>
          <w:sz w:val="24"/>
          <w:szCs w:val="24"/>
          <w:lang w:eastAsia="ru-RU"/>
        </w:rPr>
      </w:pPr>
      <w:r>
        <w:rPr>
          <w:rFonts w:eastAsia="Times New Roman"/>
          <w:i/>
          <w:sz w:val="24"/>
          <w:szCs w:val="24"/>
          <w:lang w:eastAsia="ru-RU"/>
        </w:rPr>
        <w:t>Региональный проект «Дорожная сеть»:</w:t>
      </w:r>
    </w:p>
    <w:p w:rsidR="007E27CB" w:rsidRDefault="008F141F">
      <w:pPr>
        <w:pStyle w:val="a6"/>
        <w:numPr>
          <w:ilvl w:val="0"/>
          <w:numId w:val="244"/>
        </w:numPr>
        <w:tabs>
          <w:tab w:val="left" w:pos="-142"/>
          <w:tab w:val="left" w:pos="284"/>
          <w:tab w:val="left" w:pos="851"/>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Проведение ремонта 29 участков улично-дорожной сети протяженностью 142,9 км, в том числе в границах Томской агломерации 56,2 км.</w:t>
      </w:r>
    </w:p>
    <w:p w:rsidR="007E27CB" w:rsidRDefault="008F141F">
      <w:pPr>
        <w:pStyle w:val="a6"/>
        <w:numPr>
          <w:ilvl w:val="0"/>
          <w:numId w:val="244"/>
        </w:numPr>
        <w:tabs>
          <w:tab w:val="left" w:pos="-142"/>
          <w:tab w:val="left" w:pos="284"/>
          <w:tab w:val="left" w:pos="851"/>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Нанесение 137,4 км дорожной разметки с использованием долговечных материалов.</w:t>
      </w:r>
    </w:p>
    <w:p w:rsidR="007E27CB" w:rsidRDefault="008F141F">
      <w:pPr>
        <w:pStyle w:val="a6"/>
        <w:numPr>
          <w:ilvl w:val="0"/>
          <w:numId w:val="244"/>
        </w:numPr>
        <w:tabs>
          <w:tab w:val="left" w:pos="-142"/>
          <w:tab w:val="left" w:pos="284"/>
          <w:tab w:val="left" w:pos="851"/>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Установка 20 778 п. м барьерного ограждения.</w:t>
      </w:r>
    </w:p>
    <w:p w:rsidR="007E27CB" w:rsidRDefault="008F141F">
      <w:pPr>
        <w:pStyle w:val="a6"/>
        <w:numPr>
          <w:ilvl w:val="0"/>
          <w:numId w:val="244"/>
        </w:numPr>
        <w:tabs>
          <w:tab w:val="left" w:pos="-142"/>
          <w:tab w:val="left" w:pos="284"/>
          <w:tab w:val="left" w:pos="851"/>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Обустройство 38 автобусных остановок.</w:t>
      </w:r>
    </w:p>
    <w:p w:rsidR="007E27CB" w:rsidRDefault="008F141F">
      <w:pPr>
        <w:pStyle w:val="a6"/>
        <w:numPr>
          <w:ilvl w:val="0"/>
          <w:numId w:val="244"/>
        </w:numPr>
        <w:tabs>
          <w:tab w:val="left" w:pos="-142"/>
          <w:tab w:val="left" w:pos="284"/>
          <w:tab w:val="left" w:pos="851"/>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Проведение работ по ликвидации 6 мест концентрации ДТП.</w:t>
      </w:r>
    </w:p>
    <w:p w:rsidR="007E27CB" w:rsidRDefault="008F141F">
      <w:pPr>
        <w:pStyle w:val="a6"/>
        <w:numPr>
          <w:ilvl w:val="0"/>
          <w:numId w:val="244"/>
        </w:numPr>
        <w:tabs>
          <w:tab w:val="left" w:pos="-142"/>
          <w:tab w:val="left" w:pos="284"/>
          <w:tab w:val="left" w:pos="709"/>
          <w:tab w:val="left" w:pos="851"/>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Установка 1 582,0 шт. дорожных знаков.</w:t>
      </w:r>
    </w:p>
    <w:p w:rsidR="007E27CB" w:rsidRDefault="008F141F">
      <w:pPr>
        <w:pStyle w:val="a6"/>
        <w:numPr>
          <w:ilvl w:val="0"/>
          <w:numId w:val="244"/>
        </w:numPr>
        <w:tabs>
          <w:tab w:val="left" w:pos="-142"/>
          <w:tab w:val="left" w:pos="284"/>
          <w:tab w:val="left" w:pos="851"/>
          <w:tab w:val="left" w:pos="1418"/>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Выполнение установленного значения показателя по доле автомобильных дорог регионального значения, находящейся в нормативном состоянии, 26,9%.</w:t>
      </w:r>
    </w:p>
    <w:p w:rsidR="007E27CB" w:rsidRDefault="008F141F">
      <w:pPr>
        <w:pStyle w:val="a6"/>
        <w:numPr>
          <w:ilvl w:val="0"/>
          <w:numId w:val="244"/>
        </w:numPr>
        <w:tabs>
          <w:tab w:val="left" w:pos="-142"/>
          <w:tab w:val="left" w:pos="284"/>
          <w:tab w:val="left" w:pos="851"/>
          <w:tab w:val="left" w:pos="1418"/>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Выполнение установленного значения показателя по доле дорожной сети городских агломераций, находящейся в нормативном состоянии, 66,5%.</w:t>
      </w:r>
    </w:p>
    <w:p w:rsidR="007E27CB" w:rsidRDefault="008F141F">
      <w:pPr>
        <w:pStyle w:val="a6"/>
        <w:numPr>
          <w:ilvl w:val="0"/>
          <w:numId w:val="244"/>
        </w:numPr>
        <w:tabs>
          <w:tab w:val="left" w:pos="-142"/>
          <w:tab w:val="left" w:pos="0"/>
          <w:tab w:val="left" w:pos="284"/>
          <w:tab w:val="left" w:pos="851"/>
          <w:tab w:val="left" w:pos="1418"/>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Продолжение обустройства подъезда к терминалу аэропорта г. Томска и введение в эксплуатацию 226 дополнительных парковочных мест.</w:t>
      </w:r>
    </w:p>
    <w:p w:rsidR="007E27CB" w:rsidRDefault="008F141F">
      <w:pPr>
        <w:tabs>
          <w:tab w:val="left" w:pos="426"/>
        </w:tabs>
        <w:spacing w:after="0" w:line="240" w:lineRule="auto"/>
        <w:ind w:firstLine="567"/>
        <w:jc w:val="both"/>
        <w:rPr>
          <w:rFonts w:eastAsia="Times New Roman"/>
          <w:i/>
          <w:sz w:val="24"/>
          <w:szCs w:val="24"/>
          <w:lang w:eastAsia="ru-RU"/>
        </w:rPr>
      </w:pPr>
      <w:r>
        <w:rPr>
          <w:rFonts w:eastAsia="Times New Roman"/>
          <w:i/>
          <w:sz w:val="24"/>
          <w:szCs w:val="24"/>
          <w:lang w:eastAsia="ru-RU"/>
        </w:rPr>
        <w:t>Региональный проект «Общесистемные меры развития дорожного хозяйства»:</w:t>
      </w:r>
    </w:p>
    <w:p w:rsidR="007E27CB" w:rsidRDefault="008F141F">
      <w:pPr>
        <w:pStyle w:val="a6"/>
        <w:numPr>
          <w:ilvl w:val="0"/>
          <w:numId w:val="245"/>
        </w:numPr>
        <w:tabs>
          <w:tab w:val="left" w:pos="284"/>
          <w:tab w:val="left" w:pos="851"/>
          <w:tab w:val="left" w:pos="1276"/>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Установка 12 камер фотовидеофиксации нарушений правил дорожного движения на автомобильных дорогах.</w:t>
      </w:r>
    </w:p>
    <w:p w:rsidR="007E27CB" w:rsidRDefault="008F141F">
      <w:pPr>
        <w:pStyle w:val="a6"/>
        <w:numPr>
          <w:ilvl w:val="0"/>
          <w:numId w:val="245"/>
        </w:numPr>
        <w:tabs>
          <w:tab w:val="left" w:pos="284"/>
          <w:tab w:val="left" w:pos="851"/>
          <w:tab w:val="left" w:pos="1276"/>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Размещение одного автоматического пункта весогабаритного контроля транспортных средств на автомобильных дорогах.</w:t>
      </w:r>
    </w:p>
    <w:p w:rsidR="007E27CB" w:rsidRDefault="008F141F">
      <w:pPr>
        <w:tabs>
          <w:tab w:val="left" w:pos="426"/>
        </w:tabs>
        <w:spacing w:after="0" w:line="240" w:lineRule="auto"/>
        <w:ind w:firstLine="567"/>
        <w:jc w:val="both"/>
        <w:rPr>
          <w:rFonts w:eastAsia="Times New Roman"/>
          <w:i/>
          <w:sz w:val="24"/>
          <w:szCs w:val="24"/>
          <w:lang w:eastAsia="ru-RU"/>
        </w:rPr>
      </w:pPr>
      <w:r>
        <w:rPr>
          <w:rFonts w:eastAsia="Times New Roman"/>
          <w:i/>
          <w:sz w:val="24"/>
          <w:szCs w:val="24"/>
          <w:lang w:eastAsia="ru-RU"/>
        </w:rPr>
        <w:t>Региональный проект «Безопасность дорожного движения»:</w:t>
      </w:r>
    </w:p>
    <w:p w:rsidR="007E27CB" w:rsidRDefault="008F141F">
      <w:pPr>
        <w:pStyle w:val="a6"/>
        <w:numPr>
          <w:ilvl w:val="0"/>
          <w:numId w:val="246"/>
        </w:numPr>
        <w:tabs>
          <w:tab w:val="left" w:pos="284"/>
          <w:tab w:val="left" w:pos="851"/>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Проведение 7 областных конкурсов и соревнований среди отрядов юных инспекторов движения и обучающихся в образовательных организациях.</w:t>
      </w:r>
    </w:p>
    <w:p w:rsidR="007E27CB" w:rsidRDefault="008F141F">
      <w:pPr>
        <w:pStyle w:val="a6"/>
        <w:numPr>
          <w:ilvl w:val="0"/>
          <w:numId w:val="246"/>
        </w:numPr>
        <w:tabs>
          <w:tab w:val="left" w:pos="284"/>
          <w:tab w:val="left" w:pos="851"/>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Проведение 21 конкурса юных инспекторов движения «Безопасное колесо».</w:t>
      </w:r>
    </w:p>
    <w:p w:rsidR="007E27CB" w:rsidRDefault="008F141F">
      <w:pPr>
        <w:pStyle w:val="a6"/>
        <w:numPr>
          <w:ilvl w:val="0"/>
          <w:numId w:val="246"/>
        </w:numPr>
        <w:tabs>
          <w:tab w:val="left" w:pos="284"/>
          <w:tab w:val="left" w:pos="851"/>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Проведение 9 мероприятий для вовлечения детей и молодежи в деятельность по профилактике дорожно-транспортного травматизма, включая развитие детско-юношеских автошкол, отрядов юных инспекторов движения.</w:t>
      </w:r>
    </w:p>
    <w:p w:rsidR="007E27CB" w:rsidRDefault="007E27CB">
      <w:pPr>
        <w:spacing w:after="0" w:line="240" w:lineRule="auto"/>
        <w:ind w:firstLine="567"/>
        <w:jc w:val="both"/>
        <w:rPr>
          <w:rFonts w:eastAsia="Times New Roman"/>
          <w:b/>
          <w:sz w:val="24"/>
          <w:szCs w:val="24"/>
          <w:lang w:eastAsia="ru-RU"/>
        </w:rPr>
      </w:pPr>
    </w:p>
    <w:p w:rsidR="007E27CB" w:rsidRDefault="008F141F">
      <w:pPr>
        <w:spacing w:after="0" w:line="240" w:lineRule="auto"/>
        <w:ind w:firstLine="567"/>
        <w:jc w:val="both"/>
        <w:rPr>
          <w:rFonts w:eastAsia="Times New Roman"/>
          <w:b/>
          <w:sz w:val="24"/>
          <w:szCs w:val="24"/>
          <w:lang w:eastAsia="ru-RU"/>
        </w:rPr>
      </w:pPr>
      <w:r>
        <w:rPr>
          <w:rFonts w:eastAsia="Times New Roman"/>
          <w:b/>
          <w:sz w:val="24"/>
          <w:szCs w:val="24"/>
          <w:lang w:eastAsia="ru-RU"/>
        </w:rPr>
        <w:t>Национальный проект «Производительность труда и поддержка занятости».</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Целями национального проекта являются:</w:t>
      </w:r>
    </w:p>
    <w:p w:rsidR="007E27CB" w:rsidRDefault="008F141F">
      <w:pPr>
        <w:tabs>
          <w:tab w:val="left" w:pos="851"/>
        </w:tabs>
        <w:spacing w:after="0" w:line="240" w:lineRule="auto"/>
        <w:ind w:firstLine="567"/>
        <w:jc w:val="both"/>
        <w:rPr>
          <w:rFonts w:eastAsia="Times New Roman"/>
          <w:sz w:val="24"/>
          <w:szCs w:val="24"/>
          <w:lang w:eastAsia="ru-RU"/>
        </w:rPr>
      </w:pPr>
      <w:r>
        <w:rPr>
          <w:rFonts w:eastAsia="Times New Roman"/>
          <w:sz w:val="24"/>
          <w:szCs w:val="24"/>
          <w:lang w:eastAsia="ru-RU"/>
        </w:rPr>
        <w:t xml:space="preserve"> – рост производительности труда на средних и крупных предприятиях базовых несырьевых отраслей экономики не ниже 5% в год к 2024 году;</w:t>
      </w:r>
    </w:p>
    <w:p w:rsidR="007E27CB" w:rsidRDefault="008F141F">
      <w:pPr>
        <w:tabs>
          <w:tab w:val="left" w:pos="851"/>
        </w:tabs>
        <w:spacing w:after="0" w:line="240" w:lineRule="auto"/>
        <w:ind w:firstLine="567"/>
        <w:jc w:val="both"/>
        <w:rPr>
          <w:rFonts w:eastAsia="Times New Roman"/>
          <w:sz w:val="24"/>
          <w:szCs w:val="24"/>
          <w:lang w:eastAsia="ru-RU"/>
        </w:rPr>
      </w:pPr>
      <w:r>
        <w:rPr>
          <w:rFonts w:eastAsia="Times New Roman"/>
          <w:sz w:val="24"/>
          <w:szCs w:val="24"/>
          <w:lang w:eastAsia="ru-RU"/>
        </w:rPr>
        <w:t>– увеличение количества привлеченных к участию в реализации национального проекта субъектов Российской Федерации;</w:t>
      </w:r>
    </w:p>
    <w:p w:rsidR="007E27CB" w:rsidRDefault="008F141F">
      <w:pPr>
        <w:tabs>
          <w:tab w:val="left" w:pos="851"/>
        </w:tabs>
        <w:spacing w:after="0" w:line="240" w:lineRule="auto"/>
        <w:ind w:firstLine="567"/>
        <w:jc w:val="both"/>
        <w:rPr>
          <w:rFonts w:eastAsia="Times New Roman"/>
          <w:sz w:val="24"/>
          <w:szCs w:val="24"/>
          <w:lang w:eastAsia="ru-RU"/>
        </w:rPr>
      </w:pPr>
      <w:r>
        <w:rPr>
          <w:rFonts w:eastAsia="Times New Roman"/>
          <w:sz w:val="24"/>
          <w:szCs w:val="24"/>
          <w:lang w:eastAsia="ru-RU"/>
        </w:rPr>
        <w:t>– увеличение количества средних и крупных предприятий базовых несырьевых отраслей экономики, вовлеченных в реализацию национального проекта.</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Для достижения целей национального проекта в Томской области реализуется 3 региональных проекта:</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«Системные меры по повышению производительности труда», «Адресная поддержка повышения производительности труда на предприятиях», «Поддержка занятости и повышение эффективности рынка труда для обеспечения роста производительности труда».</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На реализацию региональных проектов в 2019 году из федерального и областного бюджета выделено 85,0 млн. рублей, фактически израсходовано 55,0 млн. рублей (исполнение 64,7%).</w:t>
      </w:r>
    </w:p>
    <w:p w:rsidR="007E27CB" w:rsidRDefault="007E27CB">
      <w:pPr>
        <w:spacing w:after="0" w:line="240" w:lineRule="auto"/>
        <w:ind w:firstLine="567"/>
        <w:jc w:val="both"/>
        <w:rPr>
          <w:rFonts w:eastAsia="Times New Roman"/>
          <w:b/>
          <w:sz w:val="24"/>
          <w:szCs w:val="24"/>
          <w:lang w:eastAsia="ru-RU"/>
        </w:rPr>
      </w:pPr>
    </w:p>
    <w:p w:rsidR="007E27CB" w:rsidRDefault="007E27CB">
      <w:pPr>
        <w:spacing w:after="0" w:line="240" w:lineRule="auto"/>
        <w:ind w:firstLine="567"/>
        <w:jc w:val="both"/>
        <w:rPr>
          <w:rFonts w:eastAsia="Times New Roman"/>
          <w:b/>
          <w:sz w:val="24"/>
          <w:szCs w:val="24"/>
          <w:lang w:eastAsia="ru-RU"/>
        </w:rPr>
      </w:pPr>
    </w:p>
    <w:p w:rsidR="007E27CB" w:rsidRDefault="007E27CB">
      <w:pPr>
        <w:spacing w:after="0" w:line="240" w:lineRule="auto"/>
        <w:ind w:firstLine="567"/>
        <w:jc w:val="both"/>
        <w:rPr>
          <w:rFonts w:eastAsia="Times New Roman"/>
          <w:b/>
          <w:sz w:val="24"/>
          <w:szCs w:val="24"/>
          <w:lang w:eastAsia="ru-RU"/>
        </w:rPr>
      </w:pPr>
    </w:p>
    <w:p w:rsidR="007E27CB" w:rsidRDefault="008F141F">
      <w:pPr>
        <w:spacing w:after="0" w:line="240" w:lineRule="auto"/>
        <w:ind w:firstLine="567"/>
        <w:jc w:val="both"/>
        <w:rPr>
          <w:rFonts w:eastAsia="Times New Roman"/>
          <w:b/>
          <w:sz w:val="24"/>
          <w:szCs w:val="24"/>
          <w:lang w:eastAsia="ru-RU"/>
        </w:rPr>
      </w:pPr>
      <w:r>
        <w:rPr>
          <w:rFonts w:eastAsia="Times New Roman"/>
          <w:b/>
          <w:sz w:val="24"/>
          <w:szCs w:val="24"/>
          <w:lang w:eastAsia="ru-RU"/>
        </w:rPr>
        <w:t>По итогам 2019 года:</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 xml:space="preserve">В рамках реализации мероприятий </w:t>
      </w:r>
      <w:r>
        <w:rPr>
          <w:rFonts w:eastAsia="Times New Roman"/>
          <w:i/>
          <w:sz w:val="24"/>
          <w:szCs w:val="24"/>
          <w:lang w:eastAsia="ru-RU"/>
        </w:rPr>
        <w:t>региональных проектов «Системные меры по повышению производительности труда», «Адресная поддержка повышения производительности труда на предприятиях»</w:t>
      </w:r>
      <w:r>
        <w:rPr>
          <w:rFonts w:eastAsia="Times New Roman"/>
          <w:sz w:val="24"/>
          <w:szCs w:val="24"/>
          <w:lang w:eastAsia="ru-RU"/>
        </w:rPr>
        <w:t xml:space="preserve">: </w:t>
      </w:r>
    </w:p>
    <w:p w:rsidR="007E27CB" w:rsidRDefault="008F141F">
      <w:pPr>
        <w:pStyle w:val="a6"/>
        <w:numPr>
          <w:ilvl w:val="0"/>
          <w:numId w:val="187"/>
        </w:numPr>
        <w:tabs>
          <w:tab w:val="left" w:pos="851"/>
        </w:tabs>
        <w:spacing w:after="0" w:line="240" w:lineRule="auto"/>
        <w:ind w:left="0"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24 предприятия 5 базовых несырьевых отраслей (обрабатывающих производств, строительства, транспортировки и хранения, сельского хозяйства, ЖКХ) вовлечено в реализацию национального проекта;</w:t>
      </w:r>
    </w:p>
    <w:p w:rsidR="007E27CB" w:rsidRDefault="008F141F">
      <w:pPr>
        <w:pStyle w:val="a6"/>
        <w:numPr>
          <w:ilvl w:val="0"/>
          <w:numId w:val="187"/>
        </w:numPr>
        <w:tabs>
          <w:tab w:val="left" w:pos="851"/>
        </w:tabs>
        <w:spacing w:after="0" w:line="240" w:lineRule="auto"/>
        <w:ind w:left="0"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на 14 предприятиях </w:t>
      </w:r>
      <w:r>
        <w:rPr>
          <w:rFonts w:eastAsia="Times New Roman"/>
          <w:sz w:val="24"/>
          <w:szCs w:val="24"/>
          <w:lang w:eastAsia="ru-RU"/>
        </w:rPr>
        <w:t xml:space="preserve">– </w:t>
      </w:r>
      <w:r>
        <w:rPr>
          <w:rFonts w:ascii="Times New Roman" w:eastAsia="Times New Roman" w:hAnsi="Times New Roman"/>
          <w:sz w:val="24"/>
          <w:szCs w:val="24"/>
          <w:lang w:eastAsia="ru-RU"/>
        </w:rPr>
        <w:t>участниках проекта проведена оптимизация производственных/вспомогательных процессов на базе сформированной инфраструктуры (в 2019 году под управлением экспертов Федерального центра компетенций);</w:t>
      </w:r>
    </w:p>
    <w:p w:rsidR="007E27CB" w:rsidRDefault="008F141F">
      <w:pPr>
        <w:pStyle w:val="a6"/>
        <w:numPr>
          <w:ilvl w:val="0"/>
          <w:numId w:val="187"/>
        </w:numPr>
        <w:tabs>
          <w:tab w:val="left" w:pos="851"/>
        </w:tabs>
        <w:spacing w:after="0" w:line="240" w:lineRule="auto"/>
        <w:ind w:left="0"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проведено обучение 292 сотрудников предприятий – участников национального проекта под федеральным/региональным управлением  и самостоятельно посредством специализированных тренингов, тестирований, программ обучения, направленных на повышение производительности труда;</w:t>
      </w:r>
    </w:p>
    <w:p w:rsidR="007E27CB" w:rsidRDefault="008F141F">
      <w:pPr>
        <w:pStyle w:val="a6"/>
        <w:numPr>
          <w:ilvl w:val="0"/>
          <w:numId w:val="187"/>
        </w:numPr>
        <w:tabs>
          <w:tab w:val="left" w:pos="851"/>
        </w:tabs>
        <w:spacing w:after="0" w:line="240" w:lineRule="auto"/>
        <w:ind w:left="0"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создан Региональный центр компетенций в сфере производительности труда в Томской области;</w:t>
      </w:r>
    </w:p>
    <w:p w:rsidR="007E27CB" w:rsidRDefault="008F141F">
      <w:pPr>
        <w:pStyle w:val="a6"/>
        <w:numPr>
          <w:ilvl w:val="0"/>
          <w:numId w:val="187"/>
        </w:numPr>
        <w:tabs>
          <w:tab w:val="left" w:pos="851"/>
        </w:tabs>
        <w:spacing w:after="0" w:line="240" w:lineRule="auto"/>
        <w:ind w:left="0"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создана учебно-производственная площадка «Фабрика процессов» для повышения профессиональных компетенций специалистов предприятий в области бережливого производства через активные действия по анализу производственных проблем, поиску и устранению потерь в ходе выполнения технологических операций, внедрение улучшений путем применения инструментов бережливого производства для предприятий </w:t>
      </w:r>
      <w:r>
        <w:rPr>
          <w:rFonts w:eastAsia="Times New Roman"/>
          <w:sz w:val="24"/>
          <w:szCs w:val="24"/>
          <w:lang w:eastAsia="ru-RU"/>
        </w:rPr>
        <w:t xml:space="preserve">– </w:t>
      </w:r>
      <w:r>
        <w:rPr>
          <w:rFonts w:ascii="Times New Roman" w:eastAsia="Times New Roman" w:hAnsi="Times New Roman"/>
          <w:sz w:val="24"/>
          <w:szCs w:val="24"/>
          <w:lang w:eastAsia="ru-RU"/>
        </w:rPr>
        <w:t xml:space="preserve">участников регионального проекта. </w:t>
      </w:r>
    </w:p>
    <w:p w:rsidR="007E27CB" w:rsidRDefault="008F141F">
      <w:pPr>
        <w:spacing w:after="0" w:line="240" w:lineRule="auto"/>
        <w:ind w:firstLine="567"/>
        <w:jc w:val="both"/>
        <w:rPr>
          <w:rFonts w:eastAsia="Times New Roman"/>
          <w:i/>
          <w:sz w:val="24"/>
          <w:szCs w:val="24"/>
          <w:lang w:eastAsia="ru-RU"/>
        </w:rPr>
      </w:pPr>
      <w:r>
        <w:rPr>
          <w:rFonts w:eastAsia="Times New Roman"/>
          <w:sz w:val="24"/>
          <w:szCs w:val="24"/>
          <w:lang w:eastAsia="ru-RU"/>
        </w:rPr>
        <w:t>В рамках реализации мероприятий</w:t>
      </w:r>
      <w:r>
        <w:rPr>
          <w:rFonts w:eastAsia="Times New Roman"/>
          <w:i/>
          <w:sz w:val="24"/>
          <w:szCs w:val="24"/>
          <w:lang w:eastAsia="ru-RU"/>
        </w:rPr>
        <w:t xml:space="preserve"> регионального  проекта «Поддержка занятости и повышение эффективности рынка труда для обеспечения роста производительности труда»:</w:t>
      </w:r>
    </w:p>
    <w:p w:rsidR="007E27CB" w:rsidRDefault="008F141F">
      <w:pPr>
        <w:pStyle w:val="a6"/>
        <w:numPr>
          <w:ilvl w:val="0"/>
          <w:numId w:val="188"/>
        </w:numPr>
        <w:tabs>
          <w:tab w:val="left" w:pos="851"/>
        </w:tabs>
        <w:spacing w:after="0" w:line="240" w:lineRule="auto"/>
        <w:ind w:left="0"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прошли обучение 1 615 работников предприятий (в 3,2 раза выше планового показателя – 500 человек) – участников регионального проекта по направлениям: автоматизация и цифровизация, бережливое производство, бизнес-процессы и другие. </w:t>
      </w:r>
    </w:p>
    <w:p w:rsidR="007E27CB" w:rsidRDefault="007E27CB">
      <w:pPr>
        <w:tabs>
          <w:tab w:val="left" w:pos="426"/>
        </w:tabs>
        <w:spacing w:after="0" w:line="240" w:lineRule="auto"/>
        <w:ind w:firstLine="567"/>
        <w:jc w:val="both"/>
        <w:rPr>
          <w:rFonts w:eastAsia="Times New Roman"/>
          <w:b/>
          <w:sz w:val="24"/>
          <w:szCs w:val="24"/>
          <w:lang w:eastAsia="ru-RU"/>
        </w:rPr>
      </w:pPr>
    </w:p>
    <w:p w:rsidR="007E27CB" w:rsidRDefault="008F141F">
      <w:pPr>
        <w:tabs>
          <w:tab w:val="left" w:pos="426"/>
        </w:tabs>
        <w:spacing w:after="0" w:line="240" w:lineRule="auto"/>
        <w:ind w:firstLine="567"/>
        <w:jc w:val="both"/>
        <w:rPr>
          <w:rFonts w:eastAsia="Times New Roman"/>
          <w:b/>
          <w:sz w:val="24"/>
          <w:szCs w:val="24"/>
          <w:lang w:eastAsia="ru-RU"/>
        </w:rPr>
      </w:pPr>
      <w:r>
        <w:rPr>
          <w:rFonts w:eastAsia="Times New Roman"/>
          <w:b/>
          <w:sz w:val="24"/>
          <w:szCs w:val="24"/>
          <w:lang w:eastAsia="ru-RU"/>
        </w:rPr>
        <w:t>Перспективные задачи на 2020 год</w:t>
      </w:r>
    </w:p>
    <w:p w:rsidR="007E27CB" w:rsidRDefault="008F141F">
      <w:pPr>
        <w:tabs>
          <w:tab w:val="left" w:pos="426"/>
        </w:tabs>
        <w:spacing w:after="0" w:line="240" w:lineRule="auto"/>
        <w:ind w:firstLine="567"/>
        <w:jc w:val="both"/>
        <w:rPr>
          <w:rFonts w:eastAsia="Times New Roman"/>
          <w:i/>
          <w:sz w:val="24"/>
          <w:szCs w:val="24"/>
          <w:lang w:eastAsia="ru-RU"/>
        </w:rPr>
      </w:pPr>
      <w:r>
        <w:rPr>
          <w:rFonts w:eastAsia="Times New Roman"/>
          <w:i/>
          <w:sz w:val="24"/>
          <w:szCs w:val="24"/>
          <w:lang w:eastAsia="ru-RU"/>
        </w:rPr>
        <w:t>Региональные проекты «Системные меры по повышению производительности труда», «Адресная поддержка повышения производительности труда на предприятиях»:</w:t>
      </w:r>
    </w:p>
    <w:p w:rsidR="007E27CB" w:rsidRDefault="008F141F">
      <w:pPr>
        <w:pStyle w:val="a6"/>
        <w:numPr>
          <w:ilvl w:val="0"/>
          <w:numId w:val="247"/>
        </w:numPr>
        <w:tabs>
          <w:tab w:val="left" w:pos="284"/>
          <w:tab w:val="left" w:pos="851"/>
        </w:tabs>
        <w:spacing w:after="0" w:line="240" w:lineRule="auto"/>
        <w:ind w:left="0" w:firstLine="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Проведение аттестации сотрудников Регионального центра компетенций в сфере производительности труда и получение допуска к работе на предприятиях </w:t>
      </w:r>
      <w:r>
        <w:rPr>
          <w:rFonts w:eastAsia="Times New Roman"/>
          <w:sz w:val="24"/>
          <w:szCs w:val="24"/>
          <w:lang w:eastAsia="ru-RU"/>
        </w:rPr>
        <w:t xml:space="preserve">– </w:t>
      </w:r>
      <w:r>
        <w:rPr>
          <w:rFonts w:ascii="Times New Roman" w:eastAsia="Times New Roman" w:hAnsi="Times New Roman"/>
          <w:sz w:val="24"/>
          <w:szCs w:val="24"/>
          <w:lang w:eastAsia="ru-RU"/>
        </w:rPr>
        <w:t>участниках проекта.</w:t>
      </w:r>
    </w:p>
    <w:p w:rsidR="007E27CB" w:rsidRDefault="008F141F">
      <w:pPr>
        <w:pStyle w:val="a6"/>
        <w:numPr>
          <w:ilvl w:val="0"/>
          <w:numId w:val="247"/>
        </w:numPr>
        <w:tabs>
          <w:tab w:val="left" w:pos="284"/>
          <w:tab w:val="left" w:pos="851"/>
        </w:tabs>
        <w:spacing w:after="0" w:line="240" w:lineRule="auto"/>
        <w:ind w:left="0" w:firstLine="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Вовлечение в реализацию национального проекта 15 средних и крупных предприятий базовых несырьевых отраслей экономики.</w:t>
      </w:r>
    </w:p>
    <w:p w:rsidR="007E27CB" w:rsidRDefault="008F141F">
      <w:pPr>
        <w:pStyle w:val="a6"/>
        <w:numPr>
          <w:ilvl w:val="0"/>
          <w:numId w:val="247"/>
        </w:numPr>
        <w:tabs>
          <w:tab w:val="left" w:pos="284"/>
          <w:tab w:val="left" w:pos="851"/>
        </w:tabs>
        <w:spacing w:after="0" w:line="240" w:lineRule="auto"/>
        <w:ind w:left="0" w:firstLine="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Проведение обучения 80 сотрудников предприятий – участников национального проекта под региональным управлением (совместно с экспертами региональных центров компетенций).</w:t>
      </w:r>
    </w:p>
    <w:p w:rsidR="007E27CB" w:rsidRDefault="008F141F">
      <w:pPr>
        <w:pStyle w:val="a6"/>
        <w:numPr>
          <w:ilvl w:val="0"/>
          <w:numId w:val="247"/>
        </w:numPr>
        <w:tabs>
          <w:tab w:val="left" w:pos="284"/>
          <w:tab w:val="left" w:pos="851"/>
        </w:tabs>
        <w:spacing w:after="0" w:line="240" w:lineRule="auto"/>
        <w:ind w:left="0" w:firstLine="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Создание 3 потоков </w:t>
      </w:r>
      <w:r>
        <w:rPr>
          <w:rFonts w:eastAsia="Times New Roman"/>
          <w:sz w:val="24"/>
          <w:szCs w:val="24"/>
          <w:lang w:eastAsia="ru-RU"/>
        </w:rPr>
        <w:t xml:space="preserve">– </w:t>
      </w:r>
      <w:r>
        <w:rPr>
          <w:rFonts w:ascii="Times New Roman" w:eastAsia="Times New Roman" w:hAnsi="Times New Roman"/>
          <w:sz w:val="24"/>
          <w:szCs w:val="24"/>
          <w:lang w:eastAsia="ru-RU"/>
        </w:rPr>
        <w:t xml:space="preserve">образцов (оптимизация производственных /вспомогательных процессов) на предприятиях </w:t>
      </w:r>
      <w:r>
        <w:rPr>
          <w:rFonts w:eastAsia="Times New Roman"/>
          <w:sz w:val="24"/>
          <w:szCs w:val="24"/>
          <w:lang w:eastAsia="ru-RU"/>
        </w:rPr>
        <w:t>–</w:t>
      </w:r>
      <w:r>
        <w:rPr>
          <w:rFonts w:ascii="Times New Roman" w:eastAsia="Times New Roman" w:hAnsi="Times New Roman"/>
          <w:sz w:val="24"/>
          <w:szCs w:val="24"/>
          <w:lang w:eastAsia="ru-RU"/>
        </w:rPr>
        <w:t xml:space="preserve">- участниках национального проекта под региональным управлением (совместно с экспертами региональных центров компетенций), а также внедряющих мероприятия национального проекта самостоятельно (в том числе с привлечением консультантов) на базе сформированной инфраструктуры для развития производственной системы. </w:t>
      </w:r>
    </w:p>
    <w:p w:rsidR="007E27CB" w:rsidRDefault="008F141F">
      <w:pPr>
        <w:tabs>
          <w:tab w:val="left" w:pos="426"/>
        </w:tabs>
        <w:spacing w:after="0" w:line="240" w:lineRule="auto"/>
        <w:ind w:firstLine="567"/>
        <w:jc w:val="both"/>
        <w:rPr>
          <w:rFonts w:eastAsia="Times New Roman"/>
          <w:i/>
          <w:sz w:val="24"/>
          <w:szCs w:val="24"/>
          <w:lang w:eastAsia="ru-RU"/>
        </w:rPr>
      </w:pPr>
      <w:r>
        <w:rPr>
          <w:rFonts w:eastAsia="Times New Roman"/>
          <w:i/>
          <w:sz w:val="24"/>
          <w:szCs w:val="24"/>
          <w:lang w:eastAsia="ru-RU"/>
        </w:rPr>
        <w:t>Региональный проект «Поддержка занятости и повышение эффективности рынка труда для обеспечения роста производительности труда»:</w:t>
      </w:r>
    </w:p>
    <w:p w:rsidR="007E27CB" w:rsidRDefault="008F141F">
      <w:pPr>
        <w:pStyle w:val="a6"/>
        <w:numPr>
          <w:ilvl w:val="0"/>
          <w:numId w:val="248"/>
        </w:numPr>
        <w:tabs>
          <w:tab w:val="left" w:pos="284"/>
          <w:tab w:val="left" w:pos="851"/>
        </w:tabs>
        <w:spacing w:after="0" w:line="240" w:lineRule="auto"/>
        <w:ind w:left="0" w:firstLine="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Реализация пилотного проекта – модернизация ОГКУ «Центр занятости населения города Томска и Томского района».</w:t>
      </w:r>
    </w:p>
    <w:p w:rsidR="007E27CB" w:rsidRDefault="008F141F">
      <w:pPr>
        <w:pStyle w:val="a6"/>
        <w:numPr>
          <w:ilvl w:val="0"/>
          <w:numId w:val="248"/>
        </w:numPr>
        <w:tabs>
          <w:tab w:val="left" w:pos="284"/>
          <w:tab w:val="left" w:pos="851"/>
        </w:tabs>
        <w:spacing w:after="0" w:line="240" w:lineRule="auto"/>
        <w:ind w:left="0" w:firstLine="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Прохождение переобучения, повышения квалификации 310 работников предприятий </w:t>
      </w:r>
      <w:r>
        <w:rPr>
          <w:rFonts w:eastAsia="Times New Roman"/>
          <w:sz w:val="24"/>
          <w:szCs w:val="24"/>
          <w:lang w:eastAsia="ru-RU"/>
        </w:rPr>
        <w:t xml:space="preserve">– </w:t>
      </w:r>
      <w:r>
        <w:rPr>
          <w:rFonts w:ascii="Times New Roman" w:eastAsia="Times New Roman" w:hAnsi="Times New Roman"/>
          <w:sz w:val="24"/>
          <w:szCs w:val="24"/>
          <w:lang w:eastAsia="ru-RU"/>
        </w:rPr>
        <w:t xml:space="preserve">участников регионального проекта в целях повышения производительности труда. </w:t>
      </w:r>
    </w:p>
    <w:p w:rsidR="007E27CB" w:rsidRDefault="007E27CB">
      <w:pPr>
        <w:spacing w:after="0" w:line="240" w:lineRule="auto"/>
        <w:ind w:firstLine="567"/>
        <w:jc w:val="both"/>
        <w:rPr>
          <w:rFonts w:eastAsia="Times New Roman"/>
          <w:sz w:val="24"/>
          <w:szCs w:val="24"/>
          <w:lang w:eastAsia="ru-RU"/>
        </w:rPr>
      </w:pPr>
    </w:p>
    <w:p w:rsidR="007E27CB" w:rsidRDefault="008F141F">
      <w:pPr>
        <w:spacing w:after="0" w:line="240" w:lineRule="auto"/>
        <w:ind w:firstLine="567"/>
        <w:jc w:val="both"/>
        <w:rPr>
          <w:rFonts w:eastAsia="Times New Roman"/>
          <w:b/>
          <w:sz w:val="24"/>
          <w:szCs w:val="24"/>
          <w:lang w:eastAsia="ru-RU"/>
        </w:rPr>
      </w:pPr>
      <w:r>
        <w:rPr>
          <w:rFonts w:eastAsia="Times New Roman"/>
          <w:b/>
          <w:sz w:val="24"/>
          <w:szCs w:val="24"/>
          <w:lang w:eastAsia="ru-RU"/>
        </w:rPr>
        <w:t>Национальный проект «Наука»</w:t>
      </w:r>
    </w:p>
    <w:p w:rsidR="007E27CB" w:rsidRDefault="008F141F">
      <w:pPr>
        <w:spacing w:after="0" w:line="240" w:lineRule="auto"/>
        <w:ind w:firstLine="567"/>
        <w:jc w:val="both"/>
        <w:rPr>
          <w:sz w:val="24"/>
          <w:szCs w:val="24"/>
        </w:rPr>
      </w:pPr>
      <w:r>
        <w:rPr>
          <w:sz w:val="24"/>
          <w:szCs w:val="24"/>
        </w:rPr>
        <w:t>Целями национального проекта являются:</w:t>
      </w:r>
    </w:p>
    <w:p w:rsidR="007E27CB" w:rsidRDefault="008F141F">
      <w:pPr>
        <w:pStyle w:val="a6"/>
        <w:numPr>
          <w:ilvl w:val="0"/>
          <w:numId w:val="135"/>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обеспечение присутствия Российской Федерации в числе пяти ведущих стран мира, осуществляющих научные исследования и разработки в областях, определяемых приоритетами научно-технологического развития;</w:t>
      </w:r>
    </w:p>
    <w:p w:rsidR="007E27CB" w:rsidRDefault="008F141F">
      <w:pPr>
        <w:pStyle w:val="a6"/>
        <w:numPr>
          <w:ilvl w:val="0"/>
          <w:numId w:val="135"/>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обеспечение привлекательности работы в Российской Федерации для ведущих российских и зарубежных ученых и молодых перспективных исследователей;</w:t>
      </w:r>
    </w:p>
    <w:p w:rsidR="007E27CB" w:rsidRDefault="008F141F">
      <w:pPr>
        <w:pStyle w:val="a6"/>
        <w:numPr>
          <w:ilvl w:val="0"/>
          <w:numId w:val="135"/>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опережающее увеличение внутренних затрат на внутренние исследования и разработки за счет всех источников по сравнению с ростом валового внутреннего продукта страны.</w:t>
      </w:r>
    </w:p>
    <w:p w:rsidR="007E27CB" w:rsidRDefault="008F141F">
      <w:pPr>
        <w:pStyle w:val="a6"/>
        <w:tabs>
          <w:tab w:val="left" w:pos="993"/>
        </w:tabs>
        <w:spacing w:after="0" w:line="240" w:lineRule="auto"/>
        <w:ind w:left="0" w:firstLine="567"/>
        <w:jc w:val="both"/>
        <w:rPr>
          <w:rFonts w:ascii="Times New Roman" w:hAnsi="Times New Roman"/>
          <w:sz w:val="24"/>
          <w:szCs w:val="24"/>
        </w:rPr>
      </w:pPr>
      <w:r>
        <w:rPr>
          <w:rFonts w:ascii="Times New Roman" w:hAnsi="Times New Roman"/>
          <w:sz w:val="24"/>
          <w:szCs w:val="24"/>
        </w:rPr>
        <w:t>Для достижения целей национального проекта в Томской области реализуется 3 региональных проекта: «Развитие научной и научно-производственной кооперации», «Развитие кадрового потенциала в сфере исследований и разработок», «Развитие передовой инфраструктуры для проведения исследований и разработок в Российской Федерации».</w:t>
      </w:r>
    </w:p>
    <w:p w:rsidR="007E27CB" w:rsidRDefault="008F141F">
      <w:pPr>
        <w:pStyle w:val="a6"/>
        <w:tabs>
          <w:tab w:val="left" w:pos="993"/>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Финансирование на реализацию национального проекта «Наука» выделяется из федерального бюджета вузам и НИИ на конкурсной основе. </w:t>
      </w:r>
    </w:p>
    <w:p w:rsidR="007E27CB" w:rsidRDefault="008F141F">
      <w:pPr>
        <w:spacing w:after="0" w:line="240" w:lineRule="auto"/>
        <w:ind w:firstLine="567"/>
        <w:jc w:val="both"/>
        <w:rPr>
          <w:b/>
          <w:sz w:val="24"/>
          <w:szCs w:val="24"/>
        </w:rPr>
      </w:pPr>
      <w:r>
        <w:rPr>
          <w:b/>
          <w:sz w:val="24"/>
          <w:szCs w:val="24"/>
        </w:rPr>
        <w:t>По итогам 2019 года:</w:t>
      </w:r>
    </w:p>
    <w:p w:rsidR="007E27CB" w:rsidRDefault="008F141F">
      <w:pPr>
        <w:spacing w:after="0" w:line="240" w:lineRule="auto"/>
        <w:ind w:firstLine="567"/>
        <w:jc w:val="both"/>
        <w:rPr>
          <w:b/>
          <w:sz w:val="24"/>
          <w:szCs w:val="24"/>
        </w:rPr>
      </w:pPr>
      <w:r>
        <w:rPr>
          <w:sz w:val="24"/>
          <w:szCs w:val="24"/>
        </w:rPr>
        <w:t xml:space="preserve">В рамках </w:t>
      </w:r>
      <w:r>
        <w:rPr>
          <w:rFonts w:eastAsia="Times New Roman"/>
          <w:i/>
          <w:sz w:val="24"/>
          <w:szCs w:val="24"/>
          <w:lang w:eastAsia="ru-RU"/>
        </w:rPr>
        <w:t>регионального проекта «Развитие научной и научно-производственной кооперации»:</w:t>
      </w:r>
    </w:p>
    <w:p w:rsidR="007E27CB" w:rsidRDefault="008F141F">
      <w:pPr>
        <w:pStyle w:val="a6"/>
        <w:numPr>
          <w:ilvl w:val="0"/>
          <w:numId w:val="189"/>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подготовлены и проведены несколько стратегических сессий, по итогам которых представлена в Минобрнауки России инициатива по созданию Научно-образовательного центра мирового уровня «ИНОТОМСК»;</w:t>
      </w:r>
    </w:p>
    <w:p w:rsidR="007E27CB" w:rsidRDefault="008F141F">
      <w:pPr>
        <w:pStyle w:val="a6"/>
        <w:numPr>
          <w:ilvl w:val="0"/>
          <w:numId w:val="189"/>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по числу публикаций в рецензируемых журналах, индексируемых в Web of Science, в расчете на 10 исследователей Томская область превзошла средний показатель по стране почти в 6 раз, по числу патентных заявок в расчете на 1 млн. человек рабочей силы – в 2 раза (по данным НИУ ВШЭ и Ассоциации инновационных регионов России).</w:t>
      </w:r>
    </w:p>
    <w:p w:rsidR="007E27CB" w:rsidRDefault="008F141F">
      <w:pPr>
        <w:spacing w:after="0" w:line="240" w:lineRule="auto"/>
        <w:ind w:firstLine="567"/>
        <w:jc w:val="both"/>
        <w:rPr>
          <w:rFonts w:eastAsia="Times New Roman"/>
          <w:sz w:val="24"/>
          <w:szCs w:val="24"/>
          <w:u w:val="single"/>
          <w:lang w:eastAsia="ru-RU"/>
        </w:rPr>
      </w:pPr>
      <w:r>
        <w:rPr>
          <w:sz w:val="24"/>
          <w:szCs w:val="24"/>
        </w:rPr>
        <w:t xml:space="preserve">В рамках </w:t>
      </w:r>
      <w:r>
        <w:rPr>
          <w:rFonts w:eastAsia="Times New Roman"/>
          <w:i/>
          <w:sz w:val="24"/>
          <w:szCs w:val="24"/>
          <w:lang w:eastAsia="ru-RU"/>
        </w:rPr>
        <w:t>реализации регионального проекта «Развитие кадрового потенциала в сфере исследований и разработок»:</w:t>
      </w:r>
    </w:p>
    <w:p w:rsidR="007E27CB" w:rsidRDefault="008F141F">
      <w:pPr>
        <w:pStyle w:val="a6"/>
        <w:numPr>
          <w:ilvl w:val="0"/>
          <w:numId w:val="190"/>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в вузах открыто 6 новых молодежных лабораторий, выполняющих исследования по приоритетным направлениям Стратегии научно-технологического развития Российской Федерации. На  финансирование новых лабораторий Минобрнауки России на конкурсной основе выделило годовое финансирование в размере 143 млн. рублей.</w:t>
      </w:r>
    </w:p>
    <w:p w:rsidR="007E27CB" w:rsidRDefault="008F141F">
      <w:pPr>
        <w:spacing w:after="0" w:line="240" w:lineRule="auto"/>
        <w:ind w:firstLine="567"/>
        <w:jc w:val="both"/>
        <w:rPr>
          <w:sz w:val="24"/>
          <w:szCs w:val="24"/>
        </w:rPr>
      </w:pPr>
      <w:r>
        <w:rPr>
          <w:sz w:val="24"/>
          <w:szCs w:val="24"/>
        </w:rPr>
        <w:t xml:space="preserve">В рамках </w:t>
      </w:r>
      <w:r>
        <w:rPr>
          <w:rFonts w:eastAsia="Times New Roman"/>
          <w:sz w:val="24"/>
          <w:szCs w:val="24"/>
          <w:lang w:eastAsia="ru-RU"/>
        </w:rPr>
        <w:t xml:space="preserve">реализации </w:t>
      </w:r>
      <w:r>
        <w:rPr>
          <w:rFonts w:eastAsia="Times New Roman"/>
          <w:i/>
          <w:sz w:val="24"/>
          <w:szCs w:val="24"/>
          <w:lang w:eastAsia="ru-RU"/>
        </w:rPr>
        <w:t xml:space="preserve">регионального проекта «Развитие передовой инфраструктуры для проведения исследований и разработок в Российской Федерации» </w:t>
      </w:r>
      <w:r>
        <w:rPr>
          <w:sz w:val="24"/>
          <w:szCs w:val="24"/>
        </w:rPr>
        <w:t xml:space="preserve">по итогам конкурса Минобрнауки России две ведущие научные организации (ИФПМ СО РАН и ИОА СО РАН) получили на обновление своей приборной базы более 58  млн. рублей. </w:t>
      </w:r>
    </w:p>
    <w:p w:rsidR="007E27CB" w:rsidRDefault="007E27CB">
      <w:pPr>
        <w:spacing w:after="0" w:line="240" w:lineRule="auto"/>
        <w:ind w:firstLine="567"/>
        <w:jc w:val="both"/>
        <w:rPr>
          <w:b/>
          <w:sz w:val="24"/>
          <w:szCs w:val="24"/>
        </w:rPr>
      </w:pPr>
    </w:p>
    <w:p w:rsidR="007E27CB" w:rsidRDefault="008F141F">
      <w:pPr>
        <w:tabs>
          <w:tab w:val="left" w:pos="426"/>
        </w:tabs>
        <w:spacing w:after="0" w:line="240" w:lineRule="auto"/>
        <w:ind w:firstLine="567"/>
        <w:jc w:val="both"/>
        <w:rPr>
          <w:b/>
          <w:sz w:val="24"/>
          <w:szCs w:val="24"/>
        </w:rPr>
      </w:pPr>
      <w:r>
        <w:rPr>
          <w:b/>
          <w:sz w:val="24"/>
          <w:szCs w:val="24"/>
        </w:rPr>
        <w:t>Перспективные задачи на 2020 год:</w:t>
      </w:r>
    </w:p>
    <w:p w:rsidR="007E27CB" w:rsidRDefault="008F141F">
      <w:pPr>
        <w:tabs>
          <w:tab w:val="left" w:pos="426"/>
        </w:tabs>
        <w:spacing w:after="0" w:line="240" w:lineRule="auto"/>
        <w:ind w:firstLine="567"/>
        <w:jc w:val="both"/>
        <w:rPr>
          <w:rFonts w:eastAsia="Times New Roman"/>
          <w:i/>
          <w:sz w:val="24"/>
          <w:szCs w:val="24"/>
          <w:lang w:eastAsia="ru-RU"/>
        </w:rPr>
      </w:pPr>
      <w:r>
        <w:rPr>
          <w:rFonts w:eastAsia="Times New Roman"/>
          <w:i/>
          <w:sz w:val="24"/>
          <w:szCs w:val="24"/>
          <w:lang w:eastAsia="ru-RU"/>
        </w:rPr>
        <w:t>Региональный проект «Развитие научной и научно-производственной кооперации»:</w:t>
      </w:r>
    </w:p>
    <w:p w:rsidR="007E27CB" w:rsidRDefault="008F141F">
      <w:pPr>
        <w:pStyle w:val="a6"/>
        <w:numPr>
          <w:ilvl w:val="0"/>
          <w:numId w:val="249"/>
        </w:numPr>
        <w:tabs>
          <w:tab w:val="left" w:pos="284"/>
          <w:tab w:val="left" w:pos="851"/>
        </w:tabs>
        <w:spacing w:after="0" w:line="240" w:lineRule="auto"/>
        <w:ind w:left="0" w:firstLine="0"/>
        <w:jc w:val="both"/>
        <w:rPr>
          <w:rFonts w:ascii="Times New Roman" w:hAnsi="Times New Roman"/>
          <w:sz w:val="24"/>
          <w:szCs w:val="24"/>
        </w:rPr>
      </w:pPr>
      <w:r>
        <w:rPr>
          <w:rFonts w:ascii="Times New Roman" w:hAnsi="Times New Roman"/>
          <w:sz w:val="24"/>
          <w:szCs w:val="24"/>
        </w:rPr>
        <w:t xml:space="preserve">Участие в конкурсных отборах на создание в г. Томске Научно-образовательного центра мирового уровня (НОЦ) и Научного центра мирового уровня (НЦМУ) в рамках реализации национального проекта «Наука». </w:t>
      </w:r>
    </w:p>
    <w:p w:rsidR="007E27CB" w:rsidRDefault="008F141F">
      <w:pPr>
        <w:tabs>
          <w:tab w:val="left" w:pos="426"/>
        </w:tabs>
        <w:spacing w:after="0" w:line="240" w:lineRule="auto"/>
        <w:ind w:firstLine="567"/>
        <w:jc w:val="both"/>
        <w:rPr>
          <w:rFonts w:eastAsia="Times New Roman"/>
          <w:i/>
          <w:sz w:val="24"/>
          <w:szCs w:val="24"/>
          <w:lang w:eastAsia="ru-RU"/>
        </w:rPr>
      </w:pPr>
      <w:r>
        <w:rPr>
          <w:rFonts w:eastAsia="Times New Roman"/>
          <w:i/>
          <w:sz w:val="24"/>
          <w:szCs w:val="24"/>
          <w:lang w:eastAsia="ru-RU"/>
        </w:rPr>
        <w:t>Региональный проект «Развитие кадрового потенциала в сфере исследований и разработок»:</w:t>
      </w:r>
    </w:p>
    <w:p w:rsidR="007E27CB" w:rsidRDefault="008F141F">
      <w:pPr>
        <w:pStyle w:val="a6"/>
        <w:numPr>
          <w:ilvl w:val="0"/>
          <w:numId w:val="250"/>
        </w:numPr>
        <w:tabs>
          <w:tab w:val="left" w:pos="426"/>
          <w:tab w:val="left" w:pos="851"/>
        </w:tabs>
        <w:spacing w:after="0" w:line="240" w:lineRule="auto"/>
        <w:ind w:left="0" w:firstLine="0"/>
        <w:jc w:val="both"/>
        <w:rPr>
          <w:rFonts w:ascii="Times New Roman" w:hAnsi="Times New Roman"/>
          <w:sz w:val="24"/>
          <w:szCs w:val="24"/>
        </w:rPr>
      </w:pPr>
      <w:r>
        <w:rPr>
          <w:rFonts w:ascii="Times New Roman" w:hAnsi="Times New Roman"/>
          <w:sz w:val="24"/>
          <w:szCs w:val="24"/>
        </w:rPr>
        <w:t>Участие томских вузов и НИИ в конкурсе по созданию новых молодежных лабораторий, выполняющих фундаментальные и поисковые научные исследования по приоритетам Стратегии научно-технологического развития Российской Федерации.</w:t>
      </w:r>
    </w:p>
    <w:p w:rsidR="007E27CB" w:rsidRDefault="008F141F">
      <w:pPr>
        <w:tabs>
          <w:tab w:val="left" w:pos="426"/>
        </w:tabs>
        <w:spacing w:after="0" w:line="240" w:lineRule="auto"/>
        <w:ind w:firstLine="567"/>
        <w:jc w:val="both"/>
        <w:rPr>
          <w:rFonts w:eastAsia="Times New Roman"/>
          <w:i/>
          <w:sz w:val="24"/>
          <w:szCs w:val="24"/>
          <w:lang w:eastAsia="ru-RU"/>
        </w:rPr>
      </w:pPr>
      <w:r>
        <w:rPr>
          <w:rFonts w:eastAsia="Times New Roman"/>
          <w:i/>
          <w:sz w:val="24"/>
          <w:szCs w:val="24"/>
          <w:lang w:eastAsia="ru-RU"/>
        </w:rPr>
        <w:t>Региональный проект «Развитие передовой инфраструктуры для проведения исследований и разработок в Российской Федерации»:</w:t>
      </w:r>
    </w:p>
    <w:p w:rsidR="007E27CB" w:rsidRDefault="008F141F">
      <w:pPr>
        <w:pStyle w:val="a6"/>
        <w:numPr>
          <w:ilvl w:val="0"/>
          <w:numId w:val="202"/>
        </w:numPr>
        <w:tabs>
          <w:tab w:val="left" w:pos="851"/>
        </w:tabs>
        <w:spacing w:after="0" w:line="240" w:lineRule="auto"/>
        <w:ind w:left="0" w:firstLine="567"/>
        <w:jc w:val="both"/>
        <w:rPr>
          <w:rFonts w:ascii="Times New Roman" w:hAnsi="Times New Roman"/>
          <w:color w:val="1F497D"/>
          <w:sz w:val="24"/>
          <w:szCs w:val="24"/>
        </w:rPr>
      </w:pPr>
      <w:r>
        <w:rPr>
          <w:rFonts w:ascii="Times New Roman" w:hAnsi="Times New Roman"/>
          <w:sz w:val="24"/>
          <w:szCs w:val="24"/>
        </w:rPr>
        <w:t xml:space="preserve">Участие 3 томских вузов, 2 академических НИИ и Томского национального исследовательского медицинского центра РАН (далее по разделу </w:t>
      </w:r>
      <w:r>
        <w:rPr>
          <w:rFonts w:eastAsia="Times New Roman"/>
          <w:sz w:val="24"/>
          <w:szCs w:val="24"/>
          <w:lang w:eastAsia="ru-RU"/>
        </w:rPr>
        <w:t xml:space="preserve">– </w:t>
      </w:r>
      <w:r>
        <w:rPr>
          <w:rFonts w:ascii="Times New Roman" w:hAnsi="Times New Roman"/>
          <w:sz w:val="24"/>
          <w:szCs w:val="24"/>
        </w:rPr>
        <w:t xml:space="preserve">ТНИМЦ) в программе по обновлению приборной базы. Министерством науки и высшего образования Российской Федерации утверждены предельные размеры грантов на обновление приборной базы ведущих организаций на общую сумму более 304,3 млн. рублей, в том числе ТГУ – 126,8 млн. рублей, ТПУ – 60,6 млн. рублей, ТУСУР – 28 млн. рублей, ТНИМЦ – 61,8 млн. рублей, Институт физики прочности и материаловедения СО РАН – 23,3 млн. рублей, Институт оптики атмосферы имени В.Е. Зуева СО РАН – 3,8 млн. рублей. </w:t>
      </w:r>
    </w:p>
    <w:p w:rsidR="007E27CB" w:rsidRDefault="007E27CB">
      <w:pPr>
        <w:spacing w:after="0" w:line="240" w:lineRule="auto"/>
        <w:ind w:firstLine="567"/>
        <w:jc w:val="both"/>
        <w:rPr>
          <w:sz w:val="24"/>
          <w:szCs w:val="24"/>
        </w:rPr>
      </w:pPr>
    </w:p>
    <w:p w:rsidR="007E27CB" w:rsidRDefault="008F141F">
      <w:pPr>
        <w:spacing w:after="0" w:line="240" w:lineRule="auto"/>
        <w:ind w:firstLine="567"/>
        <w:jc w:val="both"/>
        <w:rPr>
          <w:b/>
          <w:sz w:val="24"/>
          <w:szCs w:val="24"/>
        </w:rPr>
      </w:pPr>
      <w:r>
        <w:rPr>
          <w:b/>
          <w:sz w:val="24"/>
          <w:szCs w:val="24"/>
        </w:rPr>
        <w:t>Национальный проект «Цифровая экономика»</w:t>
      </w:r>
    </w:p>
    <w:p w:rsidR="007E27CB" w:rsidRDefault="008F141F">
      <w:pPr>
        <w:spacing w:after="0" w:line="240" w:lineRule="auto"/>
        <w:ind w:firstLine="567"/>
        <w:jc w:val="both"/>
        <w:rPr>
          <w:sz w:val="24"/>
          <w:szCs w:val="24"/>
        </w:rPr>
      </w:pPr>
      <w:r>
        <w:rPr>
          <w:sz w:val="24"/>
          <w:szCs w:val="24"/>
        </w:rPr>
        <w:t>Целями национального проекта являются:</w:t>
      </w:r>
    </w:p>
    <w:p w:rsidR="007E27CB" w:rsidRDefault="008F141F">
      <w:pPr>
        <w:pStyle w:val="a6"/>
        <w:numPr>
          <w:ilvl w:val="0"/>
          <w:numId w:val="149"/>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увеличение внутренних затрат на развитие цифровой экономики за счет всех источников (по доле в валовом внутреннем продукте страны) не менее чем в три раза по сравнению с 2017 годом;</w:t>
      </w:r>
    </w:p>
    <w:p w:rsidR="007E27CB" w:rsidRDefault="008F141F">
      <w:pPr>
        <w:pStyle w:val="a6"/>
        <w:numPr>
          <w:ilvl w:val="0"/>
          <w:numId w:val="149"/>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создание устойчивой и безопасной информационно-телекоммуникационной инфраструктуры высокоскоростной передачи, обработки и хранения больших объемов данных, доступной для всех организаций и домохозяйств;</w:t>
      </w:r>
    </w:p>
    <w:p w:rsidR="007E27CB" w:rsidRDefault="008F141F">
      <w:pPr>
        <w:pStyle w:val="a6"/>
        <w:numPr>
          <w:ilvl w:val="0"/>
          <w:numId w:val="149"/>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использование преимущественно отечественного программного обеспечения государственными органами, органами местного самоуправления и организациями.</w:t>
      </w:r>
    </w:p>
    <w:p w:rsidR="007E27CB" w:rsidRDefault="008F141F">
      <w:pPr>
        <w:spacing w:after="0" w:line="240" w:lineRule="auto"/>
        <w:ind w:firstLine="567"/>
        <w:jc w:val="both"/>
        <w:rPr>
          <w:sz w:val="24"/>
          <w:szCs w:val="24"/>
        </w:rPr>
      </w:pPr>
      <w:r>
        <w:rPr>
          <w:sz w:val="24"/>
          <w:szCs w:val="24"/>
        </w:rPr>
        <w:t>Для достижения целей национального проекта в Томской области реализуются 6 региональных проектов: «Цифровое государственное управление», «Цифровые технологии», «Информационная безопасность», «Информационная инфраструктура», «Кадры для цифровой экономики», «Умные города Томской области».</w:t>
      </w:r>
    </w:p>
    <w:p w:rsidR="007E27CB" w:rsidRDefault="008F141F">
      <w:pPr>
        <w:spacing w:after="0" w:line="240" w:lineRule="auto"/>
        <w:ind w:firstLine="567"/>
        <w:jc w:val="both"/>
        <w:rPr>
          <w:rFonts w:eastAsia="Times New Roman"/>
          <w:b/>
          <w:bCs/>
          <w:color w:val="000000"/>
          <w:sz w:val="24"/>
          <w:szCs w:val="24"/>
          <w:lang w:eastAsia="ru-RU"/>
        </w:rPr>
      </w:pPr>
      <w:r>
        <w:rPr>
          <w:sz w:val="24"/>
          <w:szCs w:val="24"/>
        </w:rPr>
        <w:t xml:space="preserve">На реализацию региональных проектов национального проекта «Цифровая экономика» в 2019 году выделено из областного бюджета </w:t>
      </w:r>
      <w:r>
        <w:rPr>
          <w:rFonts w:eastAsia="Times New Roman"/>
          <w:bCs/>
          <w:color w:val="000000"/>
          <w:sz w:val="24"/>
          <w:szCs w:val="24"/>
          <w:lang w:eastAsia="ru-RU"/>
        </w:rPr>
        <w:t>105,8 млн. рублей, фактически израсходовано 104,1 млн. рублей (исполнение 98,4 %).</w:t>
      </w:r>
    </w:p>
    <w:p w:rsidR="007E27CB" w:rsidRDefault="008F141F">
      <w:pPr>
        <w:spacing w:after="0" w:line="240" w:lineRule="auto"/>
        <w:ind w:firstLine="567"/>
        <w:jc w:val="both"/>
        <w:rPr>
          <w:b/>
          <w:sz w:val="24"/>
          <w:szCs w:val="24"/>
        </w:rPr>
      </w:pPr>
      <w:r>
        <w:rPr>
          <w:b/>
          <w:sz w:val="24"/>
          <w:szCs w:val="24"/>
        </w:rPr>
        <w:t>По итогам 2019 года:</w:t>
      </w:r>
    </w:p>
    <w:p w:rsidR="007E27CB" w:rsidRDefault="008F141F">
      <w:pPr>
        <w:spacing w:after="0" w:line="240" w:lineRule="auto"/>
        <w:ind w:firstLine="567"/>
        <w:jc w:val="both"/>
        <w:rPr>
          <w:sz w:val="24"/>
          <w:szCs w:val="24"/>
        </w:rPr>
      </w:pPr>
      <w:r>
        <w:rPr>
          <w:sz w:val="24"/>
          <w:szCs w:val="24"/>
        </w:rPr>
        <w:t xml:space="preserve">В рамках </w:t>
      </w:r>
      <w:r>
        <w:rPr>
          <w:rFonts w:eastAsia="Times New Roman"/>
          <w:sz w:val="24"/>
          <w:szCs w:val="24"/>
          <w:lang w:eastAsia="ru-RU"/>
        </w:rPr>
        <w:t xml:space="preserve">реализации мероприятий </w:t>
      </w:r>
      <w:r>
        <w:rPr>
          <w:i/>
          <w:sz w:val="24"/>
          <w:szCs w:val="24"/>
        </w:rPr>
        <w:t>регионального проекта «Цифровое государственное управление</w:t>
      </w:r>
      <w:r>
        <w:rPr>
          <w:b/>
          <w:i/>
          <w:sz w:val="24"/>
          <w:szCs w:val="24"/>
        </w:rPr>
        <w:t>»</w:t>
      </w:r>
      <w:r>
        <w:rPr>
          <w:i/>
          <w:sz w:val="24"/>
          <w:szCs w:val="24"/>
        </w:rPr>
        <w:t>:</w:t>
      </w:r>
    </w:p>
    <w:p w:rsidR="007E27CB" w:rsidRDefault="008F141F">
      <w:pPr>
        <w:pStyle w:val="a6"/>
        <w:numPr>
          <w:ilvl w:val="0"/>
          <w:numId w:val="150"/>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обеспечено нормативное регулирование цифровой среды в части предоставления государственных (муниципальных) услуг, проведена инвентаризация региональных нормативно-правовых актов и работа по приведению в соответствие регионального законодательства;</w:t>
      </w:r>
    </w:p>
    <w:p w:rsidR="007E27CB" w:rsidRDefault="008F141F">
      <w:pPr>
        <w:pStyle w:val="a6"/>
        <w:numPr>
          <w:ilvl w:val="0"/>
          <w:numId w:val="150"/>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востребованность портала государственных услуг у жителей Томской области возросла более чем в три раза, всего в соответствии со статистикой Минкомсвязи России в Томской области за отчетный год подано 1179,0  тыс. заявлений на оказание услуг;</w:t>
      </w:r>
    </w:p>
    <w:p w:rsidR="007E27CB" w:rsidRDefault="008F141F">
      <w:pPr>
        <w:pStyle w:val="a6"/>
        <w:numPr>
          <w:ilvl w:val="0"/>
          <w:numId w:val="150"/>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действует 281 пункт выдачи ключей к личным кабинетам для доступа к порталу государственных услуг, в том числе: во всех муниципальных образованиях Томской области, в 18 филиалах ОГКУ «Томский областной многофункциональный центр по предоставлению государственных и муниципальных услуг», в органах власти Томской области и подведомственных учреждениях;</w:t>
      </w:r>
    </w:p>
    <w:p w:rsidR="007E27CB" w:rsidRDefault="008F141F">
      <w:pPr>
        <w:pStyle w:val="a6"/>
        <w:numPr>
          <w:ilvl w:val="0"/>
          <w:numId w:val="150"/>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обеспечен доступ для жителей региона к региональным, муниципальным и федеральным услугам в цифровой форме посредством единой точки входа – портала государственных услуг, на одной платформе в 2019 году доступны 142 региональных и 356 федеральных услуг;</w:t>
      </w:r>
    </w:p>
    <w:p w:rsidR="007E27CB" w:rsidRDefault="008F141F">
      <w:pPr>
        <w:pStyle w:val="a6"/>
        <w:numPr>
          <w:ilvl w:val="0"/>
          <w:numId w:val="150"/>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обеспечено функционирование 119 центров общественного доступа (далее – ЦОД) к социально значимой информации в сети «Интернет» в 106 населенных пунктах Томской области, которые посетило более 100 тыс. жителей Томской области.</w:t>
      </w:r>
    </w:p>
    <w:p w:rsidR="007E27CB" w:rsidRDefault="008F141F">
      <w:pPr>
        <w:spacing w:after="0" w:line="240" w:lineRule="auto"/>
        <w:ind w:firstLine="567"/>
        <w:jc w:val="both"/>
        <w:rPr>
          <w:sz w:val="24"/>
          <w:szCs w:val="24"/>
        </w:rPr>
      </w:pPr>
      <w:r>
        <w:rPr>
          <w:sz w:val="24"/>
          <w:szCs w:val="24"/>
        </w:rPr>
        <w:t xml:space="preserve">В рамках реализации мероприятий </w:t>
      </w:r>
      <w:r>
        <w:rPr>
          <w:i/>
          <w:sz w:val="24"/>
          <w:szCs w:val="24"/>
        </w:rPr>
        <w:t>регионального проекта «Цифровые технологии»:</w:t>
      </w:r>
    </w:p>
    <w:p w:rsidR="007E27CB" w:rsidRDefault="008F141F">
      <w:pPr>
        <w:pStyle w:val="a6"/>
        <w:numPr>
          <w:ilvl w:val="0"/>
          <w:numId w:val="151"/>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произведен запуск программно-аппаратного комплекса «Умная клиника. Приемное отделение», через который прошло в тестовом режиме 50 человек, целью которого является перевод в цифровой формат ключевых бизнес-процессов: управление персоналом, лечебно-диагностическая, административно-хозяйственная и экономическая деятельность, внедрение системы на базе клиники СибГМУ;</w:t>
      </w:r>
    </w:p>
    <w:p w:rsidR="007E27CB" w:rsidRDefault="008F141F">
      <w:pPr>
        <w:pStyle w:val="a6"/>
        <w:numPr>
          <w:ilvl w:val="0"/>
          <w:numId w:val="151"/>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подготовлены и протестированы сервисы (модули) платформы по приоритетным отраслям экономики и направлениям Стратегии социально-экономического развития Томской области, а также личный кабинет платформы: «Активный житель Томской области, «Маркетплейс мер поддержки предпринимательства»,  «Цифровая лаборатория больших данных», «Гид-путеводитель по городам Томской области», «Онлайн-площадка технологического предпринимательства». Число пользователей платформы на конец 2019 года составило 114 человек.</w:t>
      </w:r>
    </w:p>
    <w:p w:rsidR="007E27CB" w:rsidRDefault="008F141F">
      <w:pPr>
        <w:spacing w:after="0" w:line="240" w:lineRule="auto"/>
        <w:ind w:firstLine="567"/>
        <w:jc w:val="both"/>
        <w:rPr>
          <w:sz w:val="24"/>
          <w:szCs w:val="24"/>
        </w:rPr>
      </w:pPr>
      <w:r>
        <w:rPr>
          <w:sz w:val="24"/>
          <w:szCs w:val="24"/>
        </w:rPr>
        <w:t xml:space="preserve">В рамках реализации мероприятий регионального проекта </w:t>
      </w:r>
      <w:r>
        <w:rPr>
          <w:i/>
          <w:sz w:val="24"/>
          <w:szCs w:val="24"/>
        </w:rPr>
        <w:t xml:space="preserve">«Информационная инфраструктура» </w:t>
      </w:r>
      <w:r>
        <w:rPr>
          <w:sz w:val="24"/>
          <w:szCs w:val="24"/>
        </w:rPr>
        <w:t>подключено 174 социально значимых объекта к сети Интернет (26% от общего количества социально значимых объектов  согласно поэтапному плану подключения), в том числе: 17 – органов местного самоуправления, 12 – пожарно-спасательных частей, 63 – фельдшерско-акушерских пункта, 76 – общеобразовательных организаций, 6 – организаций среднего профессионального образования.</w:t>
      </w:r>
    </w:p>
    <w:p w:rsidR="007E27CB" w:rsidRDefault="008F141F">
      <w:pPr>
        <w:spacing w:after="0" w:line="240" w:lineRule="auto"/>
        <w:ind w:firstLine="567"/>
        <w:jc w:val="both"/>
        <w:rPr>
          <w:sz w:val="24"/>
          <w:szCs w:val="24"/>
        </w:rPr>
      </w:pPr>
      <w:r>
        <w:rPr>
          <w:sz w:val="24"/>
          <w:szCs w:val="24"/>
        </w:rPr>
        <w:t xml:space="preserve">В рамках реализации мероприятий </w:t>
      </w:r>
      <w:r>
        <w:rPr>
          <w:i/>
          <w:sz w:val="24"/>
          <w:szCs w:val="24"/>
        </w:rPr>
        <w:t xml:space="preserve">регионального проекта «Информационная безопасность» </w:t>
      </w:r>
      <w:r>
        <w:rPr>
          <w:sz w:val="24"/>
          <w:szCs w:val="24"/>
        </w:rPr>
        <w:t xml:space="preserve">по переходу на использование преимущественно отечественного программного обеспечения для организации процесса передачи, обработки и хранения данных, закуплено необходимое программное обеспечение, создано типовое рабочее место государственного гражданского служащего на основе отечественных разработок, выполнены работы по категорированию объектов критической информационной инфраструктуры исполнительных органов государственной власти Томской области. </w:t>
      </w:r>
    </w:p>
    <w:p w:rsidR="007E27CB" w:rsidRDefault="008F141F">
      <w:pPr>
        <w:spacing w:after="0" w:line="240" w:lineRule="auto"/>
        <w:ind w:firstLine="567"/>
        <w:jc w:val="both"/>
        <w:rPr>
          <w:sz w:val="24"/>
          <w:szCs w:val="24"/>
        </w:rPr>
      </w:pPr>
      <w:r>
        <w:rPr>
          <w:sz w:val="24"/>
          <w:szCs w:val="24"/>
        </w:rPr>
        <w:t xml:space="preserve">В рамках реализации мероприятий </w:t>
      </w:r>
      <w:r>
        <w:rPr>
          <w:i/>
          <w:sz w:val="24"/>
          <w:szCs w:val="24"/>
        </w:rPr>
        <w:t xml:space="preserve">регионального проекта </w:t>
      </w:r>
      <w:r>
        <w:rPr>
          <w:b/>
          <w:i/>
          <w:sz w:val="24"/>
          <w:szCs w:val="24"/>
        </w:rPr>
        <w:t>«</w:t>
      </w:r>
      <w:r>
        <w:rPr>
          <w:i/>
          <w:sz w:val="24"/>
          <w:szCs w:val="24"/>
        </w:rPr>
        <w:t>Кадры для цифровой экономики»:</w:t>
      </w:r>
    </w:p>
    <w:p w:rsidR="007E27CB" w:rsidRDefault="008F141F">
      <w:pPr>
        <w:pStyle w:val="a6"/>
        <w:numPr>
          <w:ilvl w:val="0"/>
          <w:numId w:val="152"/>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предоставлено 3 гранта в форме субсидий на создание и поддержку функционирования организаций дополнительного образования детей и (или) детских объединений на базе школ для углубленного изучения математики и информатики;</w:t>
      </w:r>
    </w:p>
    <w:p w:rsidR="007E27CB" w:rsidRDefault="008F141F">
      <w:pPr>
        <w:pStyle w:val="a6"/>
        <w:numPr>
          <w:ilvl w:val="0"/>
          <w:numId w:val="152"/>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300 человек приняли участие в тематических сменах в сезонных лагерях для школьников по передовым направлениям дискретной математики, информатики, цифровых технологий. </w:t>
      </w:r>
    </w:p>
    <w:p w:rsidR="007E27CB" w:rsidRDefault="008F141F">
      <w:pPr>
        <w:pStyle w:val="29"/>
        <w:shd w:val="clear" w:color="auto" w:fill="auto"/>
        <w:tabs>
          <w:tab w:val="left" w:pos="426"/>
        </w:tabs>
        <w:spacing w:after="0" w:line="240" w:lineRule="auto"/>
        <w:ind w:firstLine="567"/>
        <w:rPr>
          <w:rFonts w:ascii="Times New Roman" w:hAnsi="Times New Roman" w:cs="Times New Roman"/>
          <w:b/>
          <w:color w:val="000000"/>
          <w:sz w:val="24"/>
          <w:szCs w:val="24"/>
          <w:lang w:eastAsia="ru-RU" w:bidi="ru-RU"/>
        </w:rPr>
      </w:pPr>
      <w:r>
        <w:rPr>
          <w:rFonts w:ascii="Times New Roman" w:hAnsi="Times New Roman" w:cs="Times New Roman"/>
          <w:b/>
          <w:color w:val="000000"/>
          <w:sz w:val="24"/>
          <w:szCs w:val="24"/>
        </w:rPr>
        <w:t>Перспективные задачи на 2020 год</w:t>
      </w:r>
    </w:p>
    <w:p w:rsidR="007E27CB" w:rsidRDefault="008F141F">
      <w:pPr>
        <w:pStyle w:val="29"/>
        <w:shd w:val="clear" w:color="auto" w:fill="auto"/>
        <w:spacing w:after="0" w:line="240" w:lineRule="auto"/>
        <w:ind w:firstLine="567"/>
        <w:rPr>
          <w:rFonts w:ascii="Times New Roman" w:hAnsi="Times New Roman" w:cs="Times New Roman"/>
          <w:bCs/>
          <w:i/>
          <w:sz w:val="24"/>
          <w:szCs w:val="24"/>
        </w:rPr>
      </w:pPr>
      <w:r>
        <w:rPr>
          <w:rFonts w:ascii="Times New Roman" w:hAnsi="Times New Roman" w:cs="Times New Roman"/>
          <w:bCs/>
          <w:i/>
          <w:sz w:val="24"/>
          <w:szCs w:val="24"/>
        </w:rPr>
        <w:t>Региональный проект «Умные города Томской области»:</w:t>
      </w:r>
    </w:p>
    <w:p w:rsidR="007E27CB" w:rsidRDefault="008F141F">
      <w:pPr>
        <w:pStyle w:val="29"/>
        <w:widowControl/>
        <w:numPr>
          <w:ilvl w:val="0"/>
          <w:numId w:val="136"/>
        </w:numPr>
        <w:tabs>
          <w:tab w:val="left" w:pos="284"/>
          <w:tab w:val="left" w:pos="851"/>
        </w:tabs>
        <w:spacing w:after="0" w:line="240" w:lineRule="auto"/>
        <w:ind w:left="0" w:firstLine="0"/>
        <w:rPr>
          <w:rFonts w:ascii="Times New Roman" w:hAnsi="Times New Roman" w:cs="Times New Roman"/>
          <w:color w:val="000000"/>
          <w:sz w:val="24"/>
          <w:szCs w:val="24"/>
        </w:rPr>
      </w:pPr>
      <w:r>
        <w:rPr>
          <w:rFonts w:ascii="Times New Roman" w:hAnsi="Times New Roman" w:cs="Times New Roman"/>
          <w:color w:val="000000"/>
          <w:sz w:val="24"/>
          <w:szCs w:val="24"/>
        </w:rPr>
        <w:t>Модернизация действующей системы мониторинга транспортных средств с целью расширения функциональных возможностей системы для реализации социальных электронных сервисов для граждан.</w:t>
      </w:r>
    </w:p>
    <w:p w:rsidR="007E27CB" w:rsidRDefault="008F141F">
      <w:pPr>
        <w:pStyle w:val="29"/>
        <w:shd w:val="clear" w:color="auto" w:fill="auto"/>
        <w:spacing w:after="0" w:line="240" w:lineRule="auto"/>
        <w:ind w:firstLine="567"/>
        <w:rPr>
          <w:rFonts w:ascii="Times New Roman" w:hAnsi="Times New Roman" w:cs="Times New Roman"/>
          <w:bCs/>
          <w:i/>
          <w:sz w:val="24"/>
          <w:szCs w:val="24"/>
        </w:rPr>
      </w:pPr>
      <w:r>
        <w:rPr>
          <w:rFonts w:ascii="Times New Roman" w:hAnsi="Times New Roman" w:cs="Times New Roman"/>
          <w:bCs/>
          <w:i/>
          <w:sz w:val="24"/>
          <w:szCs w:val="24"/>
        </w:rPr>
        <w:t>Региональный проект «Цифровые технологии»:</w:t>
      </w:r>
    </w:p>
    <w:p w:rsidR="007E27CB" w:rsidRDefault="008F141F">
      <w:pPr>
        <w:pStyle w:val="a6"/>
        <w:numPr>
          <w:ilvl w:val="0"/>
          <w:numId w:val="251"/>
        </w:numPr>
        <w:tabs>
          <w:tab w:val="left" w:pos="284"/>
          <w:tab w:val="left" w:pos="851"/>
        </w:tabs>
        <w:spacing w:after="0" w:line="240" w:lineRule="auto"/>
        <w:ind w:left="0" w:firstLine="0"/>
        <w:jc w:val="both"/>
        <w:rPr>
          <w:rFonts w:ascii="Times New Roman" w:hAnsi="Times New Roman"/>
          <w:sz w:val="24"/>
          <w:szCs w:val="24"/>
        </w:rPr>
      </w:pPr>
      <w:r>
        <w:rPr>
          <w:rFonts w:ascii="Times New Roman" w:hAnsi="Times New Roman"/>
          <w:sz w:val="24"/>
          <w:szCs w:val="24"/>
        </w:rPr>
        <w:t>Тестирование и отработка на практике функционирования модуля «Приемное отделение» в рамках пилотного проекта «Цифровой госпиталь» на базе клиник СибГМУ.</w:t>
      </w:r>
    </w:p>
    <w:p w:rsidR="007E27CB" w:rsidRDefault="008F141F">
      <w:pPr>
        <w:pStyle w:val="a6"/>
        <w:numPr>
          <w:ilvl w:val="0"/>
          <w:numId w:val="251"/>
        </w:numPr>
        <w:tabs>
          <w:tab w:val="left" w:pos="284"/>
          <w:tab w:val="left" w:pos="851"/>
        </w:tabs>
        <w:spacing w:after="0" w:line="240" w:lineRule="auto"/>
        <w:ind w:left="0" w:firstLine="0"/>
        <w:jc w:val="both"/>
        <w:rPr>
          <w:rFonts w:ascii="Times New Roman" w:hAnsi="Times New Roman"/>
          <w:sz w:val="24"/>
          <w:szCs w:val="24"/>
        </w:rPr>
      </w:pPr>
      <w:r>
        <w:rPr>
          <w:rFonts w:ascii="Times New Roman" w:hAnsi="Times New Roman"/>
          <w:sz w:val="24"/>
          <w:szCs w:val="24"/>
        </w:rPr>
        <w:t>Продвижение цифровой платформы Томской области, расширение числа пользователей цифровой платформы</w:t>
      </w:r>
    </w:p>
    <w:p w:rsidR="007E27CB" w:rsidRDefault="008F141F">
      <w:pPr>
        <w:pStyle w:val="29"/>
        <w:shd w:val="clear" w:color="auto" w:fill="auto"/>
        <w:spacing w:after="0" w:line="240" w:lineRule="auto"/>
        <w:ind w:firstLine="567"/>
        <w:rPr>
          <w:rFonts w:ascii="Times New Roman" w:hAnsi="Times New Roman" w:cs="Times New Roman"/>
          <w:bCs/>
          <w:i/>
          <w:sz w:val="24"/>
          <w:szCs w:val="24"/>
        </w:rPr>
      </w:pPr>
      <w:r>
        <w:rPr>
          <w:rFonts w:ascii="Times New Roman" w:hAnsi="Times New Roman" w:cs="Times New Roman"/>
          <w:bCs/>
          <w:i/>
          <w:sz w:val="24"/>
          <w:szCs w:val="24"/>
        </w:rPr>
        <w:t>Региональный проект «Информационная инфраструктура»:</w:t>
      </w:r>
    </w:p>
    <w:p w:rsidR="007E27CB" w:rsidRDefault="008F141F">
      <w:pPr>
        <w:pStyle w:val="29"/>
        <w:widowControl/>
        <w:numPr>
          <w:ilvl w:val="0"/>
          <w:numId w:val="252"/>
        </w:numPr>
        <w:tabs>
          <w:tab w:val="left" w:pos="284"/>
          <w:tab w:val="left" w:pos="851"/>
        </w:tabs>
        <w:spacing w:after="0" w:line="240" w:lineRule="auto"/>
        <w:ind w:left="0" w:firstLine="0"/>
        <w:rPr>
          <w:rFonts w:ascii="Times New Roman" w:hAnsi="Times New Roman" w:cs="Times New Roman"/>
          <w:color w:val="000000"/>
          <w:sz w:val="24"/>
          <w:szCs w:val="24"/>
        </w:rPr>
      </w:pPr>
      <w:r>
        <w:rPr>
          <w:rFonts w:ascii="Times New Roman" w:hAnsi="Times New Roman" w:cs="Times New Roman"/>
          <w:sz w:val="24"/>
          <w:szCs w:val="24"/>
        </w:rPr>
        <w:t>Создание и внедрение региональной навигационно-информационной системы управления транспортом (РНИС). Внедрение безналичной оплаты проезда в общественном межрегиональном транспорте.</w:t>
      </w:r>
    </w:p>
    <w:p w:rsidR="007E27CB" w:rsidRDefault="008F141F">
      <w:pPr>
        <w:pStyle w:val="29"/>
        <w:widowControl/>
        <w:numPr>
          <w:ilvl w:val="0"/>
          <w:numId w:val="252"/>
        </w:numPr>
        <w:tabs>
          <w:tab w:val="left" w:pos="284"/>
          <w:tab w:val="left" w:pos="851"/>
        </w:tabs>
        <w:spacing w:after="0" w:line="240" w:lineRule="auto"/>
        <w:ind w:left="0" w:firstLine="0"/>
        <w:rPr>
          <w:rFonts w:ascii="Times New Roman" w:hAnsi="Times New Roman" w:cs="Times New Roman"/>
          <w:color w:val="000000"/>
          <w:sz w:val="24"/>
          <w:szCs w:val="24"/>
        </w:rPr>
      </w:pPr>
      <w:r>
        <w:rPr>
          <w:rFonts w:ascii="Times New Roman" w:hAnsi="Times New Roman" w:cs="Times New Roman"/>
          <w:sz w:val="24"/>
          <w:szCs w:val="24"/>
        </w:rPr>
        <w:t>Проведение конкурсов на выполнение работ, связанных с осуществлением регулярных перевозок пассажиров и багажа автомобильным транспортом по всем межмуниципальным маршрутам Томской области.</w:t>
      </w:r>
    </w:p>
    <w:p w:rsidR="007E27CB" w:rsidRDefault="008F141F">
      <w:pPr>
        <w:pStyle w:val="29"/>
        <w:widowControl/>
        <w:numPr>
          <w:ilvl w:val="0"/>
          <w:numId w:val="252"/>
        </w:numPr>
        <w:tabs>
          <w:tab w:val="left" w:pos="284"/>
          <w:tab w:val="left" w:pos="851"/>
        </w:tabs>
        <w:spacing w:after="0" w:line="240" w:lineRule="auto"/>
        <w:ind w:left="0" w:firstLine="0"/>
        <w:rPr>
          <w:rFonts w:ascii="Times New Roman" w:hAnsi="Times New Roman" w:cs="Times New Roman"/>
          <w:color w:val="000000"/>
          <w:sz w:val="24"/>
          <w:szCs w:val="24"/>
        </w:rPr>
      </w:pPr>
      <w:r>
        <w:rPr>
          <w:rFonts w:ascii="Times New Roman" w:hAnsi="Times New Roman" w:cs="Times New Roman"/>
          <w:sz w:val="24"/>
          <w:szCs w:val="24"/>
        </w:rPr>
        <w:t>Подключение 214 социально значимых объектов к сети Интернет.</w:t>
      </w:r>
    </w:p>
    <w:p w:rsidR="007E27CB" w:rsidRDefault="008F141F">
      <w:pPr>
        <w:pStyle w:val="29"/>
        <w:widowControl/>
        <w:tabs>
          <w:tab w:val="left" w:pos="426"/>
        </w:tabs>
        <w:spacing w:after="0" w:line="240" w:lineRule="auto"/>
        <w:ind w:firstLine="567"/>
        <w:rPr>
          <w:rFonts w:ascii="Times New Roman" w:hAnsi="Times New Roman" w:cs="Times New Roman"/>
          <w:i/>
          <w:color w:val="000000"/>
          <w:sz w:val="24"/>
          <w:szCs w:val="24"/>
        </w:rPr>
      </w:pPr>
      <w:r>
        <w:rPr>
          <w:rFonts w:ascii="Times New Roman" w:hAnsi="Times New Roman" w:cs="Times New Roman"/>
          <w:i/>
          <w:sz w:val="24"/>
          <w:szCs w:val="24"/>
        </w:rPr>
        <w:t>Региональный проект «Информационная безопасность»:</w:t>
      </w:r>
    </w:p>
    <w:p w:rsidR="007E27CB" w:rsidRDefault="008F141F">
      <w:pPr>
        <w:pStyle w:val="a6"/>
        <w:numPr>
          <w:ilvl w:val="0"/>
          <w:numId w:val="253"/>
        </w:numPr>
        <w:tabs>
          <w:tab w:val="left" w:pos="284"/>
          <w:tab w:val="left" w:pos="851"/>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Подготовка в организациях высшего и среднего профессионального образования Томской области специалистов в области информационной безопасности.</w:t>
      </w:r>
    </w:p>
    <w:p w:rsidR="007E27CB" w:rsidRDefault="008F141F">
      <w:pPr>
        <w:pStyle w:val="a6"/>
        <w:numPr>
          <w:ilvl w:val="0"/>
          <w:numId w:val="253"/>
        </w:numPr>
        <w:tabs>
          <w:tab w:val="left" w:pos="284"/>
          <w:tab w:val="left" w:pos="851"/>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Создание защищенной информационно-телекоммуникационной инфраструктуры Администрации Томской области и исполнительные органы государственной власти Томской области, обеспечивающей  устойчивую и безопасную высокоскоростную передачу, обработку и хранение данных.</w:t>
      </w:r>
    </w:p>
    <w:p w:rsidR="007E27CB" w:rsidRDefault="008F141F">
      <w:pPr>
        <w:pStyle w:val="a6"/>
        <w:numPr>
          <w:ilvl w:val="0"/>
          <w:numId w:val="253"/>
        </w:numPr>
        <w:tabs>
          <w:tab w:val="left" w:pos="284"/>
          <w:tab w:val="left" w:pos="851"/>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Мероприятия по импортозамещению программного обеспечения в органах государственной и муниципальной власти.</w:t>
      </w:r>
    </w:p>
    <w:p w:rsidR="007E27CB" w:rsidRDefault="008F141F">
      <w:pPr>
        <w:pStyle w:val="a6"/>
        <w:numPr>
          <w:ilvl w:val="0"/>
          <w:numId w:val="253"/>
        </w:numPr>
        <w:tabs>
          <w:tab w:val="left" w:pos="284"/>
          <w:tab w:val="left" w:pos="851"/>
        </w:tabs>
        <w:spacing w:after="0" w:line="240" w:lineRule="auto"/>
        <w:ind w:left="0" w:firstLine="0"/>
        <w:contextualSpacing w:val="0"/>
        <w:jc w:val="both"/>
        <w:rPr>
          <w:rFonts w:ascii="Times New Roman" w:hAnsi="Times New Roman"/>
          <w:sz w:val="24"/>
          <w:szCs w:val="24"/>
        </w:rPr>
      </w:pPr>
      <w:r>
        <w:rPr>
          <w:rFonts w:ascii="Times New Roman" w:hAnsi="Times New Roman"/>
          <w:sz w:val="24"/>
          <w:szCs w:val="24"/>
        </w:rPr>
        <w:t>Обеспечение безопасности информации на объектах критической информационной инфраструктуры.</w:t>
      </w:r>
    </w:p>
    <w:p w:rsidR="007E27CB" w:rsidRDefault="008F141F">
      <w:pPr>
        <w:pStyle w:val="29"/>
        <w:spacing w:after="0" w:line="240" w:lineRule="auto"/>
        <w:ind w:firstLine="567"/>
        <w:rPr>
          <w:rFonts w:ascii="Times New Roman" w:hAnsi="Times New Roman" w:cs="Times New Roman"/>
          <w:bCs/>
          <w:i/>
          <w:sz w:val="24"/>
          <w:szCs w:val="24"/>
        </w:rPr>
      </w:pPr>
      <w:r>
        <w:rPr>
          <w:rFonts w:ascii="Times New Roman" w:hAnsi="Times New Roman" w:cs="Times New Roman"/>
          <w:bCs/>
          <w:i/>
          <w:sz w:val="24"/>
          <w:szCs w:val="24"/>
        </w:rPr>
        <w:t>Региональный проект «Кадры для цифровой экономики»</w:t>
      </w:r>
    </w:p>
    <w:p w:rsidR="007E27CB" w:rsidRDefault="008F141F">
      <w:pPr>
        <w:pStyle w:val="29"/>
        <w:widowControl/>
        <w:numPr>
          <w:ilvl w:val="0"/>
          <w:numId w:val="254"/>
        </w:numPr>
        <w:tabs>
          <w:tab w:val="left" w:pos="284"/>
          <w:tab w:val="left" w:pos="851"/>
        </w:tabs>
        <w:spacing w:after="0" w:line="240" w:lineRule="auto"/>
        <w:ind w:left="0" w:firstLine="0"/>
        <w:rPr>
          <w:rFonts w:ascii="Times New Roman" w:hAnsi="Times New Roman" w:cs="Times New Roman"/>
          <w:color w:val="000000"/>
          <w:sz w:val="24"/>
          <w:szCs w:val="24"/>
        </w:rPr>
      </w:pPr>
      <w:r>
        <w:rPr>
          <w:rFonts w:ascii="Times New Roman" w:hAnsi="Times New Roman" w:cs="Times New Roman"/>
          <w:sz w:val="24"/>
          <w:szCs w:val="24"/>
        </w:rPr>
        <w:t>Обучение 2 889 студентов по ключевым компетенциям цифровой экономики на базе центра опережающей профессиональной подготовки для выпускных групп всех техникумов и колледжей Томской области.</w:t>
      </w:r>
    </w:p>
    <w:p w:rsidR="007E27CB" w:rsidRDefault="008F141F">
      <w:pPr>
        <w:pStyle w:val="a6"/>
        <w:numPr>
          <w:ilvl w:val="0"/>
          <w:numId w:val="254"/>
        </w:numPr>
        <w:tabs>
          <w:tab w:val="left" w:pos="284"/>
          <w:tab w:val="left" w:pos="851"/>
        </w:tabs>
        <w:spacing w:after="0" w:line="240" w:lineRule="auto"/>
        <w:ind w:left="0" w:firstLine="0"/>
        <w:contextualSpacing w:val="0"/>
        <w:rPr>
          <w:rFonts w:ascii="Times New Roman" w:hAnsi="Times New Roman"/>
          <w:sz w:val="24"/>
          <w:szCs w:val="24"/>
        </w:rPr>
      </w:pPr>
      <w:r>
        <w:rPr>
          <w:rFonts w:ascii="Times New Roman" w:hAnsi="Times New Roman"/>
          <w:sz w:val="24"/>
          <w:szCs w:val="24"/>
        </w:rPr>
        <w:t>Обучение 3 500 граждан ключевым компетенциям цифровой экономики в рамках дополнительного образования.</w:t>
      </w:r>
    </w:p>
    <w:p w:rsidR="007E27CB" w:rsidRDefault="007E27CB">
      <w:pPr>
        <w:spacing w:after="0" w:line="240" w:lineRule="auto"/>
        <w:ind w:firstLine="567"/>
        <w:jc w:val="both"/>
        <w:rPr>
          <w:b/>
          <w:sz w:val="24"/>
          <w:szCs w:val="24"/>
        </w:rPr>
      </w:pPr>
    </w:p>
    <w:p w:rsidR="007E27CB" w:rsidRDefault="008F141F">
      <w:pPr>
        <w:spacing w:after="0" w:line="240" w:lineRule="auto"/>
        <w:ind w:firstLine="567"/>
        <w:jc w:val="both"/>
        <w:rPr>
          <w:b/>
          <w:sz w:val="24"/>
          <w:szCs w:val="24"/>
        </w:rPr>
      </w:pPr>
      <w:r>
        <w:rPr>
          <w:b/>
          <w:sz w:val="24"/>
          <w:szCs w:val="24"/>
        </w:rPr>
        <w:t>Национальный проект «Культура»</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Целями национального проекта являются:</w:t>
      </w:r>
    </w:p>
    <w:p w:rsidR="007E27CB" w:rsidRDefault="008F141F">
      <w:pPr>
        <w:pStyle w:val="a3"/>
        <w:numPr>
          <w:ilvl w:val="0"/>
          <w:numId w:val="153"/>
        </w:numPr>
        <w:tabs>
          <w:tab w:val="left" w:pos="851"/>
        </w:tabs>
        <w:ind w:left="0" w:firstLine="567"/>
        <w:rPr>
          <w:rFonts w:eastAsia="Times New Roman"/>
        </w:rPr>
      </w:pPr>
      <w:r>
        <w:t>увеличение на 15% числа посещений организаций культуры (%);</w:t>
      </w:r>
    </w:p>
    <w:p w:rsidR="007E27CB" w:rsidRDefault="008F141F">
      <w:pPr>
        <w:pStyle w:val="a3"/>
        <w:numPr>
          <w:ilvl w:val="0"/>
          <w:numId w:val="153"/>
        </w:numPr>
        <w:tabs>
          <w:tab w:val="left" w:pos="851"/>
        </w:tabs>
        <w:ind w:left="0" w:firstLine="567"/>
      </w:pPr>
      <w:r>
        <w:t>увеличение числа обращений к цифровым ресурсам в сфере культуры в 5 раз (млн. обращений в год).</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Для достижения целей национального проекта в Томской области реализуются 3 региональных проекта: «Культурная среда», «Творческие люди», «Цифровая культура».</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На реализацию региональных проектов национального проекта «Культура» в 2019 году выделено из федерального, областного и местных бюджетов 147,9 млн. рублей, фактически израсходовано 147,9 млн. рублей (исполнение 100%).</w:t>
      </w:r>
    </w:p>
    <w:p w:rsidR="007E27CB" w:rsidRDefault="008F141F">
      <w:pPr>
        <w:spacing w:after="0" w:line="240" w:lineRule="auto"/>
        <w:ind w:firstLine="567"/>
        <w:jc w:val="both"/>
        <w:rPr>
          <w:rFonts w:eastAsia="Times New Roman"/>
          <w:b/>
          <w:sz w:val="24"/>
          <w:szCs w:val="24"/>
          <w:lang w:eastAsia="ru-RU"/>
        </w:rPr>
      </w:pPr>
      <w:r>
        <w:rPr>
          <w:rFonts w:eastAsia="Times New Roman"/>
          <w:b/>
          <w:sz w:val="24"/>
          <w:szCs w:val="24"/>
          <w:lang w:eastAsia="ru-RU"/>
        </w:rPr>
        <w:t>По итогам 2019 года:</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 xml:space="preserve">В рамках реализации мероприятий </w:t>
      </w:r>
      <w:r>
        <w:rPr>
          <w:rFonts w:eastAsia="Times New Roman"/>
          <w:i/>
          <w:sz w:val="24"/>
          <w:szCs w:val="24"/>
          <w:lang w:eastAsia="ru-RU"/>
        </w:rPr>
        <w:t>регионального проекта «Культурная среда»:</w:t>
      </w:r>
    </w:p>
    <w:p w:rsidR="007E27CB" w:rsidRDefault="008F141F">
      <w:pPr>
        <w:pStyle w:val="a3"/>
        <w:numPr>
          <w:ilvl w:val="0"/>
          <w:numId w:val="154"/>
        </w:numPr>
        <w:tabs>
          <w:tab w:val="left" w:pos="851"/>
        </w:tabs>
        <w:ind w:left="0" w:firstLine="567"/>
        <w:rPr>
          <w:rFonts w:eastAsia="Times New Roman"/>
        </w:rPr>
      </w:pPr>
      <w:r>
        <w:t>поставлено 23 пианино, которые отправлены в учреждения сел Молчаново, Подгорное, Первомайское, Тегульдет, Александровское, Кожевниково, Каргасок, Мельниково, Зырянское, пос. Самусь, города Стрежевой, Асино, Северск, а также в четыре ДШИ Томского района и шесть музыкальных школ Томска;</w:t>
      </w:r>
    </w:p>
    <w:p w:rsidR="007E27CB" w:rsidRDefault="008F141F">
      <w:pPr>
        <w:pStyle w:val="a3"/>
        <w:numPr>
          <w:ilvl w:val="0"/>
          <w:numId w:val="154"/>
        </w:numPr>
        <w:tabs>
          <w:tab w:val="left" w:pos="851"/>
        </w:tabs>
        <w:ind w:left="0" w:firstLine="567"/>
      </w:pPr>
      <w:r>
        <w:t xml:space="preserve">проведен капитальный ремонт здания МБУ «Самусьский дом культуры»; </w:t>
      </w:r>
    </w:p>
    <w:p w:rsidR="007E27CB" w:rsidRDefault="008F141F">
      <w:pPr>
        <w:pStyle w:val="a3"/>
        <w:numPr>
          <w:ilvl w:val="0"/>
          <w:numId w:val="154"/>
        </w:numPr>
        <w:tabs>
          <w:tab w:val="left" w:pos="851"/>
        </w:tabs>
        <w:ind w:left="0" w:firstLine="567"/>
      </w:pPr>
      <w:r>
        <w:t>созданы 6 модельных муниципальных библиотек, в модернизированной библиотеке Томска количество посещений в ноябре – декабре 2019 года по сравнению с аналогичным периодом 2018 года выросло более чем на 40%, а в библиотеке-филиале № 2 Асиновской межпоселенческой централизованной библиотечной системы более чем в 7 раз;</w:t>
      </w:r>
    </w:p>
    <w:p w:rsidR="007E27CB" w:rsidRDefault="008F141F">
      <w:pPr>
        <w:pStyle w:val="a3"/>
        <w:numPr>
          <w:ilvl w:val="0"/>
          <w:numId w:val="154"/>
        </w:numPr>
        <w:tabs>
          <w:tab w:val="left" w:pos="851"/>
        </w:tabs>
        <w:ind w:left="0" w:firstLine="567"/>
      </w:pPr>
      <w:r>
        <w:t>оборудован в рамках программы Фонда кино кинозал МБУК «Бакчарская межпоселенческая централизованная клубная система».</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 xml:space="preserve">В рамках реализации мероприятий </w:t>
      </w:r>
      <w:r>
        <w:rPr>
          <w:rFonts w:eastAsia="Times New Roman"/>
          <w:i/>
          <w:sz w:val="24"/>
          <w:szCs w:val="24"/>
          <w:lang w:eastAsia="ru-RU"/>
        </w:rPr>
        <w:t>регионального проекта «Творческие люди»</w:t>
      </w:r>
      <w:r>
        <w:rPr>
          <w:rFonts w:eastAsia="Times New Roman"/>
          <w:sz w:val="24"/>
          <w:szCs w:val="24"/>
          <w:lang w:eastAsia="ru-RU"/>
        </w:rPr>
        <w:t>:</w:t>
      </w:r>
    </w:p>
    <w:p w:rsidR="007E27CB" w:rsidRDefault="008F141F">
      <w:pPr>
        <w:pStyle w:val="a6"/>
        <w:numPr>
          <w:ilvl w:val="0"/>
          <w:numId w:val="155"/>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проведен VI Губернаторский фестиваль народного творчества «Вместе мы – Россия»;</w:t>
      </w:r>
    </w:p>
    <w:p w:rsidR="007E27CB" w:rsidRDefault="008F141F">
      <w:pPr>
        <w:pStyle w:val="a6"/>
        <w:numPr>
          <w:ilvl w:val="0"/>
          <w:numId w:val="155"/>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в рамках проведения II Отраслевого собрания работников культуры Томской области состоялось обучение 270 специалистов отрасли культуры;</w:t>
      </w:r>
    </w:p>
    <w:p w:rsidR="007E27CB" w:rsidRDefault="008F141F">
      <w:pPr>
        <w:pStyle w:val="a6"/>
        <w:numPr>
          <w:ilvl w:val="0"/>
          <w:numId w:val="155"/>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в Томске прошел V заключительный зональный этап Всероссийского фестиваля-конкурса любительских творческих коллективов. По итогам конкурса томский коллектив «Образцовый фольклорный ансамбль «Щедрый вечер» удостоен звания </w:t>
      </w:r>
      <w:r>
        <w:rPr>
          <w:rFonts w:ascii="Times New Roman" w:hAnsi="Times New Roman"/>
          <w:bCs/>
          <w:sz w:val="24"/>
          <w:szCs w:val="24"/>
        </w:rPr>
        <w:t>лауреата Всероссийского фестиваля-конкурса любительских творческих коллективов;</w:t>
      </w:r>
    </w:p>
    <w:p w:rsidR="007E27CB" w:rsidRDefault="008F141F">
      <w:pPr>
        <w:pStyle w:val="a6"/>
        <w:numPr>
          <w:ilvl w:val="0"/>
          <w:numId w:val="155"/>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в рамках конкурсного отбора Минкультуры России в число победителей среди НКО на предоставление грантов вошла «Ассамблея народов Томской области» с проектом «Томские осенины»;</w:t>
      </w:r>
    </w:p>
    <w:p w:rsidR="007E27CB" w:rsidRDefault="008F141F">
      <w:pPr>
        <w:pStyle w:val="a6"/>
        <w:numPr>
          <w:ilvl w:val="0"/>
          <w:numId w:val="155"/>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на базе ОГАПОУ «Губернаторский колледж социально-культурных технологий и инноваций» создан региональный добровольческий координационный центр по направлению «Волонтеры культуры»;</w:t>
      </w:r>
    </w:p>
    <w:p w:rsidR="007E27CB" w:rsidRDefault="008F141F">
      <w:pPr>
        <w:pStyle w:val="a6"/>
        <w:numPr>
          <w:ilvl w:val="0"/>
          <w:numId w:val="155"/>
        </w:numPr>
        <w:tabs>
          <w:tab w:val="left" w:pos="851"/>
        </w:tabs>
        <w:spacing w:after="0" w:line="240" w:lineRule="auto"/>
        <w:ind w:left="0" w:firstLine="567"/>
        <w:jc w:val="both"/>
        <w:rPr>
          <w:rFonts w:ascii="Times New Roman" w:eastAsia="Times New Roman" w:hAnsi="Times New Roman"/>
          <w:sz w:val="24"/>
          <w:szCs w:val="24"/>
          <w:lang w:eastAsia="ru-RU"/>
        </w:rPr>
      </w:pPr>
      <w:r>
        <w:rPr>
          <w:rFonts w:ascii="Times New Roman" w:hAnsi="Times New Roman"/>
          <w:sz w:val="24"/>
          <w:szCs w:val="24"/>
        </w:rPr>
        <w:t>22 волонтера из Томской области приняли участие в 5-й сессии волонтерского лагеря в г. Печоры Псковской области, которая состоялась с 8 по 21 августа 2019 года;</w:t>
      </w:r>
    </w:p>
    <w:p w:rsidR="007E27CB" w:rsidRDefault="008F141F">
      <w:pPr>
        <w:pStyle w:val="a6"/>
        <w:numPr>
          <w:ilvl w:val="0"/>
          <w:numId w:val="155"/>
        </w:numPr>
        <w:tabs>
          <w:tab w:val="left" w:pos="851"/>
        </w:tabs>
        <w:spacing w:after="0" w:line="240" w:lineRule="auto"/>
        <w:ind w:left="0" w:firstLine="567"/>
        <w:jc w:val="both"/>
        <w:rPr>
          <w:rFonts w:ascii="Times New Roman" w:eastAsia="Times New Roman" w:hAnsi="Times New Roman"/>
          <w:sz w:val="24"/>
          <w:szCs w:val="24"/>
          <w:lang w:eastAsia="ru-RU"/>
        </w:rPr>
      </w:pPr>
      <w:r>
        <w:rPr>
          <w:rFonts w:ascii="Times New Roman" w:hAnsi="Times New Roman"/>
          <w:sz w:val="24"/>
          <w:szCs w:val="24"/>
        </w:rPr>
        <w:t>462 школьника приняли участие в культурно-просветительских программах Минкультуры России.</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 xml:space="preserve">В рамках реализации мероприятий </w:t>
      </w:r>
      <w:r>
        <w:rPr>
          <w:rFonts w:eastAsia="Times New Roman"/>
          <w:i/>
          <w:sz w:val="24"/>
          <w:szCs w:val="24"/>
          <w:lang w:eastAsia="ru-RU"/>
        </w:rPr>
        <w:t>регионального проекта «Цифровая культура»</w:t>
      </w:r>
      <w:r>
        <w:rPr>
          <w:rFonts w:eastAsia="Times New Roman"/>
          <w:sz w:val="24"/>
          <w:szCs w:val="24"/>
          <w:u w:val="single"/>
          <w:lang w:eastAsia="ru-RU"/>
        </w:rPr>
        <w:t xml:space="preserve"> </w:t>
      </w:r>
      <w:r>
        <w:rPr>
          <w:sz w:val="24"/>
          <w:szCs w:val="24"/>
        </w:rPr>
        <w:t>созданы 4 виртуальных концертных зала (г. Томск, г. Колпашево, г. Стрежевой,                 г. Кедровый). С момента открытия за IV квартал 2019 года в виртуальных концертных залах состоялись 21 видео-показ и прямые трансляции, зрителями которых стали 1239 человек.</w:t>
      </w:r>
    </w:p>
    <w:p w:rsidR="007E27CB" w:rsidRDefault="007E27CB">
      <w:pPr>
        <w:spacing w:after="0" w:line="240" w:lineRule="auto"/>
        <w:ind w:firstLine="567"/>
        <w:jc w:val="both"/>
        <w:rPr>
          <w:rFonts w:eastAsia="Times New Roman"/>
          <w:b/>
          <w:sz w:val="24"/>
          <w:szCs w:val="24"/>
          <w:lang w:eastAsia="ru-RU"/>
        </w:rPr>
      </w:pPr>
    </w:p>
    <w:p w:rsidR="007E27CB" w:rsidRDefault="008F141F">
      <w:pPr>
        <w:tabs>
          <w:tab w:val="left" w:pos="426"/>
        </w:tabs>
        <w:spacing w:after="0" w:line="240" w:lineRule="auto"/>
        <w:ind w:firstLine="567"/>
        <w:jc w:val="both"/>
        <w:rPr>
          <w:rFonts w:eastAsia="Times New Roman"/>
          <w:b/>
          <w:sz w:val="24"/>
          <w:szCs w:val="24"/>
          <w:lang w:eastAsia="ru-RU"/>
        </w:rPr>
      </w:pPr>
      <w:r>
        <w:rPr>
          <w:rFonts w:eastAsia="Times New Roman"/>
          <w:b/>
          <w:sz w:val="24"/>
          <w:szCs w:val="24"/>
          <w:lang w:eastAsia="ru-RU"/>
        </w:rPr>
        <w:t>Перспективные задачи на 2020 год</w:t>
      </w:r>
    </w:p>
    <w:p w:rsidR="007E27CB" w:rsidRDefault="008F141F">
      <w:pPr>
        <w:tabs>
          <w:tab w:val="left" w:pos="426"/>
        </w:tabs>
        <w:spacing w:after="0" w:line="240" w:lineRule="auto"/>
        <w:ind w:firstLine="567"/>
        <w:jc w:val="both"/>
        <w:rPr>
          <w:rFonts w:eastAsia="Times New Roman"/>
          <w:i/>
          <w:sz w:val="24"/>
          <w:szCs w:val="24"/>
          <w:lang w:eastAsia="ru-RU"/>
        </w:rPr>
      </w:pPr>
      <w:r>
        <w:rPr>
          <w:rFonts w:eastAsia="Times New Roman"/>
          <w:i/>
          <w:sz w:val="24"/>
          <w:szCs w:val="24"/>
          <w:lang w:eastAsia="ru-RU"/>
        </w:rPr>
        <w:t>Региональный проект «Культурная среда»</w:t>
      </w:r>
    </w:p>
    <w:p w:rsidR="007E27CB" w:rsidRDefault="008F141F">
      <w:pPr>
        <w:pStyle w:val="a6"/>
        <w:numPr>
          <w:ilvl w:val="0"/>
          <w:numId w:val="255"/>
        </w:numPr>
        <w:tabs>
          <w:tab w:val="left" w:pos="284"/>
          <w:tab w:val="left" w:pos="851"/>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hAnsi="Times New Roman"/>
          <w:sz w:val="24"/>
          <w:szCs w:val="24"/>
        </w:rPr>
        <w:t>Проведение капитального ремонта районного Дома культуры в с. Парабель.</w:t>
      </w:r>
    </w:p>
    <w:p w:rsidR="007E27CB" w:rsidRDefault="008F141F">
      <w:pPr>
        <w:pStyle w:val="a6"/>
        <w:numPr>
          <w:ilvl w:val="0"/>
          <w:numId w:val="255"/>
        </w:numPr>
        <w:tabs>
          <w:tab w:val="left" w:pos="284"/>
          <w:tab w:val="left" w:pos="851"/>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Оснащение 6 учреждений современным </w:t>
      </w:r>
      <w:r>
        <w:rPr>
          <w:rFonts w:ascii="Times New Roman" w:hAnsi="Times New Roman"/>
          <w:sz w:val="24"/>
          <w:szCs w:val="24"/>
        </w:rPr>
        <w:t>оборудованием и музыкальными инструментами.</w:t>
      </w:r>
    </w:p>
    <w:p w:rsidR="007E27CB" w:rsidRDefault="008F141F">
      <w:pPr>
        <w:pStyle w:val="a6"/>
        <w:numPr>
          <w:ilvl w:val="0"/>
          <w:numId w:val="255"/>
        </w:numPr>
        <w:tabs>
          <w:tab w:val="left" w:pos="284"/>
          <w:tab w:val="left" w:pos="851"/>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hAnsi="Times New Roman"/>
          <w:sz w:val="24"/>
          <w:szCs w:val="24"/>
        </w:rPr>
        <w:t>Создание 5 модельных муниципальных библиотек на территории Томской области.</w:t>
      </w:r>
    </w:p>
    <w:p w:rsidR="007E27CB" w:rsidRDefault="008F141F">
      <w:pPr>
        <w:tabs>
          <w:tab w:val="left" w:pos="426"/>
        </w:tabs>
        <w:spacing w:after="0" w:line="240" w:lineRule="auto"/>
        <w:ind w:firstLine="567"/>
        <w:jc w:val="both"/>
        <w:rPr>
          <w:rFonts w:eastAsia="Times New Roman"/>
          <w:i/>
          <w:sz w:val="24"/>
          <w:szCs w:val="24"/>
          <w:lang w:eastAsia="ru-RU"/>
        </w:rPr>
      </w:pPr>
      <w:r>
        <w:rPr>
          <w:rFonts w:eastAsia="Times New Roman"/>
          <w:i/>
          <w:sz w:val="24"/>
          <w:szCs w:val="24"/>
          <w:lang w:eastAsia="ru-RU"/>
        </w:rPr>
        <w:t>Региональный проект «Творческие люди»</w:t>
      </w:r>
    </w:p>
    <w:p w:rsidR="007E27CB" w:rsidRDefault="008F141F">
      <w:pPr>
        <w:pStyle w:val="a6"/>
        <w:numPr>
          <w:ilvl w:val="0"/>
          <w:numId w:val="256"/>
        </w:numPr>
        <w:tabs>
          <w:tab w:val="left" w:pos="284"/>
          <w:tab w:val="left" w:pos="851"/>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hAnsi="Times New Roman"/>
          <w:sz w:val="24"/>
          <w:szCs w:val="24"/>
        </w:rPr>
        <w:t>Проведение Губернаторского фестиваля народного творчества с вручением премий, а также 25 творческих фестивалей и конкурсов для детей и молодежи.</w:t>
      </w:r>
    </w:p>
    <w:p w:rsidR="007E27CB" w:rsidRDefault="008F141F">
      <w:pPr>
        <w:pStyle w:val="a6"/>
        <w:numPr>
          <w:ilvl w:val="0"/>
          <w:numId w:val="256"/>
        </w:numPr>
        <w:tabs>
          <w:tab w:val="left" w:pos="284"/>
          <w:tab w:val="left" w:pos="851"/>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hAnsi="Times New Roman"/>
          <w:sz w:val="24"/>
          <w:szCs w:val="24"/>
        </w:rPr>
        <w:t>Прохождение обучения на базе Саратовской консерватории им. Л.В. Собинова 178 специалистами отрасли культуры.</w:t>
      </w:r>
    </w:p>
    <w:p w:rsidR="007E27CB" w:rsidRDefault="008F141F">
      <w:pPr>
        <w:pStyle w:val="a6"/>
        <w:numPr>
          <w:ilvl w:val="0"/>
          <w:numId w:val="256"/>
        </w:numPr>
        <w:tabs>
          <w:tab w:val="left" w:pos="284"/>
          <w:tab w:val="left" w:pos="851"/>
        </w:tabs>
        <w:spacing w:after="0" w:line="240" w:lineRule="auto"/>
        <w:ind w:left="0" w:firstLine="0"/>
        <w:contextualSpacing w:val="0"/>
        <w:jc w:val="both"/>
        <w:rPr>
          <w:rFonts w:ascii="Times New Roman" w:eastAsia="Times New Roman" w:hAnsi="Times New Roman"/>
          <w:sz w:val="24"/>
          <w:szCs w:val="24"/>
          <w:lang w:eastAsia="ru-RU"/>
        </w:rPr>
      </w:pPr>
      <w:r>
        <w:rPr>
          <w:rFonts w:ascii="Times New Roman" w:hAnsi="Times New Roman"/>
          <w:sz w:val="24"/>
          <w:szCs w:val="24"/>
        </w:rPr>
        <w:t>Привлечение 111 волонтеров в программу «Волонтеры культуры».</w:t>
      </w:r>
    </w:p>
    <w:p w:rsidR="007E27CB" w:rsidRDefault="008F141F">
      <w:pPr>
        <w:tabs>
          <w:tab w:val="left" w:pos="426"/>
        </w:tabs>
        <w:spacing w:after="0" w:line="240" w:lineRule="auto"/>
        <w:ind w:firstLine="567"/>
        <w:jc w:val="both"/>
        <w:rPr>
          <w:rFonts w:eastAsia="Times New Roman"/>
          <w:i/>
          <w:sz w:val="24"/>
          <w:szCs w:val="24"/>
          <w:lang w:eastAsia="ru-RU"/>
        </w:rPr>
      </w:pPr>
      <w:r>
        <w:rPr>
          <w:rFonts w:eastAsia="Times New Roman"/>
          <w:i/>
          <w:sz w:val="24"/>
          <w:szCs w:val="24"/>
          <w:lang w:eastAsia="ru-RU"/>
        </w:rPr>
        <w:t xml:space="preserve">Региональный проект «Цифровая культура» </w:t>
      </w:r>
    </w:p>
    <w:p w:rsidR="007E27CB" w:rsidRDefault="008F141F">
      <w:pPr>
        <w:pStyle w:val="a6"/>
        <w:numPr>
          <w:ilvl w:val="0"/>
          <w:numId w:val="257"/>
        </w:numPr>
        <w:tabs>
          <w:tab w:val="left" w:pos="284"/>
          <w:tab w:val="left" w:pos="851"/>
        </w:tabs>
        <w:spacing w:after="0" w:line="240" w:lineRule="auto"/>
        <w:ind w:left="0" w:firstLine="0"/>
        <w:contextualSpacing w:val="0"/>
        <w:jc w:val="both"/>
        <w:rPr>
          <w:rFonts w:ascii="Times New Roman" w:eastAsia="Times New Roman" w:hAnsi="Times New Roman"/>
          <w:b/>
          <w:sz w:val="24"/>
          <w:szCs w:val="24"/>
          <w:lang w:eastAsia="ru-RU"/>
        </w:rPr>
      </w:pPr>
      <w:r>
        <w:rPr>
          <w:rFonts w:ascii="Times New Roman" w:eastAsia="Times New Roman" w:hAnsi="Times New Roman"/>
          <w:sz w:val="24"/>
          <w:szCs w:val="24"/>
          <w:lang w:eastAsia="ru-RU"/>
        </w:rPr>
        <w:t>Подача</w:t>
      </w:r>
      <w:r>
        <w:rPr>
          <w:rFonts w:ascii="Times New Roman" w:hAnsi="Times New Roman"/>
          <w:sz w:val="24"/>
          <w:szCs w:val="24"/>
        </w:rPr>
        <w:t xml:space="preserve"> заявки на получение грантов в 2021 </w:t>
      </w:r>
      <w:r>
        <w:rPr>
          <w:sz w:val="24"/>
          <w:szCs w:val="24"/>
        </w:rPr>
        <w:t>–</w:t>
      </w:r>
      <w:r>
        <w:rPr>
          <w:rFonts w:ascii="Times New Roman" w:hAnsi="Times New Roman"/>
          <w:sz w:val="24"/>
          <w:szCs w:val="24"/>
        </w:rPr>
        <w:t xml:space="preserve"> 2022 годах на создание виртуальных концертных залов в городах Томской области.</w:t>
      </w:r>
    </w:p>
    <w:p w:rsidR="007E27CB" w:rsidRDefault="007E27CB">
      <w:pPr>
        <w:spacing w:after="0" w:line="240" w:lineRule="auto"/>
        <w:ind w:firstLine="567"/>
        <w:jc w:val="both"/>
        <w:rPr>
          <w:b/>
          <w:bCs/>
          <w:sz w:val="24"/>
          <w:szCs w:val="24"/>
          <w:lang w:eastAsia="ru-RU"/>
        </w:rPr>
      </w:pPr>
    </w:p>
    <w:p w:rsidR="007E27CB" w:rsidRDefault="008F141F">
      <w:pPr>
        <w:spacing w:after="0" w:line="240" w:lineRule="auto"/>
        <w:ind w:firstLine="567"/>
        <w:jc w:val="both"/>
        <w:rPr>
          <w:b/>
          <w:bCs/>
          <w:sz w:val="24"/>
          <w:szCs w:val="24"/>
          <w:lang w:eastAsia="ru-RU"/>
        </w:rPr>
      </w:pPr>
      <w:r>
        <w:rPr>
          <w:b/>
          <w:bCs/>
          <w:sz w:val="24"/>
          <w:szCs w:val="24"/>
          <w:lang w:eastAsia="ru-RU"/>
        </w:rPr>
        <w:t>Национальный проект «Малое и среднее предпринимательство  и поддержка индивидуальной предпринимательской инициативы».</w:t>
      </w:r>
    </w:p>
    <w:p w:rsidR="007E27CB" w:rsidRDefault="008F141F">
      <w:pPr>
        <w:spacing w:after="0" w:line="240" w:lineRule="auto"/>
        <w:ind w:firstLine="567"/>
        <w:jc w:val="both"/>
        <w:rPr>
          <w:bCs/>
          <w:sz w:val="24"/>
          <w:szCs w:val="24"/>
          <w:lang w:eastAsia="ru-RU"/>
        </w:rPr>
      </w:pPr>
      <w:r>
        <w:rPr>
          <w:bCs/>
          <w:sz w:val="24"/>
          <w:szCs w:val="24"/>
          <w:lang w:eastAsia="ru-RU"/>
        </w:rPr>
        <w:t>Целями национального проекта является:</w:t>
      </w:r>
    </w:p>
    <w:p w:rsidR="007E27CB" w:rsidRDefault="008F141F">
      <w:pPr>
        <w:pStyle w:val="a3"/>
        <w:numPr>
          <w:ilvl w:val="0"/>
          <w:numId w:val="191"/>
        </w:numPr>
        <w:tabs>
          <w:tab w:val="left" w:pos="851"/>
        </w:tabs>
        <w:ind w:left="0" w:firstLine="567"/>
      </w:pPr>
      <w:r>
        <w:t>увеличение численности занятых в сфере малого и среднего предпринимательства, включая индивидуальных предпринимателей,  до 25 млн. человек к концу 2024 года;</w:t>
      </w:r>
    </w:p>
    <w:p w:rsidR="007E27CB" w:rsidRDefault="008F141F">
      <w:pPr>
        <w:pStyle w:val="a3"/>
        <w:numPr>
          <w:ilvl w:val="0"/>
          <w:numId w:val="191"/>
        </w:numPr>
        <w:tabs>
          <w:tab w:val="left" w:pos="851"/>
        </w:tabs>
        <w:ind w:left="0" w:firstLine="567"/>
      </w:pPr>
      <w:r>
        <w:t>увеличение доли малого и среднего предпринимательства в ВВП до 32,5% к концу 2024 году;</w:t>
      </w:r>
    </w:p>
    <w:p w:rsidR="007E27CB" w:rsidRDefault="008F141F">
      <w:pPr>
        <w:pStyle w:val="a3"/>
        <w:numPr>
          <w:ilvl w:val="0"/>
          <w:numId w:val="191"/>
        </w:numPr>
        <w:tabs>
          <w:tab w:val="left" w:pos="851"/>
        </w:tabs>
        <w:ind w:left="0" w:firstLine="567"/>
      </w:pPr>
      <w:r>
        <w:t>увеличение доли экспорта субъектов малого и среднего предпринимательства, включая индивидуальных предпринимателей, в общем объеме несырьевого экспорта до 10% к концу 2024 г.</w:t>
      </w:r>
    </w:p>
    <w:p w:rsidR="007E27CB" w:rsidRDefault="008F141F">
      <w:pPr>
        <w:pStyle w:val="a3"/>
        <w:ind w:firstLine="567"/>
      </w:pPr>
      <w:r>
        <w:tab/>
        <w:t>Для достижения целей национального проекта в Томской области будут реализовываться 5 региональных проектов: «Улучшение условий ведения предпринимательской деятельности», «Расширение доступа субъектов малого и среднего предпринимательства к финансовой поддержке, в том числе к льготному финансированию», «Акселерация субъектов малого и среднего предпринимательства», «Популяризация предпринимательства», «Создание системы поддержки фермеров и развитие сельской кооперации».</w:t>
      </w:r>
    </w:p>
    <w:p w:rsidR="007E27CB" w:rsidRDefault="008F141F">
      <w:pPr>
        <w:pStyle w:val="a3"/>
        <w:ind w:firstLine="567"/>
      </w:pPr>
      <w:r>
        <w:tab/>
        <w:t>На реализацию региональных проектов национального проекта «Малое и среднее предпринимательство  и поддержка индивидуальной предпринимательской инициативы» в 2019 году выделено из федерального, областного и местных бюджетов 213,8 млн. рублей, фактически израсходовано 213,8 млн. рублей (исполнение 100%).</w:t>
      </w:r>
    </w:p>
    <w:p w:rsidR="007E27CB" w:rsidRDefault="008F141F">
      <w:pPr>
        <w:spacing w:after="0" w:line="240" w:lineRule="auto"/>
        <w:ind w:firstLine="567"/>
        <w:jc w:val="both"/>
        <w:rPr>
          <w:b/>
          <w:bCs/>
          <w:sz w:val="24"/>
          <w:szCs w:val="24"/>
          <w:lang w:eastAsia="ru-RU"/>
        </w:rPr>
      </w:pPr>
      <w:r>
        <w:rPr>
          <w:b/>
          <w:bCs/>
          <w:sz w:val="24"/>
          <w:szCs w:val="24"/>
          <w:lang w:eastAsia="ru-RU"/>
        </w:rPr>
        <w:t>По итогам 2019 года:</w:t>
      </w:r>
    </w:p>
    <w:p w:rsidR="007E27CB" w:rsidRDefault="008F141F">
      <w:pPr>
        <w:spacing w:after="0" w:line="240" w:lineRule="auto"/>
        <w:ind w:firstLine="567"/>
        <w:jc w:val="both"/>
        <w:rPr>
          <w:sz w:val="24"/>
          <w:szCs w:val="24"/>
          <w:u w:val="single"/>
          <w:lang w:eastAsia="ru-RU"/>
        </w:rPr>
      </w:pPr>
      <w:r>
        <w:rPr>
          <w:sz w:val="24"/>
          <w:szCs w:val="24"/>
          <w:lang w:eastAsia="ru-RU"/>
        </w:rPr>
        <w:t xml:space="preserve">В рамках реализации мероприятий </w:t>
      </w:r>
      <w:r>
        <w:rPr>
          <w:i/>
          <w:sz w:val="24"/>
          <w:szCs w:val="24"/>
          <w:lang w:eastAsia="ru-RU"/>
        </w:rPr>
        <w:t>регионального  проекта «Улучшение условий ведения предпринимательской деятельности»:</w:t>
      </w:r>
    </w:p>
    <w:p w:rsidR="007E27CB" w:rsidRDefault="008F141F">
      <w:pPr>
        <w:pStyle w:val="a6"/>
        <w:numPr>
          <w:ilvl w:val="0"/>
          <w:numId w:val="156"/>
        </w:numPr>
        <w:tabs>
          <w:tab w:val="left" w:pos="851"/>
        </w:tabs>
        <w:spacing w:after="0" w:line="240" w:lineRule="auto"/>
        <w:ind w:left="0" w:firstLine="567"/>
        <w:jc w:val="both"/>
        <w:rPr>
          <w:rFonts w:ascii="Times New Roman" w:hAnsi="Times New Roman"/>
          <w:sz w:val="24"/>
          <w:szCs w:val="24"/>
          <w:lang w:eastAsia="ru-RU"/>
        </w:rPr>
      </w:pPr>
      <w:r>
        <w:rPr>
          <w:rFonts w:ascii="Times New Roman" w:hAnsi="Times New Roman"/>
          <w:sz w:val="24"/>
          <w:szCs w:val="24"/>
          <w:lang w:eastAsia="ru-RU"/>
        </w:rPr>
        <w:t>создан центр «Мой бизнес», на базе которого обеспечено предоставление комплекса информационно-консультационных и образовательных услуг гражданам от открытия бизнеса, развития на всех стадиях, до его масштабирования, в том числе за пределы Российской Федерации;</w:t>
      </w:r>
    </w:p>
    <w:p w:rsidR="007E27CB" w:rsidRDefault="008F141F">
      <w:pPr>
        <w:pStyle w:val="a6"/>
        <w:numPr>
          <w:ilvl w:val="0"/>
          <w:numId w:val="156"/>
        </w:numPr>
        <w:tabs>
          <w:tab w:val="left" w:pos="851"/>
        </w:tabs>
        <w:spacing w:after="0" w:line="240" w:lineRule="auto"/>
        <w:ind w:left="0" w:firstLine="567"/>
        <w:jc w:val="both"/>
        <w:rPr>
          <w:rFonts w:ascii="Times New Roman" w:hAnsi="Times New Roman"/>
          <w:sz w:val="24"/>
          <w:szCs w:val="24"/>
          <w:lang w:eastAsia="ru-RU"/>
        </w:rPr>
      </w:pPr>
      <w:r>
        <w:rPr>
          <w:rFonts w:ascii="Times New Roman" w:hAnsi="Times New Roman"/>
          <w:sz w:val="24"/>
          <w:szCs w:val="24"/>
          <w:lang w:eastAsia="ru-RU"/>
        </w:rPr>
        <w:t>разработан и внедрен комплекс региональных мер по развитию внутреннего туризма, направленный на улучшение условий предпринимательской деятельности участников туристической сферы Томской области.</w:t>
      </w:r>
    </w:p>
    <w:p w:rsidR="007E27CB" w:rsidRDefault="008F141F">
      <w:pPr>
        <w:spacing w:after="0" w:line="240" w:lineRule="auto"/>
        <w:ind w:firstLine="567"/>
        <w:jc w:val="both"/>
        <w:rPr>
          <w:sz w:val="24"/>
          <w:szCs w:val="24"/>
          <w:u w:val="single"/>
          <w:lang w:eastAsia="ru-RU"/>
        </w:rPr>
      </w:pPr>
      <w:r>
        <w:rPr>
          <w:sz w:val="24"/>
          <w:szCs w:val="24"/>
          <w:lang w:eastAsia="ru-RU"/>
        </w:rPr>
        <w:t xml:space="preserve">В рамках реализации мероприятий </w:t>
      </w:r>
      <w:r>
        <w:rPr>
          <w:i/>
          <w:sz w:val="24"/>
          <w:szCs w:val="24"/>
          <w:lang w:eastAsia="ru-RU"/>
        </w:rPr>
        <w:t>регионального  проекта «Расширение доступа субъектов малого и среднего предпринимательства к финансовым ресурсам, в том числе к льготному финансированию»:</w:t>
      </w:r>
    </w:p>
    <w:p w:rsidR="007E27CB" w:rsidRDefault="008F141F">
      <w:pPr>
        <w:pStyle w:val="a6"/>
        <w:numPr>
          <w:ilvl w:val="0"/>
          <w:numId w:val="157"/>
        </w:numPr>
        <w:tabs>
          <w:tab w:val="left" w:pos="851"/>
        </w:tabs>
        <w:spacing w:after="0" w:line="240" w:lineRule="auto"/>
        <w:ind w:left="0" w:firstLine="567"/>
        <w:jc w:val="both"/>
        <w:rPr>
          <w:rFonts w:ascii="Times New Roman" w:hAnsi="Times New Roman"/>
          <w:sz w:val="24"/>
          <w:szCs w:val="24"/>
          <w:lang w:eastAsia="ru-RU"/>
        </w:rPr>
      </w:pPr>
      <w:r>
        <w:rPr>
          <w:rFonts w:ascii="Times New Roman" w:hAnsi="Times New Roman"/>
          <w:sz w:val="24"/>
          <w:szCs w:val="24"/>
        </w:rPr>
        <w:t>создана региональная микрофинансовая организация, начало деятельности – 2020 год;</w:t>
      </w:r>
    </w:p>
    <w:p w:rsidR="007E27CB" w:rsidRDefault="008F141F">
      <w:pPr>
        <w:pStyle w:val="a6"/>
        <w:numPr>
          <w:ilvl w:val="0"/>
          <w:numId w:val="157"/>
        </w:numPr>
        <w:tabs>
          <w:tab w:val="left" w:pos="851"/>
        </w:tabs>
        <w:spacing w:after="0" w:line="240" w:lineRule="auto"/>
        <w:ind w:left="0" w:firstLine="567"/>
        <w:jc w:val="both"/>
        <w:rPr>
          <w:rFonts w:ascii="Times New Roman" w:hAnsi="Times New Roman"/>
          <w:sz w:val="24"/>
          <w:szCs w:val="24"/>
          <w:lang w:eastAsia="ru-RU"/>
        </w:rPr>
      </w:pPr>
      <w:r>
        <w:rPr>
          <w:rFonts w:ascii="Times New Roman" w:hAnsi="Times New Roman"/>
          <w:sz w:val="24"/>
          <w:szCs w:val="24"/>
        </w:rPr>
        <w:t>«</w:t>
      </w:r>
      <w:r>
        <w:rPr>
          <w:rFonts w:ascii="Times New Roman" w:eastAsia="Times New Roman" w:hAnsi="Times New Roman"/>
          <w:sz w:val="24"/>
          <w:szCs w:val="24"/>
          <w:lang w:eastAsia="ru-RU"/>
        </w:rPr>
        <w:t xml:space="preserve">Гарантийным фондом Томской области» предоставлено 17 поручительств субъектам малого и среднего предпринимательства (далее - МСП) в сумме более 143,5 млн. рублей, что позволило привлечь субъектами МСП займы в размере 707,7 млн. рублей. </w:t>
      </w:r>
    </w:p>
    <w:p w:rsidR="007E27CB" w:rsidRDefault="008F141F">
      <w:pPr>
        <w:tabs>
          <w:tab w:val="left" w:pos="993"/>
        </w:tabs>
        <w:spacing w:after="0" w:line="240" w:lineRule="auto"/>
        <w:ind w:firstLine="567"/>
        <w:jc w:val="both"/>
        <w:rPr>
          <w:i/>
          <w:sz w:val="24"/>
          <w:szCs w:val="24"/>
          <w:lang w:eastAsia="ru-RU"/>
        </w:rPr>
      </w:pPr>
      <w:r>
        <w:rPr>
          <w:sz w:val="24"/>
          <w:szCs w:val="24"/>
          <w:lang w:eastAsia="ru-RU"/>
        </w:rPr>
        <w:t xml:space="preserve">В рамках реализации мероприятий </w:t>
      </w:r>
      <w:r>
        <w:rPr>
          <w:i/>
          <w:sz w:val="24"/>
          <w:szCs w:val="24"/>
          <w:lang w:eastAsia="ru-RU"/>
        </w:rPr>
        <w:t>регионального  проекта «Акселерация субъектов малого и среднего предпринимательства»:</w:t>
      </w:r>
    </w:p>
    <w:p w:rsidR="007E27CB" w:rsidRDefault="008F141F">
      <w:pPr>
        <w:pStyle w:val="a6"/>
        <w:numPr>
          <w:ilvl w:val="0"/>
          <w:numId w:val="157"/>
        </w:numPr>
        <w:tabs>
          <w:tab w:val="left" w:pos="851"/>
        </w:tabs>
        <w:spacing w:after="0" w:line="240" w:lineRule="auto"/>
        <w:ind w:left="0" w:firstLine="567"/>
        <w:jc w:val="both"/>
        <w:rPr>
          <w:rFonts w:ascii="Times New Roman" w:hAnsi="Times New Roman"/>
          <w:sz w:val="24"/>
          <w:szCs w:val="24"/>
          <w:lang w:eastAsia="ru-RU"/>
        </w:rPr>
      </w:pPr>
      <w:r>
        <w:rPr>
          <w:rFonts w:ascii="Times New Roman" w:hAnsi="Times New Roman"/>
          <w:sz w:val="24"/>
          <w:szCs w:val="24"/>
          <w:lang w:eastAsia="ru-RU"/>
        </w:rPr>
        <w:t>3 286 субъектов МСП и самозанятых граждан получили нефинансовую поддержку в рамках федерального проекта (нарастающим итогом);</w:t>
      </w:r>
    </w:p>
    <w:p w:rsidR="007E27CB" w:rsidRDefault="008F141F">
      <w:pPr>
        <w:pStyle w:val="a6"/>
        <w:numPr>
          <w:ilvl w:val="0"/>
          <w:numId w:val="157"/>
        </w:numPr>
        <w:tabs>
          <w:tab w:val="left" w:pos="851"/>
        </w:tabs>
        <w:spacing w:after="0" w:line="240" w:lineRule="auto"/>
        <w:ind w:left="0" w:firstLine="567"/>
        <w:jc w:val="both"/>
        <w:rPr>
          <w:rFonts w:ascii="Times New Roman" w:hAnsi="Times New Roman"/>
          <w:sz w:val="24"/>
          <w:szCs w:val="24"/>
          <w:lang w:eastAsia="ru-RU"/>
        </w:rPr>
      </w:pPr>
      <w:r>
        <w:rPr>
          <w:rFonts w:ascii="Times New Roman" w:hAnsi="Times New Roman"/>
          <w:sz w:val="24"/>
          <w:szCs w:val="24"/>
          <w:lang w:eastAsia="ru-RU"/>
        </w:rPr>
        <w:t>30 субъектов МСП выведено на экспорт при поддержке центров (агентств) координации поддержки экспортно ориентированных субъектов МСП;</w:t>
      </w:r>
    </w:p>
    <w:p w:rsidR="007E27CB" w:rsidRDefault="008F141F">
      <w:pPr>
        <w:pStyle w:val="a6"/>
        <w:numPr>
          <w:ilvl w:val="0"/>
          <w:numId w:val="157"/>
        </w:numPr>
        <w:tabs>
          <w:tab w:val="left" w:pos="851"/>
        </w:tabs>
        <w:spacing w:after="0" w:line="240" w:lineRule="auto"/>
        <w:ind w:left="0" w:firstLine="567"/>
        <w:jc w:val="both"/>
        <w:rPr>
          <w:rFonts w:ascii="Times New Roman" w:hAnsi="Times New Roman"/>
          <w:sz w:val="24"/>
          <w:szCs w:val="24"/>
          <w:lang w:eastAsia="ru-RU"/>
        </w:rPr>
      </w:pPr>
      <w:r>
        <w:rPr>
          <w:rFonts w:ascii="Times New Roman" w:hAnsi="Times New Roman"/>
          <w:sz w:val="24"/>
          <w:szCs w:val="24"/>
          <w:lang w:eastAsia="ru-RU"/>
        </w:rPr>
        <w:t xml:space="preserve">19 субъектов МСП (в том числе 11 субъектов социального предпринимательства) моногорода Северска получили государственную поддержку. </w:t>
      </w:r>
    </w:p>
    <w:p w:rsidR="007E27CB" w:rsidRDefault="008F141F">
      <w:pPr>
        <w:spacing w:after="0" w:line="240" w:lineRule="auto"/>
        <w:ind w:firstLine="567"/>
        <w:jc w:val="both"/>
        <w:rPr>
          <w:b/>
          <w:bCs/>
          <w:i/>
          <w:sz w:val="24"/>
          <w:szCs w:val="24"/>
        </w:rPr>
      </w:pPr>
      <w:r>
        <w:rPr>
          <w:sz w:val="24"/>
          <w:szCs w:val="24"/>
          <w:lang w:eastAsia="ru-RU"/>
        </w:rPr>
        <w:t xml:space="preserve">В рамках реализации мероприятий </w:t>
      </w:r>
      <w:r>
        <w:rPr>
          <w:i/>
          <w:sz w:val="24"/>
          <w:szCs w:val="24"/>
          <w:lang w:eastAsia="ru-RU"/>
        </w:rPr>
        <w:t>регионального  проекта «Популяризация предпринимательства»:</w:t>
      </w:r>
    </w:p>
    <w:p w:rsidR="007E27CB" w:rsidRDefault="008F141F">
      <w:pPr>
        <w:pStyle w:val="a6"/>
        <w:numPr>
          <w:ilvl w:val="0"/>
          <w:numId w:val="158"/>
        </w:numPr>
        <w:tabs>
          <w:tab w:val="left" w:pos="851"/>
        </w:tabs>
        <w:spacing w:after="0" w:line="240" w:lineRule="auto"/>
        <w:ind w:left="0" w:firstLine="567"/>
        <w:jc w:val="both"/>
        <w:rPr>
          <w:rFonts w:ascii="Times New Roman" w:hAnsi="Times New Roman"/>
          <w:sz w:val="24"/>
          <w:szCs w:val="24"/>
          <w:lang w:eastAsia="ru-RU"/>
        </w:rPr>
      </w:pPr>
      <w:r>
        <w:rPr>
          <w:rFonts w:ascii="Times New Roman" w:hAnsi="Times New Roman"/>
          <w:sz w:val="24"/>
          <w:szCs w:val="24"/>
          <w:lang w:eastAsia="ru-RU"/>
        </w:rPr>
        <w:t xml:space="preserve">количество физических лиц </w:t>
      </w:r>
      <w:r>
        <w:rPr>
          <w:sz w:val="24"/>
          <w:szCs w:val="24"/>
        </w:rPr>
        <w:t>–</w:t>
      </w:r>
      <w:r>
        <w:rPr>
          <w:rFonts w:ascii="Times New Roman" w:hAnsi="Times New Roman"/>
          <w:sz w:val="24"/>
          <w:szCs w:val="24"/>
          <w:lang w:eastAsia="ru-RU"/>
        </w:rPr>
        <w:t xml:space="preserve"> участников федерального проекта, занятых в сфере МСП, по итогам участия в федеральном проекте, нарастающим итогом составило 231;</w:t>
      </w:r>
    </w:p>
    <w:p w:rsidR="007E27CB" w:rsidRDefault="008F141F">
      <w:pPr>
        <w:pStyle w:val="a6"/>
        <w:numPr>
          <w:ilvl w:val="0"/>
          <w:numId w:val="158"/>
        </w:numPr>
        <w:tabs>
          <w:tab w:val="left" w:pos="851"/>
        </w:tabs>
        <w:spacing w:after="0" w:line="240" w:lineRule="auto"/>
        <w:ind w:left="0" w:firstLine="567"/>
        <w:jc w:val="both"/>
        <w:rPr>
          <w:rFonts w:ascii="Times New Roman" w:hAnsi="Times New Roman"/>
          <w:sz w:val="24"/>
          <w:szCs w:val="24"/>
          <w:lang w:eastAsia="ru-RU"/>
        </w:rPr>
      </w:pPr>
      <w:r>
        <w:rPr>
          <w:rFonts w:ascii="Times New Roman" w:hAnsi="Times New Roman"/>
          <w:sz w:val="24"/>
          <w:szCs w:val="24"/>
          <w:lang w:eastAsia="ru-RU"/>
        </w:rPr>
        <w:t>68 субъектов МСП создано участниками проекта;</w:t>
      </w:r>
    </w:p>
    <w:p w:rsidR="007E27CB" w:rsidRDefault="008F141F">
      <w:pPr>
        <w:pStyle w:val="a6"/>
        <w:numPr>
          <w:ilvl w:val="0"/>
          <w:numId w:val="158"/>
        </w:numPr>
        <w:tabs>
          <w:tab w:val="left" w:pos="851"/>
        </w:tabs>
        <w:spacing w:after="0" w:line="240" w:lineRule="auto"/>
        <w:ind w:left="0" w:firstLine="567"/>
        <w:jc w:val="both"/>
        <w:rPr>
          <w:rFonts w:ascii="Times New Roman" w:hAnsi="Times New Roman"/>
          <w:sz w:val="24"/>
          <w:szCs w:val="24"/>
          <w:lang w:eastAsia="ru-RU"/>
        </w:rPr>
      </w:pPr>
      <w:r>
        <w:rPr>
          <w:rFonts w:ascii="Times New Roman" w:hAnsi="Times New Roman"/>
          <w:sz w:val="24"/>
          <w:szCs w:val="24"/>
        </w:rPr>
        <w:t>1 035 человек обучено основам ведения бизнеса, финансовой грамотности и иным навыкам предпринимательской деятельности;</w:t>
      </w:r>
    </w:p>
    <w:p w:rsidR="007E27CB" w:rsidRDefault="008F141F">
      <w:pPr>
        <w:pStyle w:val="a6"/>
        <w:numPr>
          <w:ilvl w:val="0"/>
          <w:numId w:val="158"/>
        </w:numPr>
        <w:tabs>
          <w:tab w:val="left" w:pos="851"/>
        </w:tabs>
        <w:spacing w:after="0" w:line="240" w:lineRule="auto"/>
        <w:ind w:left="0" w:firstLine="567"/>
        <w:jc w:val="both"/>
        <w:rPr>
          <w:rFonts w:ascii="Times New Roman" w:hAnsi="Times New Roman"/>
          <w:sz w:val="24"/>
          <w:szCs w:val="24"/>
          <w:lang w:eastAsia="ru-RU"/>
        </w:rPr>
      </w:pPr>
      <w:r>
        <w:rPr>
          <w:rFonts w:ascii="Times New Roman" w:hAnsi="Times New Roman"/>
          <w:sz w:val="24"/>
          <w:szCs w:val="24"/>
          <w:lang w:eastAsia="ru-RU"/>
        </w:rPr>
        <w:t>реализованы мероприятия в рамках информационной кампании по формированию благоприятного образа предпринимательства и стимулированию интереса к осуществлению предпринимательской деятельности.</w:t>
      </w:r>
    </w:p>
    <w:p w:rsidR="007E27CB" w:rsidRDefault="008F141F">
      <w:pPr>
        <w:pStyle w:val="a6"/>
        <w:tabs>
          <w:tab w:val="left" w:pos="993"/>
        </w:tabs>
        <w:spacing w:after="0" w:line="240" w:lineRule="auto"/>
        <w:ind w:left="0" w:firstLine="567"/>
        <w:jc w:val="both"/>
        <w:rPr>
          <w:rFonts w:ascii="Times New Roman" w:hAnsi="Times New Roman"/>
          <w:b/>
          <w:bCs/>
          <w:sz w:val="24"/>
          <w:szCs w:val="24"/>
          <w:lang w:eastAsia="ru-RU"/>
        </w:rPr>
      </w:pPr>
      <w:r>
        <w:rPr>
          <w:rFonts w:ascii="Times New Roman" w:hAnsi="Times New Roman"/>
          <w:sz w:val="24"/>
          <w:szCs w:val="24"/>
          <w:lang w:eastAsia="ru-RU"/>
        </w:rPr>
        <w:t xml:space="preserve">В рамках реализации мероприятий </w:t>
      </w:r>
      <w:r>
        <w:rPr>
          <w:rFonts w:ascii="Times New Roman" w:hAnsi="Times New Roman"/>
          <w:i/>
          <w:sz w:val="24"/>
          <w:szCs w:val="24"/>
          <w:lang w:eastAsia="ru-RU"/>
        </w:rPr>
        <w:t>регионального  проекта «Создание системы поддержки фермеров и развитие сельской кооперации»:</w:t>
      </w:r>
    </w:p>
    <w:p w:rsidR="007E27CB" w:rsidRDefault="008F141F">
      <w:pPr>
        <w:pStyle w:val="af6"/>
        <w:numPr>
          <w:ilvl w:val="2"/>
          <w:numId w:val="159"/>
        </w:numPr>
        <w:tabs>
          <w:tab w:val="left" w:pos="851"/>
        </w:tabs>
        <w:spacing w:before="0" w:beforeAutospacing="0" w:after="0" w:afterAutospacing="0"/>
        <w:ind w:left="0" w:firstLine="567"/>
        <w:rPr>
          <w:color w:val="000000"/>
          <w:shd w:val="clear" w:color="auto" w:fill="FFFFFF"/>
        </w:rPr>
      </w:pPr>
      <w:r>
        <w:t xml:space="preserve">создан региональный центр компетенций, на базе которого проведено 14 мероприятий и </w:t>
      </w:r>
      <w:r>
        <w:rPr>
          <w:color w:val="000000"/>
          <w:shd w:val="clear" w:color="auto" w:fill="FFFFFF"/>
        </w:rPr>
        <w:t>оказано 800 консультаций по вопросам создания и (или) развития субъектов МСП в области сельского хозяйства</w:t>
      </w:r>
      <w:r>
        <w:rPr>
          <w:color w:val="000000"/>
          <w:shd w:val="clear" w:color="auto" w:fill="FFFFFF"/>
          <w:lang w:val="ru-RU"/>
        </w:rPr>
        <w:t>;</w:t>
      </w:r>
    </w:p>
    <w:p w:rsidR="007E27CB" w:rsidRDefault="008F141F">
      <w:pPr>
        <w:pStyle w:val="af6"/>
        <w:numPr>
          <w:ilvl w:val="2"/>
          <w:numId w:val="159"/>
        </w:numPr>
        <w:tabs>
          <w:tab w:val="left" w:pos="851"/>
        </w:tabs>
        <w:spacing w:before="0" w:beforeAutospacing="0" w:after="0" w:afterAutospacing="0"/>
        <w:ind w:left="0" w:firstLine="567"/>
        <w:rPr>
          <w:color w:val="000000"/>
          <w:shd w:val="clear" w:color="auto" w:fill="FFFFFF"/>
        </w:rPr>
      </w:pPr>
      <w:r>
        <w:rPr>
          <w:color w:val="000000"/>
          <w:shd w:val="clear" w:color="auto" w:fill="FFFFFF"/>
        </w:rPr>
        <w:t>введена новая мера государственной поддержки вновь созданных субъектов МСП в сельском хозяйстве: гранты «Агростартап» на реализацию проектов. С участием средств грантов создано 8 крестьянских фермерских хозяйств, 16 новых рабочих мест.</w:t>
      </w:r>
    </w:p>
    <w:p w:rsidR="007E27CB" w:rsidRDefault="007E27CB">
      <w:pPr>
        <w:spacing w:after="0" w:line="240" w:lineRule="auto"/>
        <w:ind w:firstLine="567"/>
        <w:jc w:val="both"/>
        <w:rPr>
          <w:b/>
          <w:bCs/>
          <w:sz w:val="24"/>
          <w:szCs w:val="24"/>
          <w:lang w:eastAsia="ru-RU"/>
        </w:rPr>
      </w:pPr>
    </w:p>
    <w:p w:rsidR="007E27CB" w:rsidRDefault="007E27CB">
      <w:pPr>
        <w:tabs>
          <w:tab w:val="left" w:pos="426"/>
        </w:tabs>
        <w:spacing w:after="0" w:line="240" w:lineRule="auto"/>
        <w:ind w:firstLine="567"/>
        <w:jc w:val="both"/>
        <w:rPr>
          <w:b/>
          <w:bCs/>
          <w:sz w:val="24"/>
          <w:szCs w:val="24"/>
          <w:lang w:eastAsia="ru-RU"/>
        </w:rPr>
      </w:pPr>
    </w:p>
    <w:p w:rsidR="007E27CB" w:rsidRDefault="008F141F">
      <w:pPr>
        <w:tabs>
          <w:tab w:val="left" w:pos="426"/>
        </w:tabs>
        <w:spacing w:after="0" w:line="240" w:lineRule="auto"/>
        <w:ind w:firstLine="567"/>
        <w:jc w:val="both"/>
        <w:rPr>
          <w:b/>
          <w:bCs/>
          <w:sz w:val="24"/>
          <w:szCs w:val="24"/>
          <w:lang w:eastAsia="ru-RU"/>
        </w:rPr>
      </w:pPr>
      <w:r>
        <w:rPr>
          <w:b/>
          <w:bCs/>
          <w:sz w:val="24"/>
          <w:szCs w:val="24"/>
          <w:lang w:eastAsia="ru-RU"/>
        </w:rPr>
        <w:t>Перспективные задачи на 2020 год</w:t>
      </w:r>
    </w:p>
    <w:p w:rsidR="007E27CB" w:rsidRDefault="008F141F">
      <w:pPr>
        <w:tabs>
          <w:tab w:val="left" w:pos="426"/>
        </w:tabs>
        <w:spacing w:after="0" w:line="240" w:lineRule="auto"/>
        <w:ind w:firstLine="567"/>
        <w:jc w:val="both"/>
        <w:rPr>
          <w:bCs/>
          <w:i/>
          <w:sz w:val="24"/>
          <w:szCs w:val="24"/>
          <w:lang w:eastAsia="ru-RU"/>
        </w:rPr>
      </w:pPr>
      <w:r>
        <w:rPr>
          <w:bCs/>
          <w:i/>
          <w:sz w:val="24"/>
          <w:szCs w:val="24"/>
          <w:lang w:eastAsia="ru-RU"/>
        </w:rPr>
        <w:t>Региональный проект «Улучшение условий ведения предпринимательской деятельности»:</w:t>
      </w:r>
    </w:p>
    <w:p w:rsidR="007E27CB" w:rsidRDefault="008F141F">
      <w:pPr>
        <w:pStyle w:val="a6"/>
        <w:numPr>
          <w:ilvl w:val="0"/>
          <w:numId w:val="258"/>
        </w:numPr>
        <w:tabs>
          <w:tab w:val="left" w:pos="284"/>
          <w:tab w:val="left" w:pos="851"/>
        </w:tabs>
        <w:spacing w:after="0" w:line="240" w:lineRule="auto"/>
        <w:ind w:left="0" w:firstLine="0"/>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Оказание комплекса услуг, сервисов и мер поддержки субъектам МСП в Центре «Мой бизнес», в том числе финансовых услуг, консультационной и образовательной поддержки, поддержки по созданию и модернизации производств, социального предпринимательства.</w:t>
      </w:r>
    </w:p>
    <w:p w:rsidR="007E27CB" w:rsidRDefault="008F141F">
      <w:pPr>
        <w:pStyle w:val="a6"/>
        <w:numPr>
          <w:ilvl w:val="0"/>
          <w:numId w:val="258"/>
        </w:numPr>
        <w:tabs>
          <w:tab w:val="left" w:pos="284"/>
          <w:tab w:val="left" w:pos="851"/>
        </w:tabs>
        <w:spacing w:after="0" w:line="240" w:lineRule="auto"/>
        <w:ind w:left="0" w:firstLine="0"/>
        <w:jc w:val="both"/>
        <w:rPr>
          <w:rFonts w:ascii="Times New Roman" w:hAnsi="Times New Roman"/>
          <w:sz w:val="24"/>
          <w:szCs w:val="24"/>
          <w:lang w:eastAsia="ru-RU"/>
        </w:rPr>
      </w:pPr>
      <w:r>
        <w:rPr>
          <w:rFonts w:ascii="Times New Roman" w:hAnsi="Times New Roman"/>
          <w:sz w:val="24"/>
          <w:szCs w:val="24"/>
        </w:rPr>
        <w:t xml:space="preserve">Реализация мероприятий, предусмотренных планом-графиком посещений предпринимателей сферы туризма муниципальных образований Томской области для налаживания кооперационных связей, обмена опытом, продвижения туристических услуг. </w:t>
      </w:r>
    </w:p>
    <w:p w:rsidR="007E27CB" w:rsidRDefault="008F141F">
      <w:pPr>
        <w:tabs>
          <w:tab w:val="left" w:pos="426"/>
        </w:tabs>
        <w:spacing w:after="0" w:line="240" w:lineRule="auto"/>
        <w:ind w:firstLine="567"/>
        <w:jc w:val="both"/>
        <w:rPr>
          <w:bCs/>
          <w:i/>
          <w:sz w:val="24"/>
          <w:szCs w:val="24"/>
          <w:lang w:eastAsia="ru-RU"/>
        </w:rPr>
      </w:pPr>
      <w:r>
        <w:rPr>
          <w:bCs/>
          <w:i/>
          <w:sz w:val="24"/>
          <w:szCs w:val="24"/>
          <w:lang w:eastAsia="ru-RU"/>
        </w:rPr>
        <w:t>Региональный проект «Расширение доступа субъектов малого и среднего предпринимательства к финансовым ресурсам, в том числе к льготному финансированию»:</w:t>
      </w:r>
    </w:p>
    <w:p w:rsidR="007E27CB" w:rsidRDefault="008F141F">
      <w:pPr>
        <w:pStyle w:val="a6"/>
        <w:numPr>
          <w:ilvl w:val="0"/>
          <w:numId w:val="259"/>
        </w:numPr>
        <w:tabs>
          <w:tab w:val="left" w:pos="284"/>
          <w:tab w:val="left" w:pos="851"/>
        </w:tabs>
        <w:spacing w:after="0" w:line="240" w:lineRule="auto"/>
        <w:ind w:left="0" w:firstLine="0"/>
        <w:jc w:val="both"/>
        <w:rPr>
          <w:rFonts w:ascii="Times New Roman" w:hAnsi="Times New Roman"/>
          <w:sz w:val="24"/>
          <w:szCs w:val="24"/>
          <w:lang w:eastAsia="ru-RU"/>
        </w:rPr>
      </w:pPr>
      <w:r>
        <w:rPr>
          <w:rFonts w:ascii="Times New Roman" w:hAnsi="Times New Roman"/>
          <w:sz w:val="24"/>
          <w:szCs w:val="24"/>
        </w:rPr>
        <w:t>Предоставление займов региональной микрофинансовой организацией на сумму 40 млн. рублей.</w:t>
      </w:r>
    </w:p>
    <w:p w:rsidR="007E27CB" w:rsidRDefault="008F141F">
      <w:pPr>
        <w:pStyle w:val="a6"/>
        <w:numPr>
          <w:ilvl w:val="0"/>
          <w:numId w:val="259"/>
        </w:numPr>
        <w:tabs>
          <w:tab w:val="left" w:pos="284"/>
          <w:tab w:val="left" w:pos="851"/>
        </w:tabs>
        <w:spacing w:after="0" w:line="240" w:lineRule="auto"/>
        <w:ind w:left="0" w:firstLine="0"/>
        <w:jc w:val="both"/>
        <w:rPr>
          <w:rFonts w:ascii="Times New Roman" w:hAnsi="Times New Roman"/>
          <w:sz w:val="24"/>
          <w:szCs w:val="24"/>
        </w:rPr>
      </w:pPr>
      <w:r>
        <w:rPr>
          <w:rFonts w:ascii="Times New Roman" w:hAnsi="Times New Roman"/>
          <w:sz w:val="24"/>
          <w:szCs w:val="24"/>
        </w:rPr>
        <w:t>Выдача 28 микрозаймов субъектам МСП региональной микрофинансовой организацией.</w:t>
      </w:r>
    </w:p>
    <w:p w:rsidR="007E27CB" w:rsidRDefault="008F141F">
      <w:pPr>
        <w:tabs>
          <w:tab w:val="left" w:pos="426"/>
        </w:tabs>
        <w:spacing w:after="0" w:line="240" w:lineRule="auto"/>
        <w:ind w:firstLine="567"/>
        <w:jc w:val="both"/>
        <w:rPr>
          <w:bCs/>
          <w:i/>
          <w:sz w:val="24"/>
          <w:szCs w:val="24"/>
          <w:lang w:eastAsia="ru-RU"/>
        </w:rPr>
      </w:pPr>
      <w:r>
        <w:rPr>
          <w:bCs/>
          <w:i/>
          <w:sz w:val="24"/>
          <w:szCs w:val="24"/>
          <w:lang w:eastAsia="ru-RU"/>
        </w:rPr>
        <w:t>Региональный проект «Акселерация субъектов малого и среднего предпринимательства»:</w:t>
      </w:r>
    </w:p>
    <w:p w:rsidR="007E27CB" w:rsidRDefault="008F141F">
      <w:pPr>
        <w:pStyle w:val="a6"/>
        <w:numPr>
          <w:ilvl w:val="0"/>
          <w:numId w:val="260"/>
        </w:numPr>
        <w:tabs>
          <w:tab w:val="left" w:pos="284"/>
          <w:tab w:val="left" w:pos="851"/>
          <w:tab w:val="left" w:pos="1843"/>
        </w:tabs>
        <w:spacing w:after="0" w:line="240" w:lineRule="auto"/>
        <w:ind w:left="0" w:firstLine="0"/>
        <w:jc w:val="both"/>
        <w:rPr>
          <w:rFonts w:ascii="Times New Roman" w:hAnsi="Times New Roman"/>
          <w:sz w:val="24"/>
          <w:szCs w:val="24"/>
        </w:rPr>
      </w:pPr>
      <w:r>
        <w:rPr>
          <w:rFonts w:ascii="Times New Roman" w:hAnsi="Times New Roman"/>
          <w:color w:val="000000"/>
          <w:spacing w:val="-2"/>
          <w:sz w:val="24"/>
          <w:szCs w:val="24"/>
        </w:rPr>
        <w:t>Предоставление поддержки 4</w:t>
      </w:r>
      <w:r>
        <w:rPr>
          <w:rFonts w:ascii="Times New Roman" w:hAnsi="Times New Roman"/>
          <w:spacing w:val="-2"/>
          <w:sz w:val="24"/>
          <w:szCs w:val="24"/>
        </w:rPr>
        <w:t> </w:t>
      </w:r>
      <w:r>
        <w:rPr>
          <w:rFonts w:ascii="Times New Roman" w:hAnsi="Times New Roman"/>
          <w:color w:val="000000"/>
          <w:spacing w:val="-2"/>
          <w:sz w:val="24"/>
          <w:szCs w:val="24"/>
        </w:rPr>
        <w:t>349 ед. субъектов МСП и самозанятых граждан (нарастающим итогом).</w:t>
      </w:r>
    </w:p>
    <w:p w:rsidR="007E27CB" w:rsidRDefault="008F141F">
      <w:pPr>
        <w:pStyle w:val="a6"/>
        <w:numPr>
          <w:ilvl w:val="0"/>
          <w:numId w:val="260"/>
        </w:numPr>
        <w:tabs>
          <w:tab w:val="left" w:pos="284"/>
          <w:tab w:val="left" w:pos="851"/>
          <w:tab w:val="left" w:pos="1843"/>
        </w:tabs>
        <w:spacing w:after="0" w:line="240" w:lineRule="auto"/>
        <w:ind w:left="0" w:firstLine="0"/>
        <w:jc w:val="both"/>
        <w:rPr>
          <w:rFonts w:ascii="Times New Roman" w:hAnsi="Times New Roman"/>
          <w:sz w:val="24"/>
          <w:szCs w:val="24"/>
          <w:lang w:eastAsia="ru-RU"/>
        </w:rPr>
      </w:pPr>
      <w:r>
        <w:rPr>
          <w:rFonts w:ascii="Times New Roman" w:hAnsi="Times New Roman"/>
          <w:color w:val="000000"/>
          <w:spacing w:val="-2"/>
          <w:sz w:val="24"/>
          <w:szCs w:val="24"/>
        </w:rPr>
        <w:t>Выведение на экспорт 55 субъектов МСП при поддержке центров (агентств) координации поддержки экспортно-ориентированных субъектов МСП (нарастающим итогом).</w:t>
      </w:r>
    </w:p>
    <w:p w:rsidR="007E27CB" w:rsidRDefault="008F141F">
      <w:pPr>
        <w:pStyle w:val="a6"/>
        <w:numPr>
          <w:ilvl w:val="0"/>
          <w:numId w:val="260"/>
        </w:numPr>
        <w:tabs>
          <w:tab w:val="left" w:pos="284"/>
          <w:tab w:val="left" w:pos="851"/>
          <w:tab w:val="left" w:pos="1843"/>
        </w:tabs>
        <w:spacing w:after="0" w:line="240" w:lineRule="auto"/>
        <w:ind w:left="0" w:firstLine="0"/>
        <w:jc w:val="both"/>
        <w:rPr>
          <w:rFonts w:ascii="Times New Roman" w:hAnsi="Times New Roman"/>
          <w:sz w:val="24"/>
          <w:szCs w:val="24"/>
        </w:rPr>
      </w:pPr>
      <w:r>
        <w:rPr>
          <w:rFonts w:ascii="Times New Roman" w:hAnsi="Times New Roman"/>
          <w:color w:val="000000"/>
          <w:spacing w:val="-2"/>
          <w:sz w:val="24"/>
          <w:szCs w:val="24"/>
        </w:rPr>
        <w:t>Предоставление государственной поддержки 9</w:t>
      </w:r>
      <w:r>
        <w:rPr>
          <w:rFonts w:ascii="Times New Roman" w:hAnsi="Times New Roman"/>
          <w:sz w:val="24"/>
          <w:szCs w:val="24"/>
        </w:rPr>
        <w:t xml:space="preserve"> субъектам социального предпринимательства моногорода Северска.</w:t>
      </w:r>
    </w:p>
    <w:p w:rsidR="007E27CB" w:rsidRDefault="008F141F">
      <w:pPr>
        <w:tabs>
          <w:tab w:val="left" w:pos="426"/>
        </w:tabs>
        <w:spacing w:after="0" w:line="240" w:lineRule="auto"/>
        <w:ind w:firstLine="567"/>
        <w:jc w:val="both"/>
        <w:rPr>
          <w:bCs/>
          <w:i/>
          <w:sz w:val="24"/>
          <w:szCs w:val="24"/>
          <w:lang w:eastAsia="ru-RU"/>
        </w:rPr>
      </w:pPr>
      <w:r>
        <w:rPr>
          <w:bCs/>
          <w:i/>
          <w:sz w:val="24"/>
          <w:szCs w:val="24"/>
          <w:lang w:eastAsia="ru-RU"/>
        </w:rPr>
        <w:t>Региональный проект «Популяризация предпринимательства»:</w:t>
      </w:r>
    </w:p>
    <w:p w:rsidR="007E27CB" w:rsidRDefault="008F141F">
      <w:pPr>
        <w:pStyle w:val="a6"/>
        <w:numPr>
          <w:ilvl w:val="0"/>
          <w:numId w:val="261"/>
        </w:numPr>
        <w:tabs>
          <w:tab w:val="left" w:pos="284"/>
          <w:tab w:val="left" w:pos="851"/>
        </w:tabs>
        <w:spacing w:after="0" w:line="240" w:lineRule="auto"/>
        <w:ind w:left="0" w:firstLine="0"/>
        <w:rPr>
          <w:rFonts w:ascii="Times New Roman" w:hAnsi="Times New Roman"/>
          <w:sz w:val="24"/>
          <w:szCs w:val="24"/>
        </w:rPr>
      </w:pPr>
      <w:r>
        <w:rPr>
          <w:rFonts w:ascii="Times New Roman" w:hAnsi="Times New Roman"/>
          <w:sz w:val="24"/>
          <w:szCs w:val="24"/>
        </w:rPr>
        <w:t>Создание 170 субъектов МСП участниками проекта.</w:t>
      </w:r>
    </w:p>
    <w:p w:rsidR="007E27CB" w:rsidRDefault="008F141F">
      <w:pPr>
        <w:pStyle w:val="a6"/>
        <w:numPr>
          <w:ilvl w:val="0"/>
          <w:numId w:val="261"/>
        </w:numPr>
        <w:tabs>
          <w:tab w:val="left" w:pos="284"/>
          <w:tab w:val="left" w:pos="851"/>
        </w:tabs>
        <w:spacing w:after="0" w:line="240" w:lineRule="auto"/>
        <w:ind w:left="0" w:firstLine="0"/>
        <w:rPr>
          <w:rFonts w:ascii="Times New Roman" w:hAnsi="Times New Roman"/>
          <w:sz w:val="24"/>
          <w:szCs w:val="24"/>
        </w:rPr>
      </w:pPr>
      <w:r>
        <w:rPr>
          <w:rFonts w:ascii="Times New Roman" w:hAnsi="Times New Roman"/>
          <w:sz w:val="24"/>
          <w:szCs w:val="24"/>
        </w:rPr>
        <w:t>Вовлечение  в сферу МСП 923 физических лиц по итогам участия в национальном проекте (нарастающим итогом).</w:t>
      </w:r>
    </w:p>
    <w:p w:rsidR="007E27CB" w:rsidRDefault="008F141F">
      <w:pPr>
        <w:pStyle w:val="a6"/>
        <w:numPr>
          <w:ilvl w:val="0"/>
          <w:numId w:val="261"/>
        </w:numPr>
        <w:tabs>
          <w:tab w:val="left" w:pos="284"/>
          <w:tab w:val="left" w:pos="851"/>
          <w:tab w:val="left" w:pos="993"/>
        </w:tabs>
        <w:spacing w:after="0" w:line="240" w:lineRule="auto"/>
        <w:ind w:left="0" w:firstLine="0"/>
        <w:jc w:val="both"/>
        <w:rPr>
          <w:rFonts w:ascii="Times New Roman" w:hAnsi="Times New Roman"/>
          <w:spacing w:val="-2"/>
          <w:sz w:val="24"/>
          <w:szCs w:val="24"/>
        </w:rPr>
      </w:pPr>
      <w:r>
        <w:rPr>
          <w:rFonts w:ascii="Times New Roman" w:hAnsi="Times New Roman"/>
          <w:spacing w:val="-2"/>
          <w:sz w:val="24"/>
          <w:szCs w:val="24"/>
        </w:rPr>
        <w:t xml:space="preserve">Проведение обучения основам ведения бизнеса, финансовой грамотности и иным навыкам предпринимательской деятельности </w:t>
      </w:r>
      <w:r>
        <w:rPr>
          <w:sz w:val="24"/>
          <w:szCs w:val="24"/>
        </w:rPr>
        <w:t>–</w:t>
      </w:r>
      <w:r>
        <w:rPr>
          <w:rFonts w:ascii="Times New Roman" w:hAnsi="Times New Roman"/>
          <w:spacing w:val="-2"/>
          <w:sz w:val="24"/>
          <w:szCs w:val="24"/>
        </w:rPr>
        <w:t xml:space="preserve"> 1 415 чел.</w:t>
      </w:r>
    </w:p>
    <w:p w:rsidR="007E27CB" w:rsidRDefault="008F141F">
      <w:pPr>
        <w:tabs>
          <w:tab w:val="left" w:pos="426"/>
        </w:tabs>
        <w:spacing w:after="0" w:line="240" w:lineRule="auto"/>
        <w:ind w:firstLine="567"/>
        <w:jc w:val="both"/>
        <w:rPr>
          <w:bCs/>
          <w:i/>
          <w:sz w:val="24"/>
          <w:szCs w:val="24"/>
          <w:lang w:eastAsia="ru-RU"/>
        </w:rPr>
      </w:pPr>
      <w:r>
        <w:rPr>
          <w:bCs/>
          <w:i/>
          <w:sz w:val="24"/>
          <w:szCs w:val="24"/>
          <w:lang w:eastAsia="ru-RU"/>
        </w:rPr>
        <w:t>Региональный проект «Создание системы поддержки фермеров и развитие сельской кооперации»:</w:t>
      </w:r>
    </w:p>
    <w:p w:rsidR="007E27CB" w:rsidRDefault="008F141F">
      <w:pPr>
        <w:pStyle w:val="af6"/>
        <w:numPr>
          <w:ilvl w:val="3"/>
          <w:numId w:val="262"/>
        </w:numPr>
        <w:tabs>
          <w:tab w:val="left" w:pos="284"/>
          <w:tab w:val="left" w:pos="851"/>
        </w:tabs>
        <w:spacing w:before="0" w:beforeAutospacing="0" w:after="0" w:afterAutospacing="0"/>
        <w:ind w:left="0" w:firstLine="0"/>
        <w:rPr>
          <w:color w:val="000000"/>
          <w:shd w:val="clear" w:color="auto" w:fill="FFFFFF"/>
        </w:rPr>
      </w:pPr>
      <w:r>
        <w:rPr>
          <w:lang w:val="ru-RU"/>
        </w:rPr>
        <w:t>Проведение</w:t>
      </w:r>
      <w:r>
        <w:t xml:space="preserve"> 8 мероприятий и </w:t>
      </w:r>
      <w:r>
        <w:rPr>
          <w:color w:val="000000"/>
          <w:shd w:val="clear" w:color="auto" w:fill="FFFFFF"/>
        </w:rPr>
        <w:t>оказание 800 консультаций по вопросам создания и (или) развития субъектов МСП в области сельского хозяйства.</w:t>
      </w:r>
    </w:p>
    <w:p w:rsidR="007E27CB" w:rsidRDefault="008F141F">
      <w:pPr>
        <w:pStyle w:val="af6"/>
        <w:numPr>
          <w:ilvl w:val="3"/>
          <w:numId w:val="262"/>
        </w:numPr>
        <w:tabs>
          <w:tab w:val="left" w:pos="284"/>
          <w:tab w:val="left" w:pos="851"/>
        </w:tabs>
        <w:spacing w:before="0" w:beforeAutospacing="0" w:after="0" w:afterAutospacing="0"/>
        <w:ind w:left="0" w:firstLine="0"/>
        <w:rPr>
          <w:color w:val="000000"/>
          <w:shd w:val="clear" w:color="auto" w:fill="FFFFFF"/>
        </w:rPr>
      </w:pPr>
      <w:r>
        <w:rPr>
          <w:lang w:val="ru-RU"/>
        </w:rPr>
        <w:t>Создание</w:t>
      </w:r>
      <w:r>
        <w:t xml:space="preserve"> 7 крестьянских (фермерских) хозяйств с участием средств грантов «Агростартап».</w:t>
      </w:r>
    </w:p>
    <w:p w:rsidR="007E27CB" w:rsidRDefault="008F141F">
      <w:pPr>
        <w:pStyle w:val="af6"/>
        <w:numPr>
          <w:ilvl w:val="3"/>
          <w:numId w:val="262"/>
        </w:numPr>
        <w:tabs>
          <w:tab w:val="left" w:pos="284"/>
          <w:tab w:val="left" w:pos="851"/>
        </w:tabs>
        <w:spacing w:before="0" w:beforeAutospacing="0" w:after="0" w:afterAutospacing="0"/>
        <w:ind w:left="0" w:firstLine="0"/>
        <w:rPr>
          <w:color w:val="000000"/>
          <w:shd w:val="clear" w:color="auto" w:fill="FFFFFF"/>
        </w:rPr>
      </w:pPr>
      <w:r>
        <w:rPr>
          <w:lang w:val="ru-RU"/>
        </w:rPr>
        <w:t>В</w:t>
      </w:r>
      <w:r>
        <w:t>ведение новой меры государственной поддержки – возмещение части затрат сельскохозяйственным потребительским кооперативам на приобретение техники, оборудования и т.д.</w:t>
      </w:r>
    </w:p>
    <w:p w:rsidR="007E27CB" w:rsidRDefault="007E27CB">
      <w:pPr>
        <w:spacing w:after="0" w:line="240" w:lineRule="auto"/>
        <w:ind w:firstLine="567"/>
        <w:jc w:val="both"/>
        <w:rPr>
          <w:b/>
          <w:sz w:val="24"/>
          <w:szCs w:val="24"/>
        </w:rPr>
      </w:pPr>
    </w:p>
    <w:p w:rsidR="007E27CB" w:rsidRDefault="008F141F">
      <w:pPr>
        <w:spacing w:after="0" w:line="240" w:lineRule="auto"/>
        <w:ind w:firstLine="567"/>
        <w:jc w:val="both"/>
        <w:rPr>
          <w:b/>
          <w:sz w:val="24"/>
          <w:szCs w:val="24"/>
        </w:rPr>
      </w:pPr>
      <w:r>
        <w:rPr>
          <w:b/>
          <w:sz w:val="24"/>
          <w:szCs w:val="24"/>
        </w:rPr>
        <w:t>Национальный проект «Международная кооперация и экспорт»</w:t>
      </w:r>
    </w:p>
    <w:p w:rsidR="007E27CB" w:rsidRDefault="008F141F">
      <w:pPr>
        <w:spacing w:after="0" w:line="240" w:lineRule="auto"/>
        <w:ind w:firstLine="567"/>
        <w:jc w:val="both"/>
        <w:rPr>
          <w:rFonts w:eastAsia="Times New Roman"/>
          <w:sz w:val="24"/>
          <w:szCs w:val="24"/>
          <w:lang w:eastAsia="ru-RU"/>
        </w:rPr>
      </w:pPr>
      <w:r>
        <w:rPr>
          <w:rFonts w:eastAsia="Times New Roman"/>
          <w:sz w:val="24"/>
          <w:szCs w:val="24"/>
          <w:lang w:eastAsia="ru-RU"/>
        </w:rPr>
        <w:t>Целями национального проекта являются:</w:t>
      </w:r>
    </w:p>
    <w:p w:rsidR="007E27CB" w:rsidRDefault="008F141F">
      <w:pPr>
        <w:pStyle w:val="a6"/>
        <w:numPr>
          <w:ilvl w:val="0"/>
          <w:numId w:val="160"/>
        </w:numPr>
        <w:tabs>
          <w:tab w:val="left" w:pos="851"/>
        </w:tabs>
        <w:spacing w:after="0" w:line="240" w:lineRule="auto"/>
        <w:ind w:left="0" w:firstLine="567"/>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достижение объема экспорта несырьевых неэнергетических товаров в размере 250 млрд. долл. США в год, в том числе продукции машиностроения – 60 млрд. долл. США в год;</w:t>
      </w:r>
    </w:p>
    <w:p w:rsidR="007E27CB" w:rsidRDefault="008F141F">
      <w:pPr>
        <w:pStyle w:val="a6"/>
        <w:numPr>
          <w:ilvl w:val="0"/>
          <w:numId w:val="160"/>
        </w:numPr>
        <w:tabs>
          <w:tab w:val="left" w:pos="851"/>
        </w:tabs>
        <w:spacing w:after="0" w:line="240" w:lineRule="auto"/>
        <w:ind w:left="0" w:firstLine="567"/>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достижение объема экспорта продукции агропромышленного комплекса в размере 45 млрд. долл. США в год;</w:t>
      </w:r>
    </w:p>
    <w:p w:rsidR="007E27CB" w:rsidRDefault="008F141F">
      <w:pPr>
        <w:pStyle w:val="a6"/>
        <w:numPr>
          <w:ilvl w:val="0"/>
          <w:numId w:val="160"/>
        </w:numPr>
        <w:tabs>
          <w:tab w:val="left" w:pos="851"/>
        </w:tabs>
        <w:spacing w:after="0" w:line="240" w:lineRule="auto"/>
        <w:ind w:left="0" w:firstLine="567"/>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достижение объема экспорта оказываемых услуг в размере 100 млрд. долл. США в год;</w:t>
      </w:r>
    </w:p>
    <w:p w:rsidR="007E27CB" w:rsidRDefault="008F141F">
      <w:pPr>
        <w:pStyle w:val="a6"/>
        <w:numPr>
          <w:ilvl w:val="0"/>
          <w:numId w:val="160"/>
        </w:numPr>
        <w:tabs>
          <w:tab w:val="left" w:pos="851"/>
        </w:tabs>
        <w:spacing w:after="0" w:line="240" w:lineRule="auto"/>
        <w:ind w:left="0" w:firstLine="567"/>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прирост доли экспорта продукции обрабатывающей промышленности, сельскохозяйственной продукции и услуг в ВВП страны на 20%.</w:t>
      </w:r>
    </w:p>
    <w:p w:rsidR="007E27CB" w:rsidRDefault="008F141F">
      <w:pPr>
        <w:spacing w:after="0" w:line="240" w:lineRule="auto"/>
        <w:ind w:firstLine="567"/>
        <w:jc w:val="both"/>
        <w:rPr>
          <w:sz w:val="24"/>
          <w:szCs w:val="24"/>
        </w:rPr>
      </w:pPr>
      <w:r>
        <w:rPr>
          <w:color w:val="000000"/>
          <w:sz w:val="24"/>
          <w:szCs w:val="24"/>
          <w:shd w:val="clear" w:color="auto" w:fill="FFFFFF"/>
        </w:rPr>
        <w:t xml:space="preserve">Для достижения цели национального проекта </w:t>
      </w:r>
      <w:r>
        <w:rPr>
          <w:sz w:val="24"/>
          <w:szCs w:val="24"/>
        </w:rPr>
        <w:t>на территории Томской области реализуются 4 региональных проекта: «Системные меры развития международной кооперации и экспорта», «Промышленный экспорт», «Экспорт продукции АПК», «Экспорт услуг».</w:t>
      </w:r>
    </w:p>
    <w:p w:rsidR="007E27CB" w:rsidRDefault="008F141F">
      <w:pPr>
        <w:spacing w:after="0" w:line="240" w:lineRule="auto"/>
        <w:ind w:firstLine="567"/>
        <w:jc w:val="both"/>
        <w:rPr>
          <w:b/>
          <w:sz w:val="24"/>
          <w:szCs w:val="24"/>
        </w:rPr>
      </w:pPr>
      <w:r>
        <w:rPr>
          <w:b/>
          <w:sz w:val="24"/>
          <w:szCs w:val="24"/>
        </w:rPr>
        <w:t>По итогам 2019 года:</w:t>
      </w:r>
    </w:p>
    <w:p w:rsidR="007E27CB" w:rsidRDefault="008F141F">
      <w:pPr>
        <w:spacing w:after="0" w:line="240" w:lineRule="auto"/>
        <w:ind w:firstLine="567"/>
        <w:jc w:val="both"/>
        <w:rPr>
          <w:rFonts w:eastAsia="Times New Roman"/>
          <w:sz w:val="24"/>
          <w:szCs w:val="24"/>
          <w:u w:val="single"/>
          <w:lang w:eastAsia="ru-RU"/>
        </w:rPr>
      </w:pPr>
      <w:r>
        <w:rPr>
          <w:rFonts w:eastAsia="Times New Roman"/>
          <w:sz w:val="24"/>
          <w:szCs w:val="24"/>
          <w:lang w:eastAsia="ru-RU"/>
        </w:rPr>
        <w:t xml:space="preserve">В рамках реализации мероприятий </w:t>
      </w:r>
      <w:r>
        <w:rPr>
          <w:rFonts w:eastAsia="Times New Roman"/>
          <w:i/>
          <w:sz w:val="24"/>
          <w:szCs w:val="24"/>
          <w:lang w:eastAsia="ru-RU"/>
        </w:rPr>
        <w:t>регионального проекта «</w:t>
      </w:r>
      <w:r>
        <w:rPr>
          <w:i/>
          <w:sz w:val="24"/>
          <w:szCs w:val="24"/>
        </w:rPr>
        <w:t>Системные меры развития международной кооперации и экспорта</w:t>
      </w:r>
      <w:r>
        <w:rPr>
          <w:rFonts w:eastAsia="Times New Roman"/>
          <w:i/>
          <w:sz w:val="24"/>
          <w:szCs w:val="24"/>
          <w:lang w:eastAsia="ru-RU"/>
        </w:rPr>
        <w:t>»:</w:t>
      </w:r>
    </w:p>
    <w:p w:rsidR="007E27CB" w:rsidRDefault="008F141F">
      <w:pPr>
        <w:pStyle w:val="a6"/>
        <w:numPr>
          <w:ilvl w:val="0"/>
          <w:numId w:val="161"/>
        </w:numPr>
        <w:tabs>
          <w:tab w:val="left" w:pos="851"/>
        </w:tabs>
        <w:spacing w:after="0" w:line="240" w:lineRule="auto"/>
        <w:ind w:left="0" w:firstLine="567"/>
        <w:jc w:val="both"/>
        <w:rPr>
          <w:rFonts w:ascii="Times New Roman" w:hAnsi="Times New Roman"/>
          <w:sz w:val="24"/>
          <w:szCs w:val="24"/>
        </w:rPr>
      </w:pPr>
      <w:r>
        <w:rPr>
          <w:rFonts w:ascii="Times New Roman" w:eastAsia="Times New Roman" w:hAnsi="Times New Roman"/>
          <w:sz w:val="24"/>
          <w:szCs w:val="24"/>
          <w:lang w:eastAsia="ru-RU"/>
        </w:rPr>
        <w:t>организованы</w:t>
      </w:r>
      <w:r>
        <w:rPr>
          <w:rFonts w:ascii="Times New Roman" w:hAnsi="Times New Roman"/>
          <w:sz w:val="24"/>
          <w:szCs w:val="24"/>
        </w:rPr>
        <w:t xml:space="preserve"> более 40 выездных мероприятий, направленных на продвижение экспортного потенциала томских компаний;</w:t>
      </w:r>
    </w:p>
    <w:p w:rsidR="007E27CB" w:rsidRDefault="008F141F">
      <w:pPr>
        <w:pStyle w:val="a6"/>
        <w:numPr>
          <w:ilvl w:val="0"/>
          <w:numId w:val="161"/>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проведено 12 обучающих семинаров для субъектов МСП по популяризации акселерационных программ и развитию экспортных продаж по каналам электронной торговли;</w:t>
      </w:r>
    </w:p>
    <w:p w:rsidR="007E27CB" w:rsidRDefault="008F141F">
      <w:pPr>
        <w:pStyle w:val="a6"/>
        <w:numPr>
          <w:ilvl w:val="0"/>
          <w:numId w:val="161"/>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организовано участие томских предприятий в 13 международных выставках;</w:t>
      </w:r>
    </w:p>
    <w:p w:rsidR="007E27CB" w:rsidRDefault="008F141F">
      <w:pPr>
        <w:pStyle w:val="a6"/>
        <w:numPr>
          <w:ilvl w:val="0"/>
          <w:numId w:val="161"/>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обеспечено участие 5 томских компаний-экспортеров в 4 номинациях окружного этапа всероссийского конкурса «Экспортер года», среди которых компания «Рубиус» победила в окружном этапе в номинации «Экспортер года в сфере услуг» в категории МСП, а также стала лучшей в категории «Прорыв года»;</w:t>
      </w:r>
    </w:p>
    <w:p w:rsidR="007E27CB" w:rsidRDefault="008F141F">
      <w:pPr>
        <w:pStyle w:val="a6"/>
        <w:numPr>
          <w:ilvl w:val="0"/>
          <w:numId w:val="161"/>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увеличено количество компаний-экспортеров в категории МСП на 17 единиц (с 307 до 324 компаний).</w:t>
      </w:r>
    </w:p>
    <w:p w:rsidR="007E27CB" w:rsidRDefault="008F141F">
      <w:pPr>
        <w:spacing w:after="0" w:line="240" w:lineRule="auto"/>
        <w:ind w:firstLine="567"/>
        <w:jc w:val="both"/>
        <w:rPr>
          <w:rFonts w:eastAsia="Times New Roman"/>
          <w:i/>
          <w:sz w:val="24"/>
          <w:szCs w:val="24"/>
          <w:lang w:eastAsia="ru-RU"/>
        </w:rPr>
      </w:pPr>
      <w:r>
        <w:rPr>
          <w:rFonts w:eastAsia="Times New Roman"/>
          <w:sz w:val="24"/>
          <w:szCs w:val="24"/>
          <w:lang w:eastAsia="ru-RU"/>
        </w:rPr>
        <w:t xml:space="preserve">В рамках реализации мероприятий </w:t>
      </w:r>
      <w:r>
        <w:rPr>
          <w:rFonts w:eastAsia="Times New Roman"/>
          <w:i/>
          <w:sz w:val="24"/>
          <w:szCs w:val="24"/>
          <w:lang w:eastAsia="ru-RU"/>
        </w:rPr>
        <w:t>регионального проекта «Промышленный экспорт»:</w:t>
      </w:r>
    </w:p>
    <w:p w:rsidR="007E27CB" w:rsidRDefault="008F141F">
      <w:pPr>
        <w:pStyle w:val="a6"/>
        <w:numPr>
          <w:ilvl w:val="0"/>
          <w:numId w:val="162"/>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проведены обучающие семинары с целью разъяснения основных положений государственной поддержки организаций, реализующих корпоративные программы повышения конкурентоспособности;</w:t>
      </w:r>
    </w:p>
    <w:p w:rsidR="007E27CB" w:rsidRDefault="008F141F">
      <w:pPr>
        <w:pStyle w:val="a6"/>
        <w:numPr>
          <w:ilvl w:val="0"/>
          <w:numId w:val="162"/>
        </w:numPr>
        <w:tabs>
          <w:tab w:val="left" w:pos="851"/>
        </w:tabs>
        <w:autoSpaceDE w:val="0"/>
        <w:autoSpaceDN w:val="0"/>
        <w:adjustRightInd w:val="0"/>
        <w:spacing w:after="0" w:line="240" w:lineRule="auto"/>
        <w:ind w:left="0" w:firstLine="567"/>
        <w:jc w:val="both"/>
        <w:rPr>
          <w:rFonts w:ascii="Times New Roman" w:hAnsi="Times New Roman"/>
          <w:sz w:val="24"/>
          <w:szCs w:val="24"/>
        </w:rPr>
      </w:pPr>
      <w:r>
        <w:rPr>
          <w:rFonts w:ascii="Times New Roman" w:hAnsi="Times New Roman"/>
          <w:sz w:val="24"/>
          <w:szCs w:val="24"/>
        </w:rPr>
        <w:t>опубликован на сайте Минпромпрорга России «Единый перечень организаций, реализующих корпоративные программы повышения конкурентоспособности», в список которого вошли 7 томских предприятий</w:t>
      </w:r>
      <w:r>
        <w:rPr>
          <w:rFonts w:ascii="Times New Roman" w:eastAsia="Times New Roman" w:hAnsi="Times New Roman"/>
          <w:sz w:val="24"/>
          <w:szCs w:val="24"/>
          <w:lang w:eastAsia="ru-RU"/>
        </w:rPr>
        <w:t xml:space="preserve"> по итогам квалификационного отбора </w:t>
      </w:r>
      <w:r>
        <w:rPr>
          <w:rFonts w:ascii="Times New Roman" w:hAnsi="Times New Roman"/>
          <w:sz w:val="24"/>
          <w:szCs w:val="24"/>
        </w:rPr>
        <w:t>производителей регионального значения;</w:t>
      </w:r>
    </w:p>
    <w:p w:rsidR="007E27CB" w:rsidRDefault="008F141F">
      <w:pPr>
        <w:pStyle w:val="a6"/>
        <w:numPr>
          <w:ilvl w:val="0"/>
          <w:numId w:val="162"/>
        </w:numPr>
        <w:tabs>
          <w:tab w:val="left" w:pos="851"/>
        </w:tabs>
        <w:autoSpaceDE w:val="0"/>
        <w:autoSpaceDN w:val="0"/>
        <w:adjustRightInd w:val="0"/>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заключены соглашения с Минпромторгом России о реализации корпоративных программ повышения конкурентоспособности с 4 томскими компаниями. </w:t>
      </w:r>
    </w:p>
    <w:p w:rsidR="007E27CB" w:rsidRDefault="008F141F">
      <w:pPr>
        <w:spacing w:after="0" w:line="240" w:lineRule="auto"/>
        <w:ind w:firstLine="567"/>
        <w:jc w:val="both"/>
        <w:rPr>
          <w:color w:val="000000"/>
          <w:sz w:val="24"/>
          <w:szCs w:val="24"/>
          <w:shd w:val="clear" w:color="auto" w:fill="FFFFFF"/>
        </w:rPr>
      </w:pPr>
      <w:r>
        <w:rPr>
          <w:rFonts w:eastAsia="Times New Roman"/>
          <w:sz w:val="24"/>
          <w:szCs w:val="24"/>
          <w:lang w:eastAsia="ru-RU"/>
        </w:rPr>
        <w:t xml:space="preserve">В рамках реализации мероприятий </w:t>
      </w:r>
      <w:r>
        <w:rPr>
          <w:rFonts w:eastAsia="Times New Roman"/>
          <w:i/>
          <w:sz w:val="24"/>
          <w:szCs w:val="24"/>
          <w:lang w:eastAsia="ru-RU"/>
        </w:rPr>
        <w:t>регионального проекта «Экспорт продукции АПК»:</w:t>
      </w:r>
    </w:p>
    <w:p w:rsidR="007E27CB" w:rsidRDefault="008F141F">
      <w:pPr>
        <w:pStyle w:val="a6"/>
        <w:numPr>
          <w:ilvl w:val="0"/>
          <w:numId w:val="163"/>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введен в эксплуатацию пункт по убою и глубокой переработке мяса мощностью около 1 тыс. голов КРС в год (ИП Глава КФХ Синицын В.С.). Свыше 2 500 голов специализированного мясного скота, в том числе 88 племенных, было поставлено в Казахстан;</w:t>
      </w:r>
    </w:p>
    <w:p w:rsidR="007E27CB" w:rsidRDefault="008F141F">
      <w:pPr>
        <w:pStyle w:val="a6"/>
        <w:numPr>
          <w:ilvl w:val="0"/>
          <w:numId w:val="163"/>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открыт завод по переработке рапса ООО «Сибирская Олива», поставки рапсового масла уже организованы в Китай и другие страны Южной и Восточной Азии;</w:t>
      </w:r>
    </w:p>
    <w:p w:rsidR="007E27CB" w:rsidRDefault="008F141F">
      <w:pPr>
        <w:pStyle w:val="a6"/>
        <w:widowControl w:val="0"/>
        <w:numPr>
          <w:ilvl w:val="0"/>
          <w:numId w:val="163"/>
        </w:numPr>
        <w:tabs>
          <w:tab w:val="left" w:pos="851"/>
          <w:tab w:val="left" w:pos="2130"/>
        </w:tabs>
        <w:autoSpaceDE w:val="0"/>
        <w:autoSpaceDN w:val="0"/>
        <w:spacing w:after="0" w:line="240" w:lineRule="auto"/>
        <w:ind w:left="0" w:firstLine="567"/>
        <w:jc w:val="both"/>
        <w:rPr>
          <w:rFonts w:ascii="Times New Roman" w:hAnsi="Times New Roman"/>
          <w:sz w:val="24"/>
          <w:szCs w:val="24"/>
        </w:rPr>
      </w:pPr>
      <w:r>
        <w:rPr>
          <w:rFonts w:ascii="Times New Roman" w:hAnsi="Times New Roman"/>
          <w:sz w:val="24"/>
          <w:szCs w:val="24"/>
        </w:rPr>
        <w:t>обеспечен вывод на рынок более 175 наименований новых продуктов с использованием пищевых лесных ресурсов;</w:t>
      </w:r>
    </w:p>
    <w:p w:rsidR="007E27CB" w:rsidRDefault="008F141F">
      <w:pPr>
        <w:pStyle w:val="a6"/>
        <w:widowControl w:val="0"/>
        <w:numPr>
          <w:ilvl w:val="0"/>
          <w:numId w:val="163"/>
        </w:numPr>
        <w:tabs>
          <w:tab w:val="left" w:pos="851"/>
          <w:tab w:val="left" w:pos="2130"/>
        </w:tabs>
        <w:autoSpaceDE w:val="0"/>
        <w:autoSpaceDN w:val="0"/>
        <w:spacing w:after="0" w:line="240" w:lineRule="auto"/>
        <w:ind w:left="0" w:firstLine="567"/>
        <w:jc w:val="both"/>
        <w:rPr>
          <w:rFonts w:ascii="Times New Roman" w:hAnsi="Times New Roman"/>
          <w:sz w:val="24"/>
          <w:szCs w:val="24"/>
        </w:rPr>
      </w:pPr>
      <w:r>
        <w:rPr>
          <w:rFonts w:ascii="Times New Roman" w:hAnsi="Times New Roman"/>
          <w:sz w:val="24"/>
          <w:szCs w:val="24"/>
        </w:rPr>
        <w:t>увеличен экспорт мяса и молочной продукции в 2,9 раза, прочей пищевой продукции в 2,8 раза по сравнению с 2018 годом;</w:t>
      </w:r>
    </w:p>
    <w:p w:rsidR="007E27CB" w:rsidRDefault="008F141F">
      <w:pPr>
        <w:pStyle w:val="a6"/>
        <w:widowControl w:val="0"/>
        <w:numPr>
          <w:ilvl w:val="0"/>
          <w:numId w:val="163"/>
        </w:numPr>
        <w:tabs>
          <w:tab w:val="left" w:pos="851"/>
          <w:tab w:val="left" w:pos="2130"/>
        </w:tabs>
        <w:autoSpaceDE w:val="0"/>
        <w:autoSpaceDN w:val="0"/>
        <w:spacing w:after="0" w:line="240" w:lineRule="auto"/>
        <w:ind w:left="0" w:firstLine="567"/>
        <w:jc w:val="both"/>
        <w:rPr>
          <w:rFonts w:ascii="Times New Roman" w:hAnsi="Times New Roman"/>
          <w:sz w:val="24"/>
          <w:szCs w:val="24"/>
        </w:rPr>
      </w:pPr>
      <w:r>
        <w:rPr>
          <w:rFonts w:ascii="Times New Roman" w:hAnsi="Times New Roman"/>
          <w:sz w:val="24"/>
          <w:szCs w:val="24"/>
        </w:rPr>
        <w:t>вырос относительно 2018 года на 38% объем пищевых продуктов из дикорастущего сырья в общем объеме экспорта продукции АПК и составил 4 780 тонн по итогам года.</w:t>
      </w:r>
    </w:p>
    <w:p w:rsidR="007E27CB" w:rsidRDefault="008F141F">
      <w:pPr>
        <w:pStyle w:val="a6"/>
        <w:widowControl w:val="0"/>
        <w:tabs>
          <w:tab w:val="left" w:pos="2130"/>
        </w:tabs>
        <w:autoSpaceDE w:val="0"/>
        <w:autoSpaceDN w:val="0"/>
        <w:spacing w:after="0" w:line="240" w:lineRule="auto"/>
        <w:ind w:left="0" w:firstLine="567"/>
        <w:jc w:val="both"/>
        <w:rPr>
          <w:rFonts w:ascii="Times New Roman" w:hAnsi="Times New Roman"/>
          <w:sz w:val="24"/>
          <w:szCs w:val="24"/>
        </w:rPr>
      </w:pPr>
      <w:r>
        <w:rPr>
          <w:rFonts w:ascii="Times New Roman" w:eastAsia="Times New Roman" w:hAnsi="Times New Roman"/>
          <w:sz w:val="24"/>
          <w:szCs w:val="24"/>
          <w:lang w:eastAsia="ru-RU"/>
        </w:rPr>
        <w:t xml:space="preserve">В рамках реализации мероприятий </w:t>
      </w:r>
      <w:r>
        <w:rPr>
          <w:rFonts w:ascii="Times New Roman" w:eastAsia="Times New Roman" w:hAnsi="Times New Roman"/>
          <w:i/>
          <w:sz w:val="24"/>
          <w:szCs w:val="24"/>
          <w:lang w:eastAsia="ru-RU"/>
        </w:rPr>
        <w:t>регионального проекта «Экспорт услуг»:</w:t>
      </w:r>
    </w:p>
    <w:p w:rsidR="007E27CB" w:rsidRDefault="008F141F">
      <w:pPr>
        <w:pStyle w:val="a6"/>
        <w:numPr>
          <w:ilvl w:val="0"/>
          <w:numId w:val="164"/>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на постоянной основе информируется туристское региональное сообщество о мерах государственной поддержки туроператоров, осуществляющих привлечение иностранных туристов;</w:t>
      </w:r>
    </w:p>
    <w:p w:rsidR="007E27CB" w:rsidRDefault="008F141F">
      <w:pPr>
        <w:pStyle w:val="a6"/>
        <w:numPr>
          <w:ilvl w:val="0"/>
          <w:numId w:val="164"/>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организован и проведен курс профильного обучения английскому языку для персонала гостиниц и отелей областного центра;</w:t>
      </w:r>
    </w:p>
    <w:p w:rsidR="007E27CB" w:rsidRDefault="008F141F">
      <w:pPr>
        <w:pStyle w:val="a6"/>
        <w:numPr>
          <w:ilvl w:val="0"/>
          <w:numId w:val="164"/>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обеспечено участие Томской области в проводимом Ростуризмом роуд-шоу «Россия 2020. ЕВРО в подарок» в странах Азиатско-Тихоокеанского региона;</w:t>
      </w:r>
    </w:p>
    <w:p w:rsidR="007E27CB" w:rsidRDefault="008F141F">
      <w:pPr>
        <w:pStyle w:val="a6"/>
        <w:numPr>
          <w:ilvl w:val="0"/>
          <w:numId w:val="164"/>
        </w:numPr>
        <w:tabs>
          <w:tab w:val="left" w:pos="851"/>
        </w:tabs>
        <w:spacing w:after="0" w:line="240" w:lineRule="auto"/>
        <w:ind w:left="0" w:firstLine="567"/>
        <w:jc w:val="both"/>
        <w:rPr>
          <w:rFonts w:ascii="Times New Roman" w:hAnsi="Times New Roman"/>
          <w:sz w:val="24"/>
          <w:szCs w:val="24"/>
        </w:rPr>
      </w:pPr>
      <w:r>
        <w:rPr>
          <w:rFonts w:ascii="Times New Roman" w:hAnsi="Times New Roman"/>
          <w:sz w:val="24"/>
          <w:szCs w:val="24"/>
        </w:rPr>
        <w:t>реализуются международные событийные мероприятия, такие как: «Праздник Топора», Томский международный марафон «Ярче», «Хрустальный Томск» в целях привлечения иностранных туристов в регионе.</w:t>
      </w:r>
    </w:p>
    <w:p w:rsidR="007E27CB" w:rsidRDefault="007E27CB">
      <w:pPr>
        <w:tabs>
          <w:tab w:val="left" w:pos="426"/>
        </w:tabs>
        <w:spacing w:after="0" w:line="240" w:lineRule="auto"/>
        <w:ind w:firstLine="567"/>
        <w:jc w:val="both"/>
        <w:rPr>
          <w:rFonts w:eastAsia="Times New Roman"/>
          <w:b/>
          <w:sz w:val="24"/>
          <w:szCs w:val="24"/>
          <w:lang w:eastAsia="ru-RU"/>
        </w:rPr>
      </w:pPr>
    </w:p>
    <w:p w:rsidR="007E27CB" w:rsidRDefault="008F141F">
      <w:pPr>
        <w:tabs>
          <w:tab w:val="left" w:pos="426"/>
        </w:tabs>
        <w:spacing w:after="0" w:line="240" w:lineRule="auto"/>
        <w:ind w:firstLine="567"/>
        <w:jc w:val="both"/>
        <w:rPr>
          <w:rFonts w:eastAsia="Times New Roman"/>
          <w:b/>
          <w:sz w:val="24"/>
          <w:szCs w:val="24"/>
          <w:lang w:eastAsia="ru-RU"/>
        </w:rPr>
      </w:pPr>
      <w:r>
        <w:rPr>
          <w:rFonts w:eastAsia="Times New Roman"/>
          <w:b/>
          <w:sz w:val="24"/>
          <w:szCs w:val="24"/>
          <w:lang w:eastAsia="ru-RU"/>
        </w:rPr>
        <w:t>Перспективные задачи на 2020 год</w:t>
      </w:r>
    </w:p>
    <w:p w:rsidR="007E27CB" w:rsidRDefault="008F141F">
      <w:pPr>
        <w:tabs>
          <w:tab w:val="left" w:pos="426"/>
        </w:tabs>
        <w:spacing w:after="0" w:line="240" w:lineRule="auto"/>
        <w:ind w:firstLine="567"/>
        <w:jc w:val="both"/>
        <w:rPr>
          <w:i/>
          <w:sz w:val="24"/>
          <w:szCs w:val="24"/>
        </w:rPr>
      </w:pPr>
      <w:r>
        <w:rPr>
          <w:rFonts w:eastAsia="Times New Roman"/>
          <w:i/>
          <w:sz w:val="24"/>
          <w:szCs w:val="24"/>
          <w:lang w:eastAsia="ru-RU"/>
        </w:rPr>
        <w:t xml:space="preserve">Региональный проект </w:t>
      </w:r>
      <w:r>
        <w:rPr>
          <w:i/>
          <w:sz w:val="24"/>
          <w:szCs w:val="24"/>
        </w:rPr>
        <w:t>«Системные меры развития международной кооперации и экспорта»:</w:t>
      </w:r>
    </w:p>
    <w:p w:rsidR="007E27CB" w:rsidRDefault="008F141F">
      <w:pPr>
        <w:pStyle w:val="a6"/>
        <w:numPr>
          <w:ilvl w:val="0"/>
          <w:numId w:val="263"/>
        </w:numPr>
        <w:tabs>
          <w:tab w:val="left" w:pos="284"/>
          <w:tab w:val="left" w:pos="851"/>
        </w:tabs>
        <w:spacing w:after="0" w:line="240" w:lineRule="auto"/>
        <w:ind w:left="0" w:firstLine="0"/>
        <w:jc w:val="both"/>
        <w:rPr>
          <w:rFonts w:ascii="Times New Roman" w:hAnsi="Times New Roman"/>
          <w:sz w:val="24"/>
          <w:szCs w:val="24"/>
        </w:rPr>
      </w:pPr>
      <w:r>
        <w:rPr>
          <w:rFonts w:ascii="Times New Roman" w:hAnsi="Times New Roman"/>
          <w:sz w:val="24"/>
          <w:szCs w:val="24"/>
        </w:rPr>
        <w:t xml:space="preserve">Внедрение системы экспортного аудита основных отраслей промышленности и сферы услуг. </w:t>
      </w:r>
    </w:p>
    <w:p w:rsidR="007E27CB" w:rsidRDefault="008F141F">
      <w:pPr>
        <w:pStyle w:val="a6"/>
        <w:numPr>
          <w:ilvl w:val="0"/>
          <w:numId w:val="263"/>
        </w:numPr>
        <w:tabs>
          <w:tab w:val="left" w:pos="284"/>
          <w:tab w:val="left" w:pos="851"/>
        </w:tabs>
        <w:spacing w:after="0" w:line="240" w:lineRule="auto"/>
        <w:ind w:left="0" w:firstLine="0"/>
        <w:jc w:val="both"/>
        <w:rPr>
          <w:rFonts w:ascii="Times New Roman" w:hAnsi="Times New Roman"/>
          <w:sz w:val="24"/>
          <w:szCs w:val="24"/>
        </w:rPr>
      </w:pPr>
      <w:r>
        <w:rPr>
          <w:rFonts w:ascii="Times New Roman" w:hAnsi="Times New Roman"/>
          <w:sz w:val="24"/>
          <w:szCs w:val="24"/>
        </w:rPr>
        <w:t xml:space="preserve">Организация участия представителей Томской области по продвижению экспортного потенциала, товаров и услуг на внешних рынках в более 14 международных выставках и в 15 зарубежных бизнес-миссиях. </w:t>
      </w:r>
    </w:p>
    <w:p w:rsidR="007E27CB" w:rsidRDefault="008F141F">
      <w:pPr>
        <w:pStyle w:val="a6"/>
        <w:numPr>
          <w:ilvl w:val="0"/>
          <w:numId w:val="263"/>
        </w:numPr>
        <w:tabs>
          <w:tab w:val="left" w:pos="284"/>
          <w:tab w:val="left" w:pos="851"/>
        </w:tabs>
        <w:spacing w:after="0" w:line="240" w:lineRule="auto"/>
        <w:ind w:left="0" w:firstLine="0"/>
        <w:jc w:val="both"/>
        <w:rPr>
          <w:rFonts w:ascii="Times New Roman" w:hAnsi="Times New Roman"/>
          <w:sz w:val="24"/>
          <w:szCs w:val="24"/>
        </w:rPr>
      </w:pPr>
      <w:r>
        <w:rPr>
          <w:rFonts w:ascii="Times New Roman" w:hAnsi="Times New Roman"/>
          <w:sz w:val="24"/>
          <w:szCs w:val="24"/>
        </w:rPr>
        <w:t xml:space="preserve">Информирование участников экспортной деятельности о существующих инструментах поддержки экспорта, а также обеспечение создания и развития механизмов популяризации экспортной деятельности (комплексное информационное продвижение отдельных инструментов поддержки, мероприятий и популяризация экспорта в Томской области). </w:t>
      </w:r>
    </w:p>
    <w:p w:rsidR="007E27CB" w:rsidRDefault="008F141F">
      <w:pPr>
        <w:pStyle w:val="a6"/>
        <w:numPr>
          <w:ilvl w:val="0"/>
          <w:numId w:val="263"/>
        </w:numPr>
        <w:tabs>
          <w:tab w:val="left" w:pos="284"/>
          <w:tab w:val="left" w:pos="851"/>
        </w:tabs>
        <w:spacing w:after="0" w:line="240" w:lineRule="auto"/>
        <w:ind w:left="0" w:firstLine="0"/>
        <w:jc w:val="both"/>
        <w:rPr>
          <w:rFonts w:ascii="Times New Roman" w:hAnsi="Times New Roman"/>
          <w:sz w:val="24"/>
          <w:szCs w:val="24"/>
        </w:rPr>
      </w:pPr>
      <w:r>
        <w:rPr>
          <w:rFonts w:ascii="Times New Roman" w:hAnsi="Times New Roman"/>
          <w:sz w:val="24"/>
          <w:szCs w:val="24"/>
        </w:rPr>
        <w:t>Проведение конгрессно-форумных мероприятий по тематике экспортной деятельности и привлечение внешней экспертизы с целью поддержки и продвижения экспорта Томской области, в том числе организация семинаров с привлечением ведущих российских и зарубежных экспертов по отдельным вопросам экспортной деятельности.</w:t>
      </w:r>
    </w:p>
    <w:p w:rsidR="007E27CB" w:rsidRDefault="008F141F">
      <w:pPr>
        <w:tabs>
          <w:tab w:val="left" w:pos="426"/>
        </w:tabs>
        <w:spacing w:after="0" w:line="240" w:lineRule="auto"/>
        <w:ind w:firstLine="567"/>
        <w:jc w:val="both"/>
        <w:rPr>
          <w:i/>
          <w:sz w:val="24"/>
          <w:szCs w:val="24"/>
        </w:rPr>
      </w:pPr>
      <w:r>
        <w:rPr>
          <w:rFonts w:eastAsia="Times New Roman"/>
          <w:i/>
          <w:sz w:val="24"/>
          <w:szCs w:val="24"/>
          <w:lang w:eastAsia="ru-RU"/>
        </w:rPr>
        <w:t xml:space="preserve">Региональный проект </w:t>
      </w:r>
      <w:r>
        <w:rPr>
          <w:i/>
          <w:sz w:val="24"/>
          <w:szCs w:val="24"/>
        </w:rPr>
        <w:t>«Промышленный экспорт»:</w:t>
      </w:r>
    </w:p>
    <w:p w:rsidR="007E27CB" w:rsidRDefault="008F141F">
      <w:pPr>
        <w:pStyle w:val="a6"/>
        <w:numPr>
          <w:ilvl w:val="0"/>
          <w:numId w:val="264"/>
        </w:numPr>
        <w:tabs>
          <w:tab w:val="left" w:pos="284"/>
          <w:tab w:val="left" w:pos="851"/>
        </w:tabs>
        <w:spacing w:after="0" w:line="240" w:lineRule="auto"/>
        <w:ind w:left="0" w:firstLine="0"/>
        <w:jc w:val="both"/>
        <w:rPr>
          <w:rFonts w:ascii="Times New Roman" w:hAnsi="Times New Roman"/>
          <w:sz w:val="24"/>
          <w:szCs w:val="24"/>
        </w:rPr>
      </w:pPr>
      <w:r>
        <w:rPr>
          <w:rFonts w:ascii="Times New Roman" w:hAnsi="Times New Roman"/>
          <w:sz w:val="24"/>
          <w:szCs w:val="24"/>
        </w:rPr>
        <w:t>Реализация инвестиционных проектов по организации экспортно ориентированных производств, в рамках реализации корпоративных программ повышения конкурентоспособности (на сумму 518,7 млн. рублей за счет собственных и заемных средств).</w:t>
      </w:r>
    </w:p>
    <w:p w:rsidR="007E27CB" w:rsidRDefault="008F141F">
      <w:pPr>
        <w:pStyle w:val="a6"/>
        <w:numPr>
          <w:ilvl w:val="0"/>
          <w:numId w:val="264"/>
        </w:numPr>
        <w:tabs>
          <w:tab w:val="left" w:pos="284"/>
          <w:tab w:val="left" w:pos="851"/>
        </w:tabs>
        <w:spacing w:after="0" w:line="240" w:lineRule="auto"/>
        <w:ind w:left="0" w:firstLine="0"/>
        <w:jc w:val="both"/>
        <w:rPr>
          <w:rFonts w:ascii="Times New Roman" w:hAnsi="Times New Roman"/>
          <w:sz w:val="24"/>
          <w:szCs w:val="24"/>
        </w:rPr>
      </w:pPr>
      <w:r>
        <w:rPr>
          <w:rFonts w:ascii="Times New Roman" w:hAnsi="Times New Roman"/>
          <w:sz w:val="24"/>
          <w:szCs w:val="24"/>
        </w:rPr>
        <w:t>Развитие многофункциональной цифровой платформы государственной информационной системы промышленности как основного инструмента вовлечения предприятий в реализацию национальных проектов через эффективное цифровое взаимодействие.</w:t>
      </w:r>
    </w:p>
    <w:p w:rsidR="007E27CB" w:rsidRDefault="008F141F">
      <w:pPr>
        <w:pStyle w:val="a6"/>
        <w:numPr>
          <w:ilvl w:val="0"/>
          <w:numId w:val="264"/>
        </w:numPr>
        <w:tabs>
          <w:tab w:val="left" w:pos="284"/>
          <w:tab w:val="left" w:pos="851"/>
        </w:tabs>
        <w:spacing w:after="0" w:line="240" w:lineRule="auto"/>
        <w:ind w:left="0" w:firstLine="0"/>
        <w:jc w:val="both"/>
        <w:rPr>
          <w:rFonts w:ascii="Times New Roman" w:hAnsi="Times New Roman"/>
          <w:sz w:val="24"/>
          <w:szCs w:val="24"/>
        </w:rPr>
      </w:pPr>
      <w:r>
        <w:rPr>
          <w:rFonts w:ascii="Times New Roman" w:hAnsi="Times New Roman"/>
          <w:sz w:val="24"/>
          <w:szCs w:val="24"/>
        </w:rPr>
        <w:t>Вовлечение промышленных предприятий, в том числе предприятий оборонно-промышленного комплекса, в систему государственных и муниципальных закупок.</w:t>
      </w:r>
    </w:p>
    <w:p w:rsidR="007E27CB" w:rsidRDefault="008F141F">
      <w:pPr>
        <w:tabs>
          <w:tab w:val="left" w:pos="426"/>
        </w:tabs>
        <w:spacing w:after="0" w:line="240" w:lineRule="auto"/>
        <w:ind w:firstLine="567"/>
        <w:jc w:val="both"/>
        <w:rPr>
          <w:i/>
          <w:sz w:val="24"/>
          <w:szCs w:val="24"/>
        </w:rPr>
      </w:pPr>
      <w:r>
        <w:rPr>
          <w:rFonts w:eastAsia="Times New Roman"/>
          <w:i/>
          <w:sz w:val="24"/>
          <w:szCs w:val="24"/>
          <w:lang w:eastAsia="ru-RU"/>
        </w:rPr>
        <w:t xml:space="preserve">Региональный проект </w:t>
      </w:r>
      <w:r>
        <w:rPr>
          <w:i/>
          <w:sz w:val="24"/>
          <w:szCs w:val="24"/>
        </w:rPr>
        <w:t>«Экспорт продукции АПК»:</w:t>
      </w:r>
    </w:p>
    <w:p w:rsidR="007E27CB" w:rsidRDefault="008F141F">
      <w:pPr>
        <w:pStyle w:val="a6"/>
        <w:numPr>
          <w:ilvl w:val="0"/>
          <w:numId w:val="265"/>
        </w:numPr>
        <w:tabs>
          <w:tab w:val="left" w:pos="284"/>
          <w:tab w:val="left" w:pos="851"/>
        </w:tabs>
        <w:spacing w:after="0" w:line="240" w:lineRule="auto"/>
        <w:ind w:left="0" w:firstLine="0"/>
        <w:jc w:val="both"/>
        <w:rPr>
          <w:rFonts w:ascii="Times New Roman" w:hAnsi="Times New Roman"/>
          <w:sz w:val="24"/>
          <w:szCs w:val="24"/>
        </w:rPr>
      </w:pPr>
      <w:r>
        <w:rPr>
          <w:rFonts w:ascii="Times New Roman" w:hAnsi="Times New Roman"/>
          <w:sz w:val="24"/>
          <w:szCs w:val="24"/>
        </w:rPr>
        <w:t>Реализация комплексных мероприятий по профилактике на территории Томской области: ящура, африканской чумы свиней, гриппа птиц.</w:t>
      </w:r>
    </w:p>
    <w:p w:rsidR="007E27CB" w:rsidRDefault="008F141F">
      <w:pPr>
        <w:pStyle w:val="a6"/>
        <w:numPr>
          <w:ilvl w:val="0"/>
          <w:numId w:val="265"/>
        </w:numPr>
        <w:tabs>
          <w:tab w:val="left" w:pos="284"/>
          <w:tab w:val="left" w:pos="851"/>
        </w:tabs>
        <w:spacing w:after="0" w:line="240" w:lineRule="auto"/>
        <w:ind w:left="0" w:firstLine="0"/>
        <w:jc w:val="both"/>
        <w:rPr>
          <w:rFonts w:ascii="Times New Roman" w:hAnsi="Times New Roman"/>
          <w:sz w:val="24"/>
          <w:szCs w:val="24"/>
        </w:rPr>
      </w:pPr>
      <w:r>
        <w:rPr>
          <w:rFonts w:ascii="Times New Roman" w:hAnsi="Times New Roman"/>
          <w:sz w:val="24"/>
          <w:szCs w:val="24"/>
        </w:rPr>
        <w:t>Расширение участия предприятий-экспортеров в международных выставках, миссиях, форумах.</w:t>
      </w:r>
    </w:p>
    <w:p w:rsidR="007E27CB" w:rsidRDefault="008F141F">
      <w:pPr>
        <w:pStyle w:val="a6"/>
        <w:numPr>
          <w:ilvl w:val="0"/>
          <w:numId w:val="265"/>
        </w:numPr>
        <w:tabs>
          <w:tab w:val="left" w:pos="284"/>
          <w:tab w:val="left" w:pos="851"/>
          <w:tab w:val="left" w:pos="1134"/>
        </w:tabs>
        <w:spacing w:after="0" w:line="240" w:lineRule="auto"/>
        <w:ind w:left="0" w:firstLine="0"/>
        <w:jc w:val="both"/>
        <w:rPr>
          <w:rFonts w:ascii="Times New Roman" w:hAnsi="Times New Roman"/>
          <w:sz w:val="24"/>
          <w:szCs w:val="24"/>
        </w:rPr>
      </w:pPr>
      <w:r>
        <w:rPr>
          <w:rFonts w:ascii="Times New Roman" w:hAnsi="Times New Roman"/>
          <w:sz w:val="24"/>
          <w:szCs w:val="24"/>
        </w:rPr>
        <w:t>Заключение 2 соглашений с Минсельхозом России о повышении конкурентоспособности сельскохозяйственных товаропроизводителей (АО «Сибирская аграрная группа», ООО «Сибирская Олива»), направленной на увеличение объемов продукции агропромышленного комплекса.</w:t>
      </w:r>
    </w:p>
    <w:p w:rsidR="007E27CB" w:rsidRDefault="008F141F">
      <w:pPr>
        <w:tabs>
          <w:tab w:val="left" w:pos="426"/>
        </w:tabs>
        <w:spacing w:after="0" w:line="240" w:lineRule="auto"/>
        <w:ind w:firstLine="567"/>
        <w:jc w:val="both"/>
        <w:rPr>
          <w:i/>
          <w:sz w:val="24"/>
          <w:szCs w:val="24"/>
        </w:rPr>
      </w:pPr>
      <w:r>
        <w:rPr>
          <w:rFonts w:eastAsia="Times New Roman"/>
          <w:i/>
          <w:sz w:val="24"/>
          <w:szCs w:val="24"/>
          <w:lang w:eastAsia="ru-RU"/>
        </w:rPr>
        <w:t xml:space="preserve">Региональный проект </w:t>
      </w:r>
      <w:r>
        <w:rPr>
          <w:i/>
          <w:sz w:val="24"/>
          <w:szCs w:val="24"/>
        </w:rPr>
        <w:t>«Экспорт услуг»:</w:t>
      </w:r>
    </w:p>
    <w:p w:rsidR="007E27CB" w:rsidRDefault="008F141F">
      <w:pPr>
        <w:pStyle w:val="a6"/>
        <w:numPr>
          <w:ilvl w:val="0"/>
          <w:numId w:val="266"/>
        </w:numPr>
        <w:tabs>
          <w:tab w:val="left" w:pos="284"/>
          <w:tab w:val="left" w:pos="851"/>
        </w:tabs>
        <w:spacing w:after="0" w:line="240" w:lineRule="auto"/>
        <w:ind w:left="0" w:firstLine="0"/>
        <w:jc w:val="both"/>
        <w:rPr>
          <w:rFonts w:ascii="Times New Roman" w:hAnsi="Times New Roman"/>
          <w:b/>
          <w:sz w:val="24"/>
          <w:szCs w:val="24"/>
        </w:rPr>
      </w:pPr>
      <w:r>
        <w:rPr>
          <w:rFonts w:ascii="Times New Roman" w:hAnsi="Times New Roman"/>
          <w:sz w:val="24"/>
          <w:szCs w:val="24"/>
        </w:rPr>
        <w:t>Обеспечение участия Томской области в международных выставках (за рубежом и на территории Российской Федерации) в рамках индивидуальных либо коллективных стендов с целью продвижения туристического потенциала региона.</w:t>
      </w:r>
    </w:p>
    <w:p w:rsidR="007E27CB" w:rsidRDefault="008F141F">
      <w:pPr>
        <w:pStyle w:val="a6"/>
        <w:numPr>
          <w:ilvl w:val="0"/>
          <w:numId w:val="266"/>
        </w:numPr>
        <w:tabs>
          <w:tab w:val="left" w:pos="284"/>
          <w:tab w:val="left" w:pos="851"/>
        </w:tabs>
        <w:spacing w:after="0" w:line="240" w:lineRule="auto"/>
        <w:ind w:left="0" w:firstLine="0"/>
        <w:jc w:val="both"/>
        <w:rPr>
          <w:rFonts w:ascii="Times New Roman" w:hAnsi="Times New Roman"/>
          <w:sz w:val="24"/>
          <w:szCs w:val="24"/>
        </w:rPr>
      </w:pPr>
      <w:r>
        <w:rPr>
          <w:rFonts w:ascii="Times New Roman" w:hAnsi="Times New Roman"/>
          <w:sz w:val="24"/>
          <w:szCs w:val="24"/>
        </w:rPr>
        <w:t>Создание лендинг-сайта для продвижения информации о туристическом потенциале региона для привлечения иностранных туристов.</w:t>
      </w:r>
    </w:p>
    <w:p w:rsidR="007E27CB" w:rsidRDefault="008F141F">
      <w:r>
        <w:br w:type="page"/>
      </w:r>
    </w:p>
    <w:tbl>
      <w:tblPr>
        <w:tblW w:w="11058" w:type="dxa"/>
        <w:tblInd w:w="-885" w:type="dxa"/>
        <w:tblLayout w:type="fixed"/>
        <w:tblLook w:val="04A0" w:firstRow="1" w:lastRow="0" w:firstColumn="1" w:lastColumn="0" w:noHBand="0" w:noVBand="1"/>
      </w:tblPr>
      <w:tblGrid>
        <w:gridCol w:w="567"/>
        <w:gridCol w:w="3410"/>
        <w:gridCol w:w="1836"/>
        <w:gridCol w:w="1843"/>
        <w:gridCol w:w="1842"/>
        <w:gridCol w:w="1560"/>
      </w:tblGrid>
      <w:tr w:rsidR="007E27CB">
        <w:trPr>
          <w:trHeight w:val="1380"/>
        </w:trPr>
        <w:tc>
          <w:tcPr>
            <w:tcW w:w="11058" w:type="dxa"/>
            <w:gridSpan w:val="6"/>
            <w:tcBorders>
              <w:top w:val="nil"/>
              <w:left w:val="nil"/>
              <w:bottom w:val="nil"/>
              <w:right w:val="nil"/>
            </w:tcBorders>
            <w:shd w:val="clear" w:color="auto" w:fill="auto"/>
            <w:vAlign w:val="center"/>
            <w:hideMark/>
          </w:tcPr>
          <w:p w:rsidR="007E27CB" w:rsidRDefault="008F141F">
            <w:pPr>
              <w:tabs>
                <w:tab w:val="left" w:pos="4962"/>
              </w:tabs>
              <w:spacing w:after="0" w:line="240" w:lineRule="auto"/>
              <w:jc w:val="center"/>
              <w:rPr>
                <w:rFonts w:eastAsia="Times New Roman"/>
                <w:b/>
                <w:bCs/>
                <w:color w:val="000000"/>
                <w:sz w:val="24"/>
                <w:szCs w:val="24"/>
                <w:lang w:eastAsia="ru-RU"/>
              </w:rPr>
            </w:pPr>
            <w:r>
              <w:rPr>
                <w:rFonts w:eastAsia="Calibri"/>
                <w:b/>
                <w:sz w:val="24"/>
                <w:szCs w:val="24"/>
              </w:rPr>
              <w:t xml:space="preserve">Приложение № 6. </w:t>
            </w:r>
            <w:r>
              <w:rPr>
                <w:rFonts w:eastAsia="Times New Roman"/>
                <w:b/>
                <w:bCs/>
                <w:color w:val="000000"/>
                <w:sz w:val="24"/>
                <w:szCs w:val="24"/>
                <w:lang w:eastAsia="ru-RU"/>
              </w:rPr>
              <w:t>Информация об исполнении консолидированных бюджетов муниципальных образований Томской области за 2019 год (на 1 января 2020 года)</w:t>
            </w:r>
          </w:p>
        </w:tc>
      </w:tr>
      <w:tr w:rsidR="007E27CB">
        <w:trPr>
          <w:trHeight w:val="330"/>
        </w:trPr>
        <w:tc>
          <w:tcPr>
            <w:tcW w:w="567" w:type="dxa"/>
            <w:tcBorders>
              <w:top w:val="nil"/>
              <w:left w:val="nil"/>
              <w:bottom w:val="nil"/>
              <w:right w:val="nil"/>
            </w:tcBorders>
            <w:shd w:val="clear" w:color="auto" w:fill="auto"/>
            <w:noWrap/>
            <w:vAlign w:val="center"/>
            <w:hideMark/>
          </w:tcPr>
          <w:p w:rsidR="007E27CB" w:rsidRDefault="007E27CB">
            <w:pPr>
              <w:tabs>
                <w:tab w:val="left" w:pos="4962"/>
              </w:tabs>
              <w:spacing w:after="0" w:line="240" w:lineRule="auto"/>
              <w:rPr>
                <w:rFonts w:eastAsia="Times New Roman"/>
                <w:color w:val="000000"/>
                <w:sz w:val="24"/>
                <w:szCs w:val="24"/>
                <w:lang w:eastAsia="ru-RU"/>
              </w:rPr>
            </w:pPr>
          </w:p>
        </w:tc>
        <w:tc>
          <w:tcPr>
            <w:tcW w:w="3410" w:type="dxa"/>
            <w:tcBorders>
              <w:top w:val="nil"/>
              <w:left w:val="nil"/>
              <w:bottom w:val="nil"/>
              <w:right w:val="nil"/>
            </w:tcBorders>
            <w:shd w:val="clear" w:color="auto" w:fill="auto"/>
            <w:noWrap/>
            <w:vAlign w:val="center"/>
            <w:hideMark/>
          </w:tcPr>
          <w:p w:rsidR="007E27CB" w:rsidRDefault="007E27CB">
            <w:pPr>
              <w:tabs>
                <w:tab w:val="left" w:pos="4962"/>
              </w:tabs>
              <w:spacing w:after="0" w:line="240" w:lineRule="auto"/>
              <w:rPr>
                <w:rFonts w:eastAsia="Times New Roman"/>
                <w:color w:val="000000"/>
                <w:sz w:val="24"/>
                <w:szCs w:val="24"/>
                <w:lang w:eastAsia="ru-RU"/>
              </w:rPr>
            </w:pPr>
          </w:p>
        </w:tc>
        <w:tc>
          <w:tcPr>
            <w:tcW w:w="1836" w:type="dxa"/>
            <w:tcBorders>
              <w:top w:val="nil"/>
              <w:left w:val="nil"/>
              <w:bottom w:val="nil"/>
              <w:right w:val="nil"/>
            </w:tcBorders>
            <w:shd w:val="clear" w:color="auto" w:fill="auto"/>
            <w:noWrap/>
            <w:vAlign w:val="center"/>
            <w:hideMark/>
          </w:tcPr>
          <w:p w:rsidR="007E27CB" w:rsidRDefault="007E27CB">
            <w:pPr>
              <w:tabs>
                <w:tab w:val="left" w:pos="4962"/>
              </w:tabs>
              <w:spacing w:after="0" w:line="240" w:lineRule="auto"/>
              <w:rPr>
                <w:rFonts w:eastAsia="Times New Roman"/>
                <w:color w:val="000000"/>
                <w:sz w:val="24"/>
                <w:szCs w:val="24"/>
                <w:lang w:eastAsia="ru-RU"/>
              </w:rPr>
            </w:pPr>
          </w:p>
        </w:tc>
        <w:tc>
          <w:tcPr>
            <w:tcW w:w="1843" w:type="dxa"/>
            <w:tcBorders>
              <w:top w:val="nil"/>
              <w:left w:val="nil"/>
              <w:bottom w:val="nil"/>
              <w:right w:val="nil"/>
            </w:tcBorders>
            <w:shd w:val="clear" w:color="auto" w:fill="auto"/>
            <w:noWrap/>
            <w:vAlign w:val="center"/>
            <w:hideMark/>
          </w:tcPr>
          <w:p w:rsidR="007E27CB" w:rsidRDefault="007E27CB">
            <w:pPr>
              <w:tabs>
                <w:tab w:val="left" w:pos="4962"/>
              </w:tabs>
              <w:spacing w:after="0" w:line="240" w:lineRule="auto"/>
              <w:rPr>
                <w:rFonts w:eastAsia="Times New Roman"/>
                <w:color w:val="000000"/>
                <w:sz w:val="24"/>
                <w:szCs w:val="24"/>
                <w:lang w:eastAsia="ru-RU"/>
              </w:rPr>
            </w:pPr>
          </w:p>
        </w:tc>
        <w:tc>
          <w:tcPr>
            <w:tcW w:w="1842" w:type="dxa"/>
            <w:tcBorders>
              <w:top w:val="nil"/>
              <w:left w:val="nil"/>
              <w:bottom w:val="nil"/>
              <w:right w:val="nil"/>
            </w:tcBorders>
            <w:shd w:val="clear" w:color="auto" w:fill="auto"/>
            <w:noWrap/>
            <w:vAlign w:val="center"/>
            <w:hideMark/>
          </w:tcPr>
          <w:p w:rsidR="007E27CB" w:rsidRDefault="007E27CB">
            <w:pPr>
              <w:tabs>
                <w:tab w:val="left" w:pos="4962"/>
              </w:tabs>
              <w:spacing w:after="0" w:line="240" w:lineRule="auto"/>
              <w:rPr>
                <w:rFonts w:eastAsia="Times New Roman"/>
                <w:color w:val="000000"/>
                <w:sz w:val="24"/>
                <w:szCs w:val="24"/>
                <w:lang w:eastAsia="ru-RU"/>
              </w:rPr>
            </w:pPr>
          </w:p>
        </w:tc>
        <w:tc>
          <w:tcPr>
            <w:tcW w:w="1560" w:type="dxa"/>
            <w:tcBorders>
              <w:top w:val="nil"/>
              <w:left w:val="nil"/>
              <w:bottom w:val="nil"/>
              <w:right w:val="nil"/>
            </w:tcBorders>
            <w:shd w:val="clear" w:color="auto" w:fill="auto"/>
            <w:noWrap/>
            <w:vAlign w:val="center"/>
            <w:hideMark/>
          </w:tcPr>
          <w:p w:rsidR="007E27CB" w:rsidRDefault="008F141F">
            <w:pPr>
              <w:tabs>
                <w:tab w:val="left" w:pos="4962"/>
              </w:tabs>
              <w:spacing w:after="0" w:line="240" w:lineRule="auto"/>
              <w:rPr>
                <w:rFonts w:eastAsia="Times New Roman"/>
                <w:color w:val="000000"/>
                <w:sz w:val="24"/>
                <w:szCs w:val="24"/>
                <w:lang w:eastAsia="ru-RU"/>
              </w:rPr>
            </w:pPr>
            <w:r>
              <w:rPr>
                <w:rFonts w:eastAsia="Times New Roman"/>
                <w:color w:val="000000"/>
                <w:sz w:val="24"/>
                <w:szCs w:val="24"/>
                <w:lang w:eastAsia="ru-RU"/>
              </w:rPr>
              <w:t>тыс. рублей</w:t>
            </w:r>
          </w:p>
        </w:tc>
      </w:tr>
      <w:tr w:rsidR="007E27CB">
        <w:trPr>
          <w:trHeight w:val="615"/>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27CB" w:rsidRDefault="008F141F">
            <w:pPr>
              <w:tabs>
                <w:tab w:val="left" w:pos="4962"/>
              </w:tabs>
              <w:spacing w:after="0" w:line="240" w:lineRule="auto"/>
              <w:rPr>
                <w:rFonts w:eastAsia="Times New Roman"/>
                <w:color w:val="000000"/>
                <w:sz w:val="24"/>
                <w:szCs w:val="24"/>
                <w:lang w:eastAsia="ru-RU"/>
              </w:rPr>
            </w:pPr>
            <w:r>
              <w:rPr>
                <w:rFonts w:eastAsia="Times New Roman"/>
                <w:color w:val="000000"/>
                <w:sz w:val="24"/>
                <w:szCs w:val="24"/>
                <w:lang w:eastAsia="ru-RU"/>
              </w:rPr>
              <w:t>№ п/п</w:t>
            </w:r>
          </w:p>
        </w:tc>
        <w:tc>
          <w:tcPr>
            <w:tcW w:w="3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Наименование муниципального образования</w:t>
            </w:r>
          </w:p>
        </w:tc>
        <w:tc>
          <w:tcPr>
            <w:tcW w:w="3679" w:type="dxa"/>
            <w:gridSpan w:val="2"/>
            <w:tcBorders>
              <w:top w:val="single" w:sz="4" w:space="0" w:color="auto"/>
              <w:left w:val="nil"/>
              <w:bottom w:val="single" w:sz="4" w:space="0" w:color="auto"/>
              <w:right w:val="single" w:sz="4" w:space="0" w:color="auto"/>
            </w:tcBorders>
            <w:shd w:val="clear" w:color="auto" w:fill="auto"/>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Доходы исполнено за 2019 год</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Расходы исполнено за 2019 год</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Дефицит (-), Профицит (+) исполнено</w:t>
            </w:r>
          </w:p>
        </w:tc>
      </w:tr>
      <w:tr w:rsidR="007E27CB">
        <w:trPr>
          <w:trHeight w:val="114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27CB" w:rsidRDefault="007E27CB">
            <w:pPr>
              <w:tabs>
                <w:tab w:val="left" w:pos="4962"/>
              </w:tabs>
              <w:spacing w:after="0" w:line="240" w:lineRule="auto"/>
              <w:rPr>
                <w:rFonts w:eastAsia="Times New Roman"/>
                <w:color w:val="000000"/>
                <w:sz w:val="24"/>
                <w:szCs w:val="24"/>
                <w:lang w:eastAsia="ru-RU"/>
              </w:rPr>
            </w:pPr>
          </w:p>
        </w:tc>
        <w:tc>
          <w:tcPr>
            <w:tcW w:w="3410" w:type="dxa"/>
            <w:vMerge/>
            <w:tcBorders>
              <w:top w:val="single" w:sz="4" w:space="0" w:color="auto"/>
              <w:left w:val="single" w:sz="4" w:space="0" w:color="auto"/>
              <w:bottom w:val="single" w:sz="4" w:space="0" w:color="auto"/>
              <w:right w:val="single" w:sz="4" w:space="0" w:color="auto"/>
            </w:tcBorders>
            <w:vAlign w:val="center"/>
            <w:hideMark/>
          </w:tcPr>
          <w:p w:rsidR="007E27CB" w:rsidRDefault="007E27CB">
            <w:pPr>
              <w:tabs>
                <w:tab w:val="left" w:pos="4962"/>
              </w:tabs>
              <w:spacing w:after="0" w:line="240" w:lineRule="auto"/>
              <w:rPr>
                <w:rFonts w:eastAsia="Times New Roman"/>
                <w:color w:val="000000"/>
                <w:sz w:val="24"/>
                <w:szCs w:val="24"/>
                <w:lang w:eastAsia="ru-RU"/>
              </w:rPr>
            </w:pPr>
          </w:p>
        </w:tc>
        <w:tc>
          <w:tcPr>
            <w:tcW w:w="1836" w:type="dxa"/>
            <w:tcBorders>
              <w:top w:val="nil"/>
              <w:left w:val="nil"/>
              <w:bottom w:val="single" w:sz="4" w:space="0" w:color="auto"/>
              <w:right w:val="single" w:sz="4" w:space="0" w:color="auto"/>
            </w:tcBorders>
            <w:shd w:val="clear" w:color="auto" w:fill="auto"/>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Всего</w:t>
            </w:r>
          </w:p>
        </w:tc>
        <w:tc>
          <w:tcPr>
            <w:tcW w:w="1843" w:type="dxa"/>
            <w:tcBorders>
              <w:top w:val="nil"/>
              <w:left w:val="nil"/>
              <w:bottom w:val="single" w:sz="4" w:space="0" w:color="auto"/>
              <w:right w:val="single" w:sz="4" w:space="0" w:color="auto"/>
            </w:tcBorders>
            <w:shd w:val="clear" w:color="auto" w:fill="auto"/>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в т.ч. налоговые и неналоговые доходы</w:t>
            </w: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7E27CB" w:rsidRDefault="007E27CB">
            <w:pPr>
              <w:tabs>
                <w:tab w:val="left" w:pos="4962"/>
              </w:tabs>
              <w:spacing w:after="0" w:line="240" w:lineRule="auto"/>
              <w:rPr>
                <w:rFonts w:eastAsia="Times New Roman"/>
                <w:color w:val="000000"/>
                <w:sz w:val="24"/>
                <w:szCs w:val="24"/>
                <w:lang w:eastAsia="ru-RU"/>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7E27CB" w:rsidRDefault="007E27CB">
            <w:pPr>
              <w:tabs>
                <w:tab w:val="left" w:pos="4962"/>
              </w:tabs>
              <w:spacing w:after="0" w:line="240" w:lineRule="auto"/>
              <w:rPr>
                <w:rFonts w:eastAsia="Times New Roman"/>
                <w:color w:val="000000"/>
                <w:sz w:val="24"/>
                <w:szCs w:val="24"/>
                <w:lang w:eastAsia="ru-RU"/>
              </w:rPr>
            </w:pPr>
          </w:p>
        </w:tc>
      </w:tr>
      <w:tr w:rsidR="007E27CB">
        <w:trPr>
          <w:trHeight w:val="58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rPr>
                <w:rFonts w:eastAsia="Times New Roman"/>
                <w:color w:val="000000"/>
                <w:sz w:val="24"/>
                <w:szCs w:val="24"/>
                <w:lang w:eastAsia="ru-RU"/>
              </w:rPr>
            </w:pPr>
            <w:r>
              <w:rPr>
                <w:rFonts w:eastAsia="Times New Roman"/>
                <w:color w:val="000000"/>
                <w:sz w:val="24"/>
                <w:szCs w:val="24"/>
                <w:lang w:eastAsia="ru-RU"/>
              </w:rPr>
              <w:t>1.</w:t>
            </w:r>
          </w:p>
        </w:tc>
        <w:tc>
          <w:tcPr>
            <w:tcW w:w="3410"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rPr>
                <w:rFonts w:eastAsia="Times New Roman"/>
                <w:color w:val="000000"/>
                <w:sz w:val="24"/>
                <w:szCs w:val="24"/>
                <w:lang w:eastAsia="ru-RU"/>
              </w:rPr>
            </w:pPr>
            <w:r>
              <w:rPr>
                <w:rFonts w:eastAsia="Times New Roman"/>
                <w:color w:val="000000"/>
                <w:sz w:val="24"/>
                <w:szCs w:val="24"/>
                <w:lang w:eastAsia="ru-RU"/>
              </w:rPr>
              <w:t>МО «Александровский район»</w:t>
            </w:r>
          </w:p>
        </w:tc>
        <w:tc>
          <w:tcPr>
            <w:tcW w:w="1836"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754 633,17</w:t>
            </w:r>
          </w:p>
        </w:tc>
        <w:tc>
          <w:tcPr>
            <w:tcW w:w="1843"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225 142,62</w:t>
            </w:r>
          </w:p>
        </w:tc>
        <w:tc>
          <w:tcPr>
            <w:tcW w:w="1842"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767 261,98</w:t>
            </w:r>
          </w:p>
        </w:tc>
        <w:tc>
          <w:tcPr>
            <w:tcW w:w="1560"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-12 628,81</w:t>
            </w:r>
          </w:p>
        </w:tc>
      </w:tr>
      <w:tr w:rsidR="007E27CB">
        <w:trPr>
          <w:trHeight w:val="58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rPr>
                <w:rFonts w:eastAsia="Times New Roman"/>
                <w:color w:val="000000"/>
                <w:sz w:val="24"/>
                <w:szCs w:val="24"/>
                <w:lang w:eastAsia="ru-RU"/>
              </w:rPr>
            </w:pPr>
            <w:r>
              <w:rPr>
                <w:rFonts w:eastAsia="Times New Roman"/>
                <w:color w:val="000000"/>
                <w:sz w:val="24"/>
                <w:szCs w:val="24"/>
                <w:lang w:eastAsia="ru-RU"/>
              </w:rPr>
              <w:t>2.</w:t>
            </w:r>
          </w:p>
        </w:tc>
        <w:tc>
          <w:tcPr>
            <w:tcW w:w="3410"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rPr>
                <w:rFonts w:eastAsia="Times New Roman"/>
                <w:color w:val="000000"/>
                <w:sz w:val="24"/>
                <w:szCs w:val="24"/>
                <w:lang w:eastAsia="ru-RU"/>
              </w:rPr>
            </w:pPr>
            <w:r>
              <w:rPr>
                <w:rFonts w:eastAsia="Times New Roman"/>
                <w:color w:val="000000"/>
                <w:sz w:val="24"/>
                <w:szCs w:val="24"/>
                <w:lang w:eastAsia="ru-RU"/>
              </w:rPr>
              <w:t>МО «Асиновский район»</w:t>
            </w:r>
          </w:p>
        </w:tc>
        <w:tc>
          <w:tcPr>
            <w:tcW w:w="1836"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1 324 856,63</w:t>
            </w:r>
          </w:p>
        </w:tc>
        <w:tc>
          <w:tcPr>
            <w:tcW w:w="1843"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319 344,77</w:t>
            </w:r>
          </w:p>
        </w:tc>
        <w:tc>
          <w:tcPr>
            <w:tcW w:w="1842"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1 315 263,08</w:t>
            </w:r>
          </w:p>
        </w:tc>
        <w:tc>
          <w:tcPr>
            <w:tcW w:w="1560"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9 593,55</w:t>
            </w:r>
          </w:p>
        </w:tc>
      </w:tr>
      <w:tr w:rsidR="007E27CB">
        <w:trPr>
          <w:trHeight w:val="58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rPr>
                <w:rFonts w:eastAsia="Times New Roman"/>
                <w:color w:val="000000"/>
                <w:sz w:val="24"/>
                <w:szCs w:val="24"/>
                <w:lang w:eastAsia="ru-RU"/>
              </w:rPr>
            </w:pPr>
            <w:r>
              <w:rPr>
                <w:rFonts w:eastAsia="Times New Roman"/>
                <w:color w:val="000000"/>
                <w:sz w:val="24"/>
                <w:szCs w:val="24"/>
                <w:lang w:eastAsia="ru-RU"/>
              </w:rPr>
              <w:t>3.</w:t>
            </w:r>
          </w:p>
        </w:tc>
        <w:tc>
          <w:tcPr>
            <w:tcW w:w="3410"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rPr>
                <w:rFonts w:eastAsia="Times New Roman"/>
                <w:color w:val="000000"/>
                <w:sz w:val="24"/>
                <w:szCs w:val="24"/>
                <w:lang w:eastAsia="ru-RU"/>
              </w:rPr>
            </w:pPr>
            <w:r>
              <w:rPr>
                <w:rFonts w:eastAsia="Times New Roman"/>
                <w:color w:val="000000"/>
                <w:sz w:val="24"/>
                <w:szCs w:val="24"/>
                <w:lang w:eastAsia="ru-RU"/>
              </w:rPr>
              <w:t>МО «Бакчарский район»</w:t>
            </w:r>
          </w:p>
        </w:tc>
        <w:tc>
          <w:tcPr>
            <w:tcW w:w="1836"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725 421,36</w:t>
            </w:r>
          </w:p>
        </w:tc>
        <w:tc>
          <w:tcPr>
            <w:tcW w:w="1843"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66 035,39</w:t>
            </w:r>
          </w:p>
        </w:tc>
        <w:tc>
          <w:tcPr>
            <w:tcW w:w="1842"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730 466,96</w:t>
            </w:r>
          </w:p>
        </w:tc>
        <w:tc>
          <w:tcPr>
            <w:tcW w:w="1560"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-5 045,60</w:t>
            </w:r>
          </w:p>
        </w:tc>
      </w:tr>
      <w:tr w:rsidR="007E27CB">
        <w:trPr>
          <w:trHeight w:val="58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rPr>
                <w:rFonts w:eastAsia="Times New Roman"/>
                <w:color w:val="000000"/>
                <w:sz w:val="24"/>
                <w:szCs w:val="24"/>
                <w:lang w:eastAsia="ru-RU"/>
              </w:rPr>
            </w:pPr>
            <w:r>
              <w:rPr>
                <w:rFonts w:eastAsia="Times New Roman"/>
                <w:color w:val="000000"/>
                <w:sz w:val="24"/>
                <w:szCs w:val="24"/>
                <w:lang w:eastAsia="ru-RU"/>
              </w:rPr>
              <w:t>4.</w:t>
            </w:r>
          </w:p>
        </w:tc>
        <w:tc>
          <w:tcPr>
            <w:tcW w:w="3410"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rPr>
                <w:rFonts w:eastAsia="Times New Roman"/>
                <w:color w:val="000000"/>
                <w:sz w:val="24"/>
                <w:szCs w:val="24"/>
                <w:lang w:eastAsia="ru-RU"/>
              </w:rPr>
            </w:pPr>
            <w:r>
              <w:rPr>
                <w:rFonts w:eastAsia="Times New Roman"/>
                <w:color w:val="000000"/>
                <w:sz w:val="24"/>
                <w:szCs w:val="24"/>
                <w:lang w:eastAsia="ru-RU"/>
              </w:rPr>
              <w:t>МО «Верхнекетский район»</w:t>
            </w:r>
          </w:p>
        </w:tc>
        <w:tc>
          <w:tcPr>
            <w:tcW w:w="1836"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1 199 252,31</w:t>
            </w:r>
          </w:p>
        </w:tc>
        <w:tc>
          <w:tcPr>
            <w:tcW w:w="1843"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174 384,12</w:t>
            </w:r>
          </w:p>
        </w:tc>
        <w:tc>
          <w:tcPr>
            <w:tcW w:w="1842"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1 135 326,46</w:t>
            </w:r>
          </w:p>
        </w:tc>
        <w:tc>
          <w:tcPr>
            <w:tcW w:w="1560"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63 925,85</w:t>
            </w:r>
          </w:p>
        </w:tc>
      </w:tr>
      <w:tr w:rsidR="007E27CB">
        <w:trPr>
          <w:trHeight w:val="58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rPr>
                <w:rFonts w:eastAsia="Times New Roman"/>
                <w:color w:val="000000"/>
                <w:sz w:val="24"/>
                <w:szCs w:val="24"/>
                <w:lang w:eastAsia="ru-RU"/>
              </w:rPr>
            </w:pPr>
            <w:r>
              <w:rPr>
                <w:rFonts w:eastAsia="Times New Roman"/>
                <w:color w:val="000000"/>
                <w:sz w:val="24"/>
                <w:szCs w:val="24"/>
                <w:lang w:eastAsia="ru-RU"/>
              </w:rPr>
              <w:t>5.</w:t>
            </w:r>
          </w:p>
        </w:tc>
        <w:tc>
          <w:tcPr>
            <w:tcW w:w="3410"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rPr>
                <w:rFonts w:eastAsia="Times New Roman"/>
                <w:color w:val="000000"/>
                <w:sz w:val="24"/>
                <w:szCs w:val="24"/>
                <w:lang w:eastAsia="ru-RU"/>
              </w:rPr>
            </w:pPr>
            <w:r>
              <w:rPr>
                <w:rFonts w:eastAsia="Times New Roman"/>
                <w:color w:val="000000"/>
                <w:sz w:val="24"/>
                <w:szCs w:val="24"/>
                <w:lang w:eastAsia="ru-RU"/>
              </w:rPr>
              <w:t>МО «Зырянский район»</w:t>
            </w:r>
          </w:p>
        </w:tc>
        <w:tc>
          <w:tcPr>
            <w:tcW w:w="1836"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628 295,41</w:t>
            </w:r>
          </w:p>
        </w:tc>
        <w:tc>
          <w:tcPr>
            <w:tcW w:w="1843"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65 822,65</w:t>
            </w:r>
          </w:p>
        </w:tc>
        <w:tc>
          <w:tcPr>
            <w:tcW w:w="1842"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626 179,70</w:t>
            </w:r>
          </w:p>
        </w:tc>
        <w:tc>
          <w:tcPr>
            <w:tcW w:w="1560"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2 115,71</w:t>
            </w:r>
          </w:p>
        </w:tc>
      </w:tr>
      <w:tr w:rsidR="007E27CB">
        <w:trPr>
          <w:trHeight w:val="58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rPr>
                <w:rFonts w:eastAsia="Times New Roman"/>
                <w:color w:val="000000"/>
                <w:sz w:val="24"/>
                <w:szCs w:val="24"/>
                <w:lang w:eastAsia="ru-RU"/>
              </w:rPr>
            </w:pPr>
            <w:r>
              <w:rPr>
                <w:rFonts w:eastAsia="Times New Roman"/>
                <w:color w:val="000000"/>
                <w:sz w:val="24"/>
                <w:szCs w:val="24"/>
                <w:lang w:eastAsia="ru-RU"/>
              </w:rPr>
              <w:t>6.</w:t>
            </w:r>
          </w:p>
        </w:tc>
        <w:tc>
          <w:tcPr>
            <w:tcW w:w="3410"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rPr>
                <w:rFonts w:eastAsia="Times New Roman"/>
                <w:color w:val="000000"/>
                <w:sz w:val="24"/>
                <w:szCs w:val="24"/>
                <w:lang w:eastAsia="ru-RU"/>
              </w:rPr>
            </w:pPr>
            <w:r>
              <w:rPr>
                <w:rFonts w:eastAsia="Times New Roman"/>
                <w:color w:val="000000"/>
                <w:sz w:val="24"/>
                <w:szCs w:val="24"/>
                <w:lang w:eastAsia="ru-RU"/>
              </w:rPr>
              <w:t>МО «Каргасокский район»</w:t>
            </w:r>
          </w:p>
        </w:tc>
        <w:tc>
          <w:tcPr>
            <w:tcW w:w="1836"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1 473 211,54</w:t>
            </w:r>
          </w:p>
        </w:tc>
        <w:tc>
          <w:tcPr>
            <w:tcW w:w="1843"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381 673,42</w:t>
            </w:r>
          </w:p>
        </w:tc>
        <w:tc>
          <w:tcPr>
            <w:tcW w:w="1842"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1 493 774,44</w:t>
            </w:r>
          </w:p>
        </w:tc>
        <w:tc>
          <w:tcPr>
            <w:tcW w:w="1560"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-20 562,90</w:t>
            </w:r>
          </w:p>
        </w:tc>
      </w:tr>
      <w:tr w:rsidR="007E27CB">
        <w:trPr>
          <w:trHeight w:val="58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rPr>
                <w:rFonts w:eastAsia="Times New Roman"/>
                <w:color w:val="000000"/>
                <w:sz w:val="24"/>
                <w:szCs w:val="24"/>
                <w:lang w:eastAsia="ru-RU"/>
              </w:rPr>
            </w:pPr>
            <w:r>
              <w:rPr>
                <w:rFonts w:eastAsia="Times New Roman"/>
                <w:color w:val="000000"/>
                <w:sz w:val="24"/>
                <w:szCs w:val="24"/>
                <w:lang w:eastAsia="ru-RU"/>
              </w:rPr>
              <w:t>7.</w:t>
            </w:r>
          </w:p>
        </w:tc>
        <w:tc>
          <w:tcPr>
            <w:tcW w:w="3410"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rPr>
                <w:rFonts w:eastAsia="Times New Roman"/>
                <w:color w:val="000000"/>
                <w:sz w:val="24"/>
                <w:szCs w:val="24"/>
                <w:lang w:eastAsia="ru-RU"/>
              </w:rPr>
            </w:pPr>
            <w:r>
              <w:rPr>
                <w:rFonts w:eastAsia="Times New Roman"/>
                <w:color w:val="000000"/>
                <w:sz w:val="24"/>
                <w:szCs w:val="24"/>
                <w:lang w:eastAsia="ru-RU"/>
              </w:rPr>
              <w:t>МО «Кожевниковский район»</w:t>
            </w:r>
          </w:p>
        </w:tc>
        <w:tc>
          <w:tcPr>
            <w:tcW w:w="1836"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973 363,40</w:t>
            </w:r>
          </w:p>
        </w:tc>
        <w:tc>
          <w:tcPr>
            <w:tcW w:w="1843"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182 645,20</w:t>
            </w:r>
          </w:p>
        </w:tc>
        <w:tc>
          <w:tcPr>
            <w:tcW w:w="1842"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978 782,62</w:t>
            </w:r>
          </w:p>
        </w:tc>
        <w:tc>
          <w:tcPr>
            <w:tcW w:w="1560"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-5 419,22</w:t>
            </w:r>
          </w:p>
        </w:tc>
      </w:tr>
      <w:tr w:rsidR="007E27CB">
        <w:trPr>
          <w:trHeight w:val="58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rPr>
                <w:rFonts w:eastAsia="Times New Roman"/>
                <w:color w:val="000000"/>
                <w:sz w:val="24"/>
                <w:szCs w:val="24"/>
                <w:lang w:eastAsia="ru-RU"/>
              </w:rPr>
            </w:pPr>
            <w:r>
              <w:rPr>
                <w:rFonts w:eastAsia="Times New Roman"/>
                <w:color w:val="000000"/>
                <w:sz w:val="24"/>
                <w:szCs w:val="24"/>
                <w:lang w:eastAsia="ru-RU"/>
              </w:rPr>
              <w:t>8.</w:t>
            </w:r>
          </w:p>
        </w:tc>
        <w:tc>
          <w:tcPr>
            <w:tcW w:w="3410"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rPr>
                <w:rFonts w:eastAsia="Times New Roman"/>
                <w:color w:val="000000"/>
                <w:sz w:val="24"/>
                <w:szCs w:val="24"/>
                <w:lang w:eastAsia="ru-RU"/>
              </w:rPr>
            </w:pPr>
            <w:r>
              <w:rPr>
                <w:rFonts w:eastAsia="Times New Roman"/>
                <w:color w:val="000000"/>
                <w:sz w:val="24"/>
                <w:szCs w:val="24"/>
                <w:lang w:eastAsia="ru-RU"/>
              </w:rPr>
              <w:t>МО «Колпашевский район»</w:t>
            </w:r>
          </w:p>
        </w:tc>
        <w:tc>
          <w:tcPr>
            <w:tcW w:w="1836"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1 741 734,64</w:t>
            </w:r>
          </w:p>
        </w:tc>
        <w:tc>
          <w:tcPr>
            <w:tcW w:w="1843"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411 127,13</w:t>
            </w:r>
          </w:p>
        </w:tc>
        <w:tc>
          <w:tcPr>
            <w:tcW w:w="1842"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1 775 450,39</w:t>
            </w:r>
          </w:p>
        </w:tc>
        <w:tc>
          <w:tcPr>
            <w:tcW w:w="1560"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-33 715,75</w:t>
            </w:r>
          </w:p>
        </w:tc>
      </w:tr>
      <w:tr w:rsidR="007E27CB">
        <w:trPr>
          <w:trHeight w:val="58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rPr>
                <w:rFonts w:eastAsia="Times New Roman"/>
                <w:color w:val="000000"/>
                <w:sz w:val="24"/>
                <w:szCs w:val="24"/>
                <w:lang w:eastAsia="ru-RU"/>
              </w:rPr>
            </w:pPr>
            <w:r>
              <w:rPr>
                <w:rFonts w:eastAsia="Times New Roman"/>
                <w:color w:val="000000"/>
                <w:sz w:val="24"/>
                <w:szCs w:val="24"/>
                <w:lang w:eastAsia="ru-RU"/>
              </w:rPr>
              <w:t>9.</w:t>
            </w:r>
          </w:p>
        </w:tc>
        <w:tc>
          <w:tcPr>
            <w:tcW w:w="3410"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rPr>
                <w:rFonts w:eastAsia="Times New Roman"/>
                <w:color w:val="000000"/>
                <w:sz w:val="24"/>
                <w:szCs w:val="24"/>
                <w:lang w:eastAsia="ru-RU"/>
              </w:rPr>
            </w:pPr>
            <w:r>
              <w:rPr>
                <w:rFonts w:eastAsia="Times New Roman"/>
                <w:color w:val="000000"/>
                <w:sz w:val="24"/>
                <w:szCs w:val="24"/>
                <w:lang w:eastAsia="ru-RU"/>
              </w:rPr>
              <w:t>МО «Кривошеинский район»</w:t>
            </w:r>
          </w:p>
        </w:tc>
        <w:tc>
          <w:tcPr>
            <w:tcW w:w="1836"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762 248,72</w:t>
            </w:r>
          </w:p>
        </w:tc>
        <w:tc>
          <w:tcPr>
            <w:tcW w:w="1843"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115 020,38</w:t>
            </w:r>
          </w:p>
        </w:tc>
        <w:tc>
          <w:tcPr>
            <w:tcW w:w="1842"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766 168,60</w:t>
            </w:r>
          </w:p>
        </w:tc>
        <w:tc>
          <w:tcPr>
            <w:tcW w:w="1560"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-3 919,88</w:t>
            </w:r>
          </w:p>
        </w:tc>
      </w:tr>
      <w:tr w:rsidR="007E27CB">
        <w:trPr>
          <w:trHeight w:val="58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rPr>
                <w:rFonts w:eastAsia="Times New Roman"/>
                <w:color w:val="000000"/>
                <w:sz w:val="24"/>
                <w:szCs w:val="24"/>
                <w:lang w:eastAsia="ru-RU"/>
              </w:rPr>
            </w:pPr>
            <w:r>
              <w:rPr>
                <w:rFonts w:eastAsia="Times New Roman"/>
                <w:color w:val="000000"/>
                <w:sz w:val="24"/>
                <w:szCs w:val="24"/>
                <w:lang w:eastAsia="ru-RU"/>
              </w:rPr>
              <w:t>10.</w:t>
            </w:r>
          </w:p>
        </w:tc>
        <w:tc>
          <w:tcPr>
            <w:tcW w:w="3410"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rPr>
                <w:rFonts w:eastAsia="Times New Roman"/>
                <w:color w:val="000000"/>
                <w:sz w:val="24"/>
                <w:szCs w:val="24"/>
                <w:lang w:eastAsia="ru-RU"/>
              </w:rPr>
            </w:pPr>
            <w:r>
              <w:rPr>
                <w:rFonts w:eastAsia="Times New Roman"/>
                <w:color w:val="000000"/>
                <w:sz w:val="24"/>
                <w:szCs w:val="24"/>
                <w:lang w:eastAsia="ru-RU"/>
              </w:rPr>
              <w:t>МО «Молчановский район»</w:t>
            </w:r>
          </w:p>
        </w:tc>
        <w:tc>
          <w:tcPr>
            <w:tcW w:w="1836"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892 579,71</w:t>
            </w:r>
          </w:p>
        </w:tc>
        <w:tc>
          <w:tcPr>
            <w:tcW w:w="1843"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59 395,66</w:t>
            </w:r>
          </w:p>
        </w:tc>
        <w:tc>
          <w:tcPr>
            <w:tcW w:w="1842"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844 609,14</w:t>
            </w:r>
          </w:p>
        </w:tc>
        <w:tc>
          <w:tcPr>
            <w:tcW w:w="1560"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47 970,57</w:t>
            </w:r>
          </w:p>
        </w:tc>
      </w:tr>
      <w:tr w:rsidR="007E27CB">
        <w:trPr>
          <w:trHeight w:val="58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rPr>
                <w:rFonts w:eastAsia="Times New Roman"/>
                <w:color w:val="000000"/>
                <w:sz w:val="24"/>
                <w:szCs w:val="24"/>
                <w:lang w:eastAsia="ru-RU"/>
              </w:rPr>
            </w:pPr>
            <w:r>
              <w:rPr>
                <w:rFonts w:eastAsia="Times New Roman"/>
                <w:color w:val="000000"/>
                <w:sz w:val="24"/>
                <w:szCs w:val="24"/>
                <w:lang w:eastAsia="ru-RU"/>
              </w:rPr>
              <w:t>11.</w:t>
            </w:r>
          </w:p>
        </w:tc>
        <w:tc>
          <w:tcPr>
            <w:tcW w:w="3410"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rPr>
                <w:rFonts w:eastAsia="Times New Roman"/>
                <w:color w:val="000000"/>
                <w:sz w:val="24"/>
                <w:szCs w:val="24"/>
                <w:lang w:eastAsia="ru-RU"/>
              </w:rPr>
            </w:pPr>
            <w:r>
              <w:rPr>
                <w:rFonts w:eastAsia="Times New Roman"/>
                <w:color w:val="000000"/>
                <w:sz w:val="24"/>
                <w:szCs w:val="24"/>
                <w:lang w:eastAsia="ru-RU"/>
              </w:rPr>
              <w:t>МО «Парабельский район»</w:t>
            </w:r>
          </w:p>
        </w:tc>
        <w:tc>
          <w:tcPr>
            <w:tcW w:w="1836"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877 385,82</w:t>
            </w:r>
          </w:p>
        </w:tc>
        <w:tc>
          <w:tcPr>
            <w:tcW w:w="1843"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247 795,86</w:t>
            </w:r>
          </w:p>
        </w:tc>
        <w:tc>
          <w:tcPr>
            <w:tcW w:w="1842"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863 188,14</w:t>
            </w:r>
          </w:p>
        </w:tc>
        <w:tc>
          <w:tcPr>
            <w:tcW w:w="1560"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14 197,68</w:t>
            </w:r>
          </w:p>
        </w:tc>
      </w:tr>
      <w:tr w:rsidR="007E27CB">
        <w:trPr>
          <w:trHeight w:val="58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rPr>
                <w:rFonts w:eastAsia="Times New Roman"/>
                <w:color w:val="000000"/>
                <w:sz w:val="24"/>
                <w:szCs w:val="24"/>
                <w:lang w:eastAsia="ru-RU"/>
              </w:rPr>
            </w:pPr>
            <w:r>
              <w:rPr>
                <w:rFonts w:eastAsia="Times New Roman"/>
                <w:color w:val="000000"/>
                <w:sz w:val="24"/>
                <w:szCs w:val="24"/>
                <w:lang w:eastAsia="ru-RU"/>
              </w:rPr>
              <w:t>12.</w:t>
            </w:r>
          </w:p>
        </w:tc>
        <w:tc>
          <w:tcPr>
            <w:tcW w:w="3410"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rPr>
                <w:rFonts w:eastAsia="Times New Roman"/>
                <w:color w:val="000000"/>
                <w:sz w:val="24"/>
                <w:szCs w:val="24"/>
                <w:lang w:eastAsia="ru-RU"/>
              </w:rPr>
            </w:pPr>
            <w:r>
              <w:rPr>
                <w:rFonts w:eastAsia="Times New Roman"/>
                <w:color w:val="000000"/>
                <w:sz w:val="24"/>
                <w:szCs w:val="24"/>
                <w:lang w:eastAsia="ru-RU"/>
              </w:rPr>
              <w:t>МО «Первомайский район»</w:t>
            </w:r>
          </w:p>
        </w:tc>
        <w:tc>
          <w:tcPr>
            <w:tcW w:w="1836"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961 411,19</w:t>
            </w:r>
          </w:p>
        </w:tc>
        <w:tc>
          <w:tcPr>
            <w:tcW w:w="1843"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144 660,32</w:t>
            </w:r>
          </w:p>
        </w:tc>
        <w:tc>
          <w:tcPr>
            <w:tcW w:w="1842"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979 248,58</w:t>
            </w:r>
          </w:p>
        </w:tc>
        <w:tc>
          <w:tcPr>
            <w:tcW w:w="1560"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-17 837,39</w:t>
            </w:r>
          </w:p>
        </w:tc>
      </w:tr>
      <w:tr w:rsidR="007E27CB">
        <w:trPr>
          <w:trHeight w:val="58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rPr>
                <w:rFonts w:eastAsia="Times New Roman"/>
                <w:color w:val="000000"/>
                <w:sz w:val="24"/>
                <w:szCs w:val="24"/>
                <w:lang w:eastAsia="ru-RU"/>
              </w:rPr>
            </w:pPr>
            <w:r>
              <w:rPr>
                <w:rFonts w:eastAsia="Times New Roman"/>
                <w:color w:val="000000"/>
                <w:sz w:val="24"/>
                <w:szCs w:val="24"/>
                <w:lang w:eastAsia="ru-RU"/>
              </w:rPr>
              <w:t>13.</w:t>
            </w:r>
          </w:p>
        </w:tc>
        <w:tc>
          <w:tcPr>
            <w:tcW w:w="3410"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rPr>
                <w:rFonts w:eastAsia="Times New Roman"/>
                <w:color w:val="000000"/>
                <w:sz w:val="24"/>
                <w:szCs w:val="24"/>
                <w:lang w:eastAsia="ru-RU"/>
              </w:rPr>
            </w:pPr>
            <w:r>
              <w:rPr>
                <w:rFonts w:eastAsia="Times New Roman"/>
                <w:color w:val="000000"/>
                <w:sz w:val="24"/>
                <w:szCs w:val="24"/>
                <w:lang w:eastAsia="ru-RU"/>
              </w:rPr>
              <w:t>МО «Тегульдетский район»</w:t>
            </w:r>
          </w:p>
        </w:tc>
        <w:tc>
          <w:tcPr>
            <w:tcW w:w="1836"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413 325,11</w:t>
            </w:r>
          </w:p>
        </w:tc>
        <w:tc>
          <w:tcPr>
            <w:tcW w:w="1843"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71 907,25</w:t>
            </w:r>
          </w:p>
        </w:tc>
        <w:tc>
          <w:tcPr>
            <w:tcW w:w="1842"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432 289,08</w:t>
            </w:r>
          </w:p>
        </w:tc>
        <w:tc>
          <w:tcPr>
            <w:tcW w:w="1560"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-18 963,97</w:t>
            </w:r>
          </w:p>
        </w:tc>
      </w:tr>
      <w:tr w:rsidR="007E27CB">
        <w:trPr>
          <w:trHeight w:val="58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rPr>
                <w:rFonts w:eastAsia="Times New Roman"/>
                <w:color w:val="000000"/>
                <w:sz w:val="24"/>
                <w:szCs w:val="24"/>
                <w:lang w:eastAsia="ru-RU"/>
              </w:rPr>
            </w:pPr>
            <w:r>
              <w:rPr>
                <w:rFonts w:eastAsia="Times New Roman"/>
                <w:color w:val="000000"/>
                <w:sz w:val="24"/>
                <w:szCs w:val="24"/>
                <w:lang w:eastAsia="ru-RU"/>
              </w:rPr>
              <w:t>14.</w:t>
            </w:r>
          </w:p>
        </w:tc>
        <w:tc>
          <w:tcPr>
            <w:tcW w:w="3410"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rPr>
                <w:rFonts w:eastAsia="Times New Roman"/>
                <w:color w:val="000000"/>
                <w:sz w:val="24"/>
                <w:szCs w:val="24"/>
                <w:lang w:eastAsia="ru-RU"/>
              </w:rPr>
            </w:pPr>
            <w:r>
              <w:rPr>
                <w:rFonts w:eastAsia="Times New Roman"/>
                <w:color w:val="000000"/>
                <w:sz w:val="24"/>
                <w:szCs w:val="24"/>
                <w:lang w:eastAsia="ru-RU"/>
              </w:rPr>
              <w:t>МО «Томский район»</w:t>
            </w:r>
          </w:p>
        </w:tc>
        <w:tc>
          <w:tcPr>
            <w:tcW w:w="1836"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3 698 464,43</w:t>
            </w:r>
          </w:p>
        </w:tc>
        <w:tc>
          <w:tcPr>
            <w:tcW w:w="1843"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864 812,26</w:t>
            </w:r>
          </w:p>
        </w:tc>
        <w:tc>
          <w:tcPr>
            <w:tcW w:w="1842"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3 688 925,35</w:t>
            </w:r>
          </w:p>
        </w:tc>
        <w:tc>
          <w:tcPr>
            <w:tcW w:w="1560"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9 539,08</w:t>
            </w:r>
          </w:p>
        </w:tc>
      </w:tr>
      <w:tr w:rsidR="007E27CB">
        <w:trPr>
          <w:trHeight w:val="58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rPr>
                <w:rFonts w:eastAsia="Times New Roman"/>
                <w:color w:val="000000"/>
                <w:sz w:val="24"/>
                <w:szCs w:val="24"/>
                <w:lang w:eastAsia="ru-RU"/>
              </w:rPr>
            </w:pPr>
            <w:r>
              <w:rPr>
                <w:rFonts w:eastAsia="Times New Roman"/>
                <w:color w:val="000000"/>
                <w:sz w:val="24"/>
                <w:szCs w:val="24"/>
                <w:lang w:eastAsia="ru-RU"/>
              </w:rPr>
              <w:t>15.</w:t>
            </w:r>
          </w:p>
        </w:tc>
        <w:tc>
          <w:tcPr>
            <w:tcW w:w="3410"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rPr>
                <w:rFonts w:eastAsia="Times New Roman"/>
                <w:color w:val="000000"/>
                <w:sz w:val="24"/>
                <w:szCs w:val="24"/>
                <w:lang w:eastAsia="ru-RU"/>
              </w:rPr>
            </w:pPr>
            <w:r>
              <w:rPr>
                <w:rFonts w:eastAsia="Times New Roman"/>
                <w:color w:val="000000"/>
                <w:sz w:val="24"/>
                <w:szCs w:val="24"/>
                <w:lang w:eastAsia="ru-RU"/>
              </w:rPr>
              <w:t>МО «Чаинский район»</w:t>
            </w:r>
          </w:p>
        </w:tc>
        <w:tc>
          <w:tcPr>
            <w:tcW w:w="1836"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727 973,46</w:t>
            </w:r>
          </w:p>
        </w:tc>
        <w:tc>
          <w:tcPr>
            <w:tcW w:w="1843"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111 142,77</w:t>
            </w:r>
          </w:p>
        </w:tc>
        <w:tc>
          <w:tcPr>
            <w:tcW w:w="1842"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656 748,30</w:t>
            </w:r>
          </w:p>
        </w:tc>
        <w:tc>
          <w:tcPr>
            <w:tcW w:w="1560"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71 225,16</w:t>
            </w:r>
          </w:p>
        </w:tc>
      </w:tr>
      <w:tr w:rsidR="007E27CB">
        <w:trPr>
          <w:trHeight w:val="58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rPr>
                <w:rFonts w:eastAsia="Times New Roman"/>
                <w:color w:val="000000"/>
                <w:sz w:val="24"/>
                <w:szCs w:val="24"/>
                <w:lang w:eastAsia="ru-RU"/>
              </w:rPr>
            </w:pPr>
            <w:r>
              <w:rPr>
                <w:rFonts w:eastAsia="Times New Roman"/>
                <w:color w:val="000000"/>
                <w:sz w:val="24"/>
                <w:szCs w:val="24"/>
                <w:lang w:eastAsia="ru-RU"/>
              </w:rPr>
              <w:t>16.</w:t>
            </w:r>
          </w:p>
        </w:tc>
        <w:tc>
          <w:tcPr>
            <w:tcW w:w="3410"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rPr>
                <w:rFonts w:eastAsia="Times New Roman"/>
                <w:color w:val="000000"/>
                <w:sz w:val="24"/>
                <w:szCs w:val="24"/>
                <w:lang w:eastAsia="ru-RU"/>
              </w:rPr>
            </w:pPr>
            <w:r>
              <w:rPr>
                <w:rFonts w:eastAsia="Times New Roman"/>
                <w:color w:val="000000"/>
                <w:sz w:val="24"/>
                <w:szCs w:val="24"/>
                <w:lang w:eastAsia="ru-RU"/>
              </w:rPr>
              <w:t>МО «Шегарский район»</w:t>
            </w:r>
          </w:p>
        </w:tc>
        <w:tc>
          <w:tcPr>
            <w:tcW w:w="1836"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726 326,47</w:t>
            </w:r>
          </w:p>
        </w:tc>
        <w:tc>
          <w:tcPr>
            <w:tcW w:w="1843"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176 889,63</w:t>
            </w:r>
          </w:p>
        </w:tc>
        <w:tc>
          <w:tcPr>
            <w:tcW w:w="1842"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716 674,44</w:t>
            </w:r>
          </w:p>
        </w:tc>
        <w:tc>
          <w:tcPr>
            <w:tcW w:w="1560"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9 652,03</w:t>
            </w:r>
          </w:p>
        </w:tc>
      </w:tr>
      <w:tr w:rsidR="007E27CB">
        <w:trPr>
          <w:trHeight w:val="690"/>
        </w:trPr>
        <w:tc>
          <w:tcPr>
            <w:tcW w:w="397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7E27CB" w:rsidRDefault="008F141F">
            <w:pPr>
              <w:tabs>
                <w:tab w:val="left" w:pos="4962"/>
              </w:tabs>
              <w:spacing w:after="0" w:line="240" w:lineRule="auto"/>
              <w:rPr>
                <w:rFonts w:eastAsia="Times New Roman"/>
                <w:b/>
                <w:bCs/>
                <w:i/>
                <w:iCs/>
                <w:color w:val="000000"/>
                <w:sz w:val="24"/>
                <w:szCs w:val="24"/>
                <w:lang w:eastAsia="ru-RU"/>
              </w:rPr>
            </w:pPr>
            <w:r>
              <w:rPr>
                <w:rFonts w:eastAsia="Times New Roman"/>
                <w:b/>
                <w:bCs/>
                <w:i/>
                <w:iCs/>
                <w:color w:val="000000"/>
                <w:sz w:val="24"/>
                <w:szCs w:val="24"/>
                <w:lang w:eastAsia="ru-RU"/>
              </w:rPr>
              <w:t>Всего по муниципальным районам</w:t>
            </w:r>
          </w:p>
        </w:tc>
        <w:tc>
          <w:tcPr>
            <w:tcW w:w="1836"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b/>
                <w:bCs/>
                <w:i/>
                <w:iCs/>
                <w:color w:val="000000"/>
                <w:sz w:val="24"/>
                <w:szCs w:val="24"/>
                <w:lang w:eastAsia="ru-RU"/>
              </w:rPr>
            </w:pPr>
            <w:r>
              <w:rPr>
                <w:rFonts w:eastAsia="Times New Roman"/>
                <w:b/>
                <w:bCs/>
                <w:i/>
                <w:iCs/>
                <w:color w:val="000000"/>
                <w:sz w:val="24"/>
                <w:szCs w:val="24"/>
                <w:lang w:eastAsia="ru-RU"/>
              </w:rPr>
              <w:t>17 880 483,37</w:t>
            </w:r>
          </w:p>
        </w:tc>
        <w:tc>
          <w:tcPr>
            <w:tcW w:w="1843"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b/>
                <w:bCs/>
                <w:i/>
                <w:iCs/>
                <w:color w:val="000000"/>
                <w:sz w:val="24"/>
                <w:szCs w:val="24"/>
                <w:lang w:eastAsia="ru-RU"/>
              </w:rPr>
            </w:pPr>
            <w:r>
              <w:rPr>
                <w:rFonts w:eastAsia="Times New Roman"/>
                <w:b/>
                <w:bCs/>
                <w:i/>
                <w:iCs/>
                <w:color w:val="000000"/>
                <w:sz w:val="24"/>
                <w:szCs w:val="24"/>
                <w:lang w:eastAsia="ru-RU"/>
              </w:rPr>
              <w:t>3 617 799,43</w:t>
            </w:r>
          </w:p>
        </w:tc>
        <w:tc>
          <w:tcPr>
            <w:tcW w:w="1842"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b/>
                <w:bCs/>
                <w:i/>
                <w:iCs/>
                <w:color w:val="000000"/>
                <w:sz w:val="24"/>
                <w:szCs w:val="24"/>
                <w:lang w:eastAsia="ru-RU"/>
              </w:rPr>
            </w:pPr>
            <w:r>
              <w:rPr>
                <w:rFonts w:eastAsia="Times New Roman"/>
                <w:b/>
                <w:bCs/>
                <w:i/>
                <w:iCs/>
                <w:color w:val="000000"/>
                <w:sz w:val="24"/>
                <w:szCs w:val="24"/>
                <w:lang w:eastAsia="ru-RU"/>
              </w:rPr>
              <w:t>17 770 357,26</w:t>
            </w:r>
          </w:p>
        </w:tc>
        <w:tc>
          <w:tcPr>
            <w:tcW w:w="1560"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b/>
                <w:bCs/>
                <w:i/>
                <w:iCs/>
                <w:color w:val="000000"/>
                <w:sz w:val="24"/>
                <w:szCs w:val="24"/>
                <w:lang w:eastAsia="ru-RU"/>
              </w:rPr>
            </w:pPr>
            <w:r>
              <w:rPr>
                <w:rFonts w:eastAsia="Times New Roman"/>
                <w:b/>
                <w:bCs/>
                <w:i/>
                <w:iCs/>
                <w:color w:val="000000"/>
                <w:sz w:val="24"/>
                <w:szCs w:val="24"/>
                <w:lang w:eastAsia="ru-RU"/>
              </w:rPr>
              <w:t>110 126,11</w:t>
            </w:r>
          </w:p>
        </w:tc>
      </w:tr>
      <w:tr w:rsidR="007E27CB">
        <w:trPr>
          <w:trHeight w:val="58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rPr>
                <w:rFonts w:eastAsia="Times New Roman"/>
                <w:color w:val="000000"/>
                <w:sz w:val="24"/>
                <w:szCs w:val="24"/>
                <w:lang w:eastAsia="ru-RU"/>
              </w:rPr>
            </w:pPr>
            <w:r>
              <w:rPr>
                <w:rFonts w:eastAsia="Times New Roman"/>
                <w:color w:val="000000"/>
                <w:sz w:val="24"/>
                <w:szCs w:val="24"/>
                <w:lang w:eastAsia="ru-RU"/>
              </w:rPr>
              <w:t>17.</w:t>
            </w:r>
          </w:p>
        </w:tc>
        <w:tc>
          <w:tcPr>
            <w:tcW w:w="3410"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rPr>
                <w:rFonts w:eastAsia="Times New Roman"/>
                <w:color w:val="000000"/>
                <w:sz w:val="24"/>
                <w:szCs w:val="24"/>
                <w:lang w:eastAsia="ru-RU"/>
              </w:rPr>
            </w:pPr>
            <w:r>
              <w:rPr>
                <w:rFonts w:eastAsia="Times New Roman"/>
                <w:color w:val="000000"/>
                <w:sz w:val="24"/>
                <w:szCs w:val="24"/>
                <w:lang w:eastAsia="ru-RU"/>
              </w:rPr>
              <w:t>МО «Город Томск»</w:t>
            </w:r>
          </w:p>
        </w:tc>
        <w:tc>
          <w:tcPr>
            <w:tcW w:w="1836"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18 413 790,96</w:t>
            </w:r>
          </w:p>
        </w:tc>
        <w:tc>
          <w:tcPr>
            <w:tcW w:w="1843"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7 309 206,81</w:t>
            </w:r>
          </w:p>
        </w:tc>
        <w:tc>
          <w:tcPr>
            <w:tcW w:w="1842"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18 600 314,39</w:t>
            </w:r>
          </w:p>
        </w:tc>
        <w:tc>
          <w:tcPr>
            <w:tcW w:w="1560"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-186 523,43</w:t>
            </w:r>
          </w:p>
        </w:tc>
      </w:tr>
      <w:tr w:rsidR="007E27CB">
        <w:trPr>
          <w:trHeight w:val="58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rPr>
                <w:rFonts w:eastAsia="Times New Roman"/>
                <w:color w:val="000000"/>
                <w:sz w:val="24"/>
                <w:szCs w:val="24"/>
                <w:lang w:eastAsia="ru-RU"/>
              </w:rPr>
            </w:pPr>
            <w:r>
              <w:rPr>
                <w:rFonts w:eastAsia="Times New Roman"/>
                <w:color w:val="000000"/>
                <w:sz w:val="24"/>
                <w:szCs w:val="24"/>
                <w:lang w:eastAsia="ru-RU"/>
              </w:rPr>
              <w:t>18.</w:t>
            </w:r>
          </w:p>
        </w:tc>
        <w:tc>
          <w:tcPr>
            <w:tcW w:w="3410"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rPr>
                <w:rFonts w:eastAsia="Times New Roman"/>
                <w:color w:val="000000"/>
                <w:sz w:val="24"/>
                <w:szCs w:val="24"/>
                <w:lang w:eastAsia="ru-RU"/>
              </w:rPr>
            </w:pPr>
            <w:r>
              <w:rPr>
                <w:rFonts w:eastAsia="Times New Roman"/>
                <w:color w:val="000000"/>
                <w:sz w:val="24"/>
                <w:szCs w:val="24"/>
                <w:lang w:eastAsia="ru-RU"/>
              </w:rPr>
              <w:t>МО «Город Стрежевой»</w:t>
            </w:r>
          </w:p>
        </w:tc>
        <w:tc>
          <w:tcPr>
            <w:tcW w:w="1836"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2 136 921,46</w:t>
            </w:r>
          </w:p>
        </w:tc>
        <w:tc>
          <w:tcPr>
            <w:tcW w:w="1843"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578 804,83</w:t>
            </w:r>
          </w:p>
        </w:tc>
        <w:tc>
          <w:tcPr>
            <w:tcW w:w="1842"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2 087 414,22</w:t>
            </w:r>
          </w:p>
        </w:tc>
        <w:tc>
          <w:tcPr>
            <w:tcW w:w="1560"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49 507,24</w:t>
            </w:r>
          </w:p>
        </w:tc>
      </w:tr>
      <w:tr w:rsidR="007E27CB">
        <w:trPr>
          <w:trHeight w:val="58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rPr>
                <w:rFonts w:eastAsia="Times New Roman"/>
                <w:color w:val="000000"/>
                <w:sz w:val="24"/>
                <w:szCs w:val="24"/>
                <w:lang w:eastAsia="ru-RU"/>
              </w:rPr>
            </w:pPr>
            <w:r>
              <w:rPr>
                <w:rFonts w:eastAsia="Times New Roman"/>
                <w:color w:val="000000"/>
                <w:sz w:val="24"/>
                <w:szCs w:val="24"/>
                <w:lang w:eastAsia="ru-RU"/>
              </w:rPr>
              <w:t>19.</w:t>
            </w:r>
          </w:p>
        </w:tc>
        <w:tc>
          <w:tcPr>
            <w:tcW w:w="3410"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rPr>
                <w:rFonts w:eastAsia="Times New Roman"/>
                <w:color w:val="000000"/>
                <w:sz w:val="24"/>
                <w:szCs w:val="24"/>
                <w:lang w:eastAsia="ru-RU"/>
              </w:rPr>
            </w:pPr>
            <w:r>
              <w:rPr>
                <w:rFonts w:eastAsia="Times New Roman"/>
                <w:color w:val="000000"/>
                <w:sz w:val="24"/>
                <w:szCs w:val="24"/>
                <w:lang w:eastAsia="ru-RU"/>
              </w:rPr>
              <w:t>МО «Город Кедровый»</w:t>
            </w:r>
          </w:p>
        </w:tc>
        <w:tc>
          <w:tcPr>
            <w:tcW w:w="1836"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215 854,46</w:t>
            </w:r>
          </w:p>
        </w:tc>
        <w:tc>
          <w:tcPr>
            <w:tcW w:w="1843"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26 209,91</w:t>
            </w:r>
          </w:p>
        </w:tc>
        <w:tc>
          <w:tcPr>
            <w:tcW w:w="1842"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200 627,04</w:t>
            </w:r>
          </w:p>
        </w:tc>
        <w:tc>
          <w:tcPr>
            <w:tcW w:w="1560"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15 227,42</w:t>
            </w:r>
          </w:p>
        </w:tc>
      </w:tr>
      <w:tr w:rsidR="007E27CB">
        <w:trPr>
          <w:trHeight w:val="58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rPr>
                <w:rFonts w:eastAsia="Times New Roman"/>
                <w:color w:val="000000"/>
                <w:sz w:val="24"/>
                <w:szCs w:val="24"/>
                <w:lang w:eastAsia="ru-RU"/>
              </w:rPr>
            </w:pPr>
            <w:r>
              <w:rPr>
                <w:rFonts w:eastAsia="Times New Roman"/>
                <w:color w:val="000000"/>
                <w:sz w:val="24"/>
                <w:szCs w:val="24"/>
                <w:lang w:eastAsia="ru-RU"/>
              </w:rPr>
              <w:t>20.</w:t>
            </w:r>
          </w:p>
        </w:tc>
        <w:tc>
          <w:tcPr>
            <w:tcW w:w="3410"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rPr>
                <w:rFonts w:eastAsia="Times New Roman"/>
                <w:color w:val="000000"/>
                <w:sz w:val="24"/>
                <w:szCs w:val="24"/>
                <w:lang w:eastAsia="ru-RU"/>
              </w:rPr>
            </w:pPr>
            <w:r>
              <w:rPr>
                <w:rFonts w:eastAsia="Times New Roman"/>
                <w:color w:val="000000"/>
                <w:sz w:val="24"/>
                <w:szCs w:val="24"/>
                <w:lang w:eastAsia="ru-RU"/>
              </w:rPr>
              <w:t>МО «Город Северск»</w:t>
            </w:r>
          </w:p>
        </w:tc>
        <w:tc>
          <w:tcPr>
            <w:tcW w:w="1836"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4 536 469,77</w:t>
            </w:r>
          </w:p>
        </w:tc>
        <w:tc>
          <w:tcPr>
            <w:tcW w:w="1843"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1 131 056,62</w:t>
            </w:r>
          </w:p>
        </w:tc>
        <w:tc>
          <w:tcPr>
            <w:tcW w:w="1842"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4 604 221,40</w:t>
            </w:r>
          </w:p>
        </w:tc>
        <w:tc>
          <w:tcPr>
            <w:tcW w:w="1560"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color w:val="000000"/>
                <w:sz w:val="24"/>
                <w:szCs w:val="24"/>
                <w:lang w:eastAsia="ru-RU"/>
              </w:rPr>
            </w:pPr>
            <w:r>
              <w:rPr>
                <w:rFonts w:eastAsia="Times New Roman"/>
                <w:color w:val="000000"/>
                <w:sz w:val="24"/>
                <w:szCs w:val="24"/>
                <w:lang w:eastAsia="ru-RU"/>
              </w:rPr>
              <w:t>-67 751,63</w:t>
            </w:r>
          </w:p>
        </w:tc>
      </w:tr>
      <w:tr w:rsidR="007E27CB">
        <w:trPr>
          <w:trHeight w:val="585"/>
        </w:trPr>
        <w:tc>
          <w:tcPr>
            <w:tcW w:w="3977"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E27CB" w:rsidRDefault="008F141F">
            <w:pPr>
              <w:tabs>
                <w:tab w:val="left" w:pos="4962"/>
              </w:tabs>
              <w:spacing w:after="0" w:line="240" w:lineRule="auto"/>
              <w:rPr>
                <w:rFonts w:eastAsia="Times New Roman"/>
                <w:b/>
                <w:bCs/>
                <w:i/>
                <w:iCs/>
                <w:color w:val="000000"/>
                <w:sz w:val="24"/>
                <w:szCs w:val="24"/>
                <w:lang w:eastAsia="ru-RU"/>
              </w:rPr>
            </w:pPr>
            <w:r>
              <w:rPr>
                <w:rFonts w:eastAsia="Times New Roman"/>
                <w:b/>
                <w:bCs/>
                <w:i/>
                <w:iCs/>
                <w:color w:val="000000"/>
                <w:sz w:val="24"/>
                <w:szCs w:val="24"/>
                <w:lang w:eastAsia="ru-RU"/>
              </w:rPr>
              <w:t>Всего по городским округам</w:t>
            </w:r>
          </w:p>
        </w:tc>
        <w:tc>
          <w:tcPr>
            <w:tcW w:w="1836"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b/>
                <w:bCs/>
                <w:i/>
                <w:iCs/>
                <w:color w:val="000000"/>
                <w:sz w:val="24"/>
                <w:szCs w:val="24"/>
                <w:lang w:eastAsia="ru-RU"/>
              </w:rPr>
            </w:pPr>
            <w:r>
              <w:rPr>
                <w:rFonts w:eastAsia="Times New Roman"/>
                <w:b/>
                <w:bCs/>
                <w:i/>
                <w:iCs/>
                <w:color w:val="000000"/>
                <w:sz w:val="24"/>
                <w:szCs w:val="24"/>
                <w:lang w:eastAsia="ru-RU"/>
              </w:rPr>
              <w:t>25 303 036,65</w:t>
            </w:r>
          </w:p>
        </w:tc>
        <w:tc>
          <w:tcPr>
            <w:tcW w:w="1843"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b/>
                <w:bCs/>
                <w:i/>
                <w:iCs/>
                <w:color w:val="000000"/>
                <w:sz w:val="24"/>
                <w:szCs w:val="24"/>
                <w:lang w:eastAsia="ru-RU"/>
              </w:rPr>
            </w:pPr>
            <w:r>
              <w:rPr>
                <w:rFonts w:eastAsia="Times New Roman"/>
                <w:b/>
                <w:bCs/>
                <w:i/>
                <w:iCs/>
                <w:color w:val="000000"/>
                <w:sz w:val="24"/>
                <w:szCs w:val="24"/>
                <w:lang w:eastAsia="ru-RU"/>
              </w:rPr>
              <w:t>9 045 278,17</w:t>
            </w:r>
          </w:p>
        </w:tc>
        <w:tc>
          <w:tcPr>
            <w:tcW w:w="1842"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b/>
                <w:bCs/>
                <w:i/>
                <w:iCs/>
                <w:color w:val="000000"/>
                <w:sz w:val="24"/>
                <w:szCs w:val="24"/>
                <w:lang w:eastAsia="ru-RU"/>
              </w:rPr>
            </w:pPr>
            <w:r>
              <w:rPr>
                <w:rFonts w:eastAsia="Times New Roman"/>
                <w:b/>
                <w:bCs/>
                <w:i/>
                <w:iCs/>
                <w:color w:val="000000"/>
                <w:sz w:val="24"/>
                <w:szCs w:val="24"/>
                <w:lang w:eastAsia="ru-RU"/>
              </w:rPr>
              <w:t>25 492 577,05</w:t>
            </w:r>
          </w:p>
        </w:tc>
        <w:tc>
          <w:tcPr>
            <w:tcW w:w="1560"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b/>
                <w:bCs/>
                <w:i/>
                <w:iCs/>
                <w:color w:val="000000"/>
                <w:sz w:val="24"/>
                <w:szCs w:val="24"/>
                <w:lang w:eastAsia="ru-RU"/>
              </w:rPr>
            </w:pPr>
            <w:r>
              <w:rPr>
                <w:rFonts w:eastAsia="Times New Roman"/>
                <w:b/>
                <w:bCs/>
                <w:i/>
                <w:iCs/>
                <w:color w:val="000000"/>
                <w:sz w:val="24"/>
                <w:szCs w:val="24"/>
                <w:lang w:eastAsia="ru-RU"/>
              </w:rPr>
              <w:t>-189 540,40</w:t>
            </w:r>
          </w:p>
        </w:tc>
      </w:tr>
      <w:tr w:rsidR="007E27CB">
        <w:trPr>
          <w:trHeight w:val="66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rPr>
                <w:rFonts w:eastAsia="Times New Roman"/>
                <w:b/>
                <w:bCs/>
                <w:color w:val="000000"/>
                <w:sz w:val="24"/>
                <w:szCs w:val="24"/>
                <w:lang w:eastAsia="ru-RU"/>
              </w:rPr>
            </w:pPr>
            <w:r>
              <w:rPr>
                <w:rFonts w:eastAsia="Times New Roman"/>
                <w:b/>
                <w:bCs/>
                <w:color w:val="000000"/>
                <w:sz w:val="24"/>
                <w:szCs w:val="24"/>
                <w:lang w:eastAsia="ru-RU"/>
              </w:rPr>
              <w:t> </w:t>
            </w:r>
          </w:p>
        </w:tc>
        <w:tc>
          <w:tcPr>
            <w:tcW w:w="3410" w:type="dxa"/>
            <w:tcBorders>
              <w:top w:val="nil"/>
              <w:left w:val="nil"/>
              <w:bottom w:val="single" w:sz="4" w:space="0" w:color="auto"/>
              <w:right w:val="single" w:sz="4" w:space="0" w:color="auto"/>
            </w:tcBorders>
            <w:shd w:val="clear" w:color="auto" w:fill="auto"/>
            <w:vAlign w:val="center"/>
            <w:hideMark/>
          </w:tcPr>
          <w:p w:rsidR="007E27CB" w:rsidRDefault="008F141F">
            <w:pPr>
              <w:tabs>
                <w:tab w:val="left" w:pos="4962"/>
              </w:tabs>
              <w:spacing w:after="0" w:line="240" w:lineRule="auto"/>
              <w:rPr>
                <w:rFonts w:eastAsia="Times New Roman"/>
                <w:b/>
                <w:bCs/>
                <w:color w:val="000000"/>
                <w:sz w:val="24"/>
                <w:szCs w:val="24"/>
                <w:lang w:eastAsia="ru-RU"/>
              </w:rPr>
            </w:pPr>
            <w:r>
              <w:rPr>
                <w:rFonts w:eastAsia="Times New Roman"/>
                <w:b/>
                <w:bCs/>
                <w:color w:val="000000"/>
                <w:sz w:val="24"/>
                <w:szCs w:val="24"/>
                <w:lang w:eastAsia="ru-RU"/>
              </w:rPr>
              <w:t>Итого по муниципальным образованиям</w:t>
            </w:r>
          </w:p>
        </w:tc>
        <w:tc>
          <w:tcPr>
            <w:tcW w:w="1836"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b/>
                <w:bCs/>
                <w:color w:val="000000"/>
                <w:sz w:val="24"/>
                <w:szCs w:val="24"/>
                <w:lang w:eastAsia="ru-RU"/>
              </w:rPr>
            </w:pPr>
            <w:r>
              <w:rPr>
                <w:rFonts w:eastAsia="Times New Roman"/>
                <w:b/>
                <w:bCs/>
                <w:color w:val="000000"/>
                <w:sz w:val="24"/>
                <w:szCs w:val="24"/>
                <w:lang w:eastAsia="ru-RU"/>
              </w:rPr>
              <w:t>43 183 520,02</w:t>
            </w:r>
          </w:p>
        </w:tc>
        <w:tc>
          <w:tcPr>
            <w:tcW w:w="1843"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b/>
                <w:bCs/>
                <w:color w:val="000000"/>
                <w:sz w:val="24"/>
                <w:szCs w:val="24"/>
                <w:lang w:eastAsia="ru-RU"/>
              </w:rPr>
            </w:pPr>
            <w:r>
              <w:rPr>
                <w:rFonts w:eastAsia="Times New Roman"/>
                <w:b/>
                <w:bCs/>
                <w:color w:val="000000"/>
                <w:sz w:val="24"/>
                <w:szCs w:val="24"/>
                <w:lang w:eastAsia="ru-RU"/>
              </w:rPr>
              <w:t>12 663 077,60</w:t>
            </w:r>
          </w:p>
        </w:tc>
        <w:tc>
          <w:tcPr>
            <w:tcW w:w="1842"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b/>
                <w:bCs/>
                <w:color w:val="000000"/>
                <w:sz w:val="24"/>
                <w:szCs w:val="24"/>
                <w:lang w:eastAsia="ru-RU"/>
              </w:rPr>
            </w:pPr>
            <w:r>
              <w:rPr>
                <w:rFonts w:eastAsia="Times New Roman"/>
                <w:b/>
                <w:bCs/>
                <w:color w:val="000000"/>
                <w:sz w:val="24"/>
                <w:szCs w:val="24"/>
                <w:lang w:eastAsia="ru-RU"/>
              </w:rPr>
              <w:t>43 262 934,31</w:t>
            </w:r>
          </w:p>
        </w:tc>
        <w:tc>
          <w:tcPr>
            <w:tcW w:w="1560" w:type="dxa"/>
            <w:tcBorders>
              <w:top w:val="nil"/>
              <w:left w:val="nil"/>
              <w:bottom w:val="single" w:sz="4" w:space="0" w:color="auto"/>
              <w:right w:val="single" w:sz="4" w:space="0" w:color="auto"/>
            </w:tcBorders>
            <w:shd w:val="clear" w:color="auto" w:fill="auto"/>
            <w:noWrap/>
            <w:vAlign w:val="center"/>
            <w:hideMark/>
          </w:tcPr>
          <w:p w:rsidR="007E27CB" w:rsidRDefault="008F141F">
            <w:pPr>
              <w:tabs>
                <w:tab w:val="left" w:pos="4962"/>
              </w:tabs>
              <w:spacing w:after="0" w:line="240" w:lineRule="auto"/>
              <w:jc w:val="center"/>
              <w:rPr>
                <w:rFonts w:eastAsia="Times New Roman"/>
                <w:b/>
                <w:bCs/>
                <w:color w:val="000000"/>
                <w:sz w:val="24"/>
                <w:szCs w:val="24"/>
                <w:lang w:eastAsia="ru-RU"/>
              </w:rPr>
            </w:pPr>
            <w:r>
              <w:rPr>
                <w:rFonts w:eastAsia="Times New Roman"/>
                <w:b/>
                <w:bCs/>
                <w:color w:val="000000"/>
                <w:sz w:val="24"/>
                <w:szCs w:val="24"/>
                <w:lang w:eastAsia="ru-RU"/>
              </w:rPr>
              <w:t>-79 414,29</w:t>
            </w:r>
          </w:p>
        </w:tc>
      </w:tr>
    </w:tbl>
    <w:p w:rsidR="007E27CB" w:rsidRDefault="007E27CB">
      <w:pPr>
        <w:tabs>
          <w:tab w:val="left" w:pos="993"/>
          <w:tab w:val="left" w:pos="4962"/>
        </w:tabs>
        <w:spacing w:after="0" w:line="240" w:lineRule="auto"/>
        <w:ind w:firstLine="709"/>
        <w:jc w:val="right"/>
        <w:rPr>
          <w:rFonts w:eastAsia="Calibri"/>
          <w:b/>
          <w:color w:val="FF0000"/>
          <w:sz w:val="24"/>
          <w:szCs w:val="24"/>
        </w:rPr>
      </w:pPr>
    </w:p>
    <w:p w:rsidR="007E27CB" w:rsidRDefault="008F141F">
      <w:pPr>
        <w:tabs>
          <w:tab w:val="left" w:pos="4962"/>
        </w:tabs>
        <w:spacing w:after="0" w:line="240" w:lineRule="auto"/>
        <w:rPr>
          <w:rFonts w:eastAsia="Calibri"/>
          <w:b/>
          <w:color w:val="FF0000"/>
          <w:sz w:val="24"/>
          <w:szCs w:val="24"/>
        </w:rPr>
      </w:pPr>
      <w:r>
        <w:rPr>
          <w:rFonts w:eastAsia="Calibri"/>
          <w:b/>
          <w:color w:val="FF0000"/>
          <w:sz w:val="24"/>
          <w:szCs w:val="24"/>
        </w:rPr>
        <w:br w:type="page"/>
      </w:r>
    </w:p>
    <w:p w:rsidR="007E27CB" w:rsidRDefault="007E27CB">
      <w:pPr>
        <w:tabs>
          <w:tab w:val="left" w:pos="4962"/>
        </w:tabs>
        <w:spacing w:after="0" w:line="240" w:lineRule="auto"/>
        <w:jc w:val="both"/>
        <w:rPr>
          <w:b/>
          <w:color w:val="FF0000"/>
          <w:sz w:val="24"/>
          <w:szCs w:val="24"/>
        </w:rPr>
        <w:sectPr w:rsidR="007E27CB">
          <w:pgSz w:w="11906" w:h="16838" w:code="9"/>
          <w:pgMar w:top="1134" w:right="851" w:bottom="1134" w:left="1701" w:header="709" w:footer="709" w:gutter="0"/>
          <w:cols w:space="708"/>
          <w:docGrid w:linePitch="360"/>
        </w:sectPr>
      </w:pPr>
    </w:p>
    <w:p w:rsidR="007E27CB" w:rsidRDefault="008F141F">
      <w:pPr>
        <w:tabs>
          <w:tab w:val="left" w:pos="0"/>
        </w:tabs>
        <w:spacing w:after="0" w:line="240" w:lineRule="auto"/>
        <w:jc w:val="center"/>
        <w:rPr>
          <w:b/>
          <w:sz w:val="24"/>
          <w:szCs w:val="24"/>
        </w:rPr>
      </w:pPr>
      <w:r>
        <w:rPr>
          <w:rFonts w:eastAsia="Calibri"/>
          <w:b/>
          <w:sz w:val="24"/>
          <w:szCs w:val="24"/>
        </w:rPr>
        <w:t xml:space="preserve">Приложение № 7. </w:t>
      </w:r>
      <w:r>
        <w:rPr>
          <w:b/>
          <w:sz w:val="24"/>
          <w:szCs w:val="24"/>
        </w:rPr>
        <w:t xml:space="preserve">Мониторинг сохранения достигнутого соотношения </w:t>
      </w:r>
      <w:r>
        <w:rPr>
          <w:b/>
          <w:sz w:val="24"/>
          <w:szCs w:val="24"/>
        </w:rPr>
        <w:br/>
        <w:t xml:space="preserve">по заработной плате отдельных категорий работников бюджетной сферы, </w:t>
      </w:r>
      <w:r>
        <w:rPr>
          <w:b/>
          <w:sz w:val="24"/>
          <w:szCs w:val="24"/>
        </w:rPr>
        <w:br/>
        <w:t xml:space="preserve">подпадающих под действие майских указов Президента Российской Федерации, </w:t>
      </w:r>
      <w:r>
        <w:rPr>
          <w:b/>
          <w:sz w:val="24"/>
          <w:szCs w:val="24"/>
        </w:rPr>
        <w:br/>
        <w:t xml:space="preserve">в государственных и муниципальных учреждениях Томской области </w:t>
      </w:r>
      <w:r>
        <w:rPr>
          <w:b/>
          <w:sz w:val="24"/>
          <w:szCs w:val="24"/>
        </w:rPr>
        <w:br/>
        <w:t>в 2019 году</w:t>
      </w:r>
    </w:p>
    <w:p w:rsidR="007E27CB" w:rsidRDefault="007E27CB">
      <w:pPr>
        <w:tabs>
          <w:tab w:val="left" w:pos="567"/>
        </w:tabs>
        <w:spacing w:after="0" w:line="240" w:lineRule="auto"/>
        <w:ind w:left="426" w:firstLine="142"/>
        <w:jc w:val="center"/>
        <w:rPr>
          <w:b/>
          <w:sz w:val="24"/>
          <w:szCs w:val="24"/>
        </w:rPr>
      </w:pPr>
    </w:p>
    <w:tbl>
      <w:tblPr>
        <w:tblStyle w:val="afd"/>
        <w:tblW w:w="15165" w:type="dxa"/>
        <w:tblInd w:w="534" w:type="dxa"/>
        <w:tblLayout w:type="fixed"/>
        <w:tblLook w:val="04A0" w:firstRow="1" w:lastRow="0" w:firstColumn="1" w:lastColumn="0" w:noHBand="0" w:noVBand="1"/>
      </w:tblPr>
      <w:tblGrid>
        <w:gridCol w:w="566"/>
        <w:gridCol w:w="9212"/>
        <w:gridCol w:w="2835"/>
        <w:gridCol w:w="2552"/>
      </w:tblGrid>
      <w:tr w:rsidR="007E27CB">
        <w:trPr>
          <w:trHeight w:val="1275"/>
        </w:trPr>
        <w:tc>
          <w:tcPr>
            <w:tcW w:w="566" w:type="dxa"/>
            <w:tcBorders>
              <w:top w:val="single" w:sz="4" w:space="0" w:color="auto"/>
              <w:left w:val="single" w:sz="4" w:space="0" w:color="auto"/>
              <w:bottom w:val="single" w:sz="4" w:space="0" w:color="auto"/>
              <w:right w:val="single" w:sz="4" w:space="0" w:color="auto"/>
            </w:tcBorders>
            <w:vAlign w:val="center"/>
            <w:hideMark/>
          </w:tcPr>
          <w:p w:rsidR="007E27CB" w:rsidRDefault="008F141F">
            <w:pPr>
              <w:jc w:val="center"/>
              <w:rPr>
                <w:rFonts w:ascii="Times New Roman" w:hAnsi="Times New Roman" w:cs="Times New Roman"/>
                <w:color w:val="000000"/>
                <w:sz w:val="24"/>
                <w:szCs w:val="24"/>
              </w:rPr>
            </w:pPr>
            <w:r>
              <w:rPr>
                <w:rFonts w:ascii="Times New Roman" w:hAnsi="Times New Roman" w:cs="Times New Roman"/>
                <w:color w:val="000000"/>
                <w:sz w:val="24"/>
                <w:szCs w:val="24"/>
              </w:rPr>
              <w:t>№ п/п</w:t>
            </w:r>
          </w:p>
        </w:tc>
        <w:tc>
          <w:tcPr>
            <w:tcW w:w="9212" w:type="dxa"/>
            <w:tcBorders>
              <w:top w:val="single" w:sz="4" w:space="0" w:color="auto"/>
              <w:left w:val="single" w:sz="4" w:space="0" w:color="auto"/>
              <w:bottom w:val="single" w:sz="4" w:space="0" w:color="auto"/>
              <w:right w:val="single" w:sz="4" w:space="0" w:color="auto"/>
            </w:tcBorders>
            <w:vAlign w:val="center"/>
          </w:tcPr>
          <w:p w:rsidR="007E27CB" w:rsidRDefault="008F141F">
            <w:pPr>
              <w:jc w:val="center"/>
              <w:rPr>
                <w:rFonts w:ascii="Times New Roman" w:hAnsi="Times New Roman" w:cs="Times New Roman"/>
                <w:color w:val="000000"/>
                <w:sz w:val="24"/>
                <w:szCs w:val="24"/>
              </w:rPr>
            </w:pPr>
            <w:r>
              <w:rPr>
                <w:rFonts w:ascii="Times New Roman" w:hAnsi="Times New Roman" w:cs="Times New Roman"/>
                <w:color w:val="000000"/>
                <w:sz w:val="24"/>
                <w:szCs w:val="24"/>
              </w:rPr>
              <w:t>Категория работников</w:t>
            </w:r>
          </w:p>
          <w:p w:rsidR="007E27CB" w:rsidRDefault="007E27CB">
            <w:pPr>
              <w:jc w:val="center"/>
              <w:rPr>
                <w:rFonts w:ascii="Times New Roman" w:hAnsi="Times New Roman" w:cs="Times New Roman"/>
                <w:color w:val="000000"/>
                <w:sz w:val="24"/>
                <w:szCs w:val="24"/>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7E27CB" w:rsidRDefault="008F141F">
            <w:pPr>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Средняя заработная плата работников соответствующей категории </w:t>
            </w:r>
            <w:r>
              <w:rPr>
                <w:rFonts w:ascii="Times New Roman" w:hAnsi="Times New Roman" w:cs="Times New Roman"/>
                <w:color w:val="000000"/>
                <w:sz w:val="24"/>
                <w:szCs w:val="24"/>
              </w:rPr>
              <w:br/>
              <w:t xml:space="preserve">по данным Росстата </w:t>
            </w:r>
          </w:p>
          <w:p w:rsidR="007E27CB" w:rsidRDefault="008F141F">
            <w:pPr>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за январь </w:t>
            </w:r>
            <w:r>
              <w:rPr>
                <w:sz w:val="24"/>
                <w:szCs w:val="24"/>
              </w:rPr>
              <w:t xml:space="preserve">– </w:t>
            </w:r>
            <w:r>
              <w:rPr>
                <w:rFonts w:ascii="Times New Roman" w:hAnsi="Times New Roman" w:cs="Times New Roman"/>
                <w:color w:val="000000"/>
                <w:sz w:val="24"/>
                <w:szCs w:val="24"/>
              </w:rPr>
              <w:t>декабрь 2019 г., руб.</w:t>
            </w:r>
          </w:p>
        </w:tc>
        <w:tc>
          <w:tcPr>
            <w:tcW w:w="2552" w:type="dxa"/>
            <w:tcBorders>
              <w:top w:val="single" w:sz="4" w:space="0" w:color="auto"/>
              <w:left w:val="single" w:sz="4" w:space="0" w:color="auto"/>
              <w:bottom w:val="single" w:sz="4" w:space="0" w:color="auto"/>
              <w:right w:val="single" w:sz="4" w:space="0" w:color="auto"/>
            </w:tcBorders>
            <w:hideMark/>
          </w:tcPr>
          <w:p w:rsidR="007E27CB" w:rsidRDefault="008F141F">
            <w:pPr>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Соотношение </w:t>
            </w:r>
            <w:r>
              <w:rPr>
                <w:rFonts w:ascii="Times New Roman" w:hAnsi="Times New Roman" w:cs="Times New Roman"/>
                <w:color w:val="000000"/>
                <w:sz w:val="24"/>
                <w:szCs w:val="24"/>
              </w:rPr>
              <w:br/>
              <w:t xml:space="preserve">к среднемесячному доходу от трудовой деятельности  </w:t>
            </w:r>
            <w:r>
              <w:rPr>
                <w:rFonts w:ascii="Times New Roman" w:hAnsi="Times New Roman" w:cs="Times New Roman"/>
                <w:color w:val="000000"/>
                <w:sz w:val="24"/>
                <w:szCs w:val="24"/>
              </w:rPr>
              <w:br/>
              <w:t xml:space="preserve">на 2019 год </w:t>
            </w:r>
            <w:r>
              <w:rPr>
                <w:rFonts w:ascii="Times New Roman" w:hAnsi="Times New Roman" w:cs="Times New Roman"/>
                <w:color w:val="000000"/>
                <w:sz w:val="24"/>
                <w:szCs w:val="24"/>
              </w:rPr>
              <w:br/>
              <w:t>(37 692 руб.),</w:t>
            </w:r>
            <w:r>
              <w:rPr>
                <w:rFonts w:ascii="Times New Roman" w:hAnsi="Times New Roman" w:cs="Times New Roman"/>
                <w:color w:val="000000"/>
                <w:sz w:val="24"/>
                <w:szCs w:val="24"/>
              </w:rPr>
              <w:br/>
              <w:t>%</w:t>
            </w:r>
          </w:p>
        </w:tc>
      </w:tr>
      <w:tr w:rsidR="007E27CB">
        <w:trPr>
          <w:trHeight w:val="330"/>
        </w:trPr>
        <w:tc>
          <w:tcPr>
            <w:tcW w:w="566" w:type="dxa"/>
            <w:tcBorders>
              <w:top w:val="single" w:sz="4" w:space="0" w:color="auto"/>
              <w:left w:val="single" w:sz="4" w:space="0" w:color="auto"/>
              <w:bottom w:val="single" w:sz="4" w:space="0" w:color="auto"/>
              <w:right w:val="single" w:sz="4" w:space="0" w:color="auto"/>
            </w:tcBorders>
            <w:vAlign w:val="center"/>
            <w:hideMark/>
          </w:tcPr>
          <w:p w:rsidR="007E27CB" w:rsidRDefault="008F141F">
            <w:pPr>
              <w:jc w:val="center"/>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9212" w:type="dxa"/>
            <w:tcBorders>
              <w:top w:val="single" w:sz="4" w:space="0" w:color="auto"/>
              <w:left w:val="single" w:sz="4" w:space="0" w:color="auto"/>
              <w:bottom w:val="single" w:sz="4" w:space="0" w:color="auto"/>
              <w:right w:val="single" w:sz="4" w:space="0" w:color="auto"/>
            </w:tcBorders>
            <w:vAlign w:val="center"/>
            <w:hideMark/>
          </w:tcPr>
          <w:p w:rsidR="007E27CB" w:rsidRDefault="008F141F">
            <w:pPr>
              <w:rPr>
                <w:rFonts w:ascii="Times New Roman" w:hAnsi="Times New Roman" w:cs="Times New Roman"/>
                <w:color w:val="000000"/>
                <w:sz w:val="24"/>
                <w:szCs w:val="24"/>
              </w:rPr>
            </w:pPr>
            <w:r>
              <w:rPr>
                <w:rFonts w:ascii="Times New Roman" w:hAnsi="Times New Roman" w:cs="Times New Roman"/>
                <w:color w:val="000000"/>
                <w:sz w:val="24"/>
                <w:szCs w:val="24"/>
              </w:rPr>
              <w:t>Врачи и работники медицинских организаций, имеющие высшее медицинское (фармацевтическое) или иное высшее образование, предоставляющие медицинские услуги (обеспечивающие предоставление медицинских услуг)</w:t>
            </w:r>
          </w:p>
        </w:tc>
        <w:tc>
          <w:tcPr>
            <w:tcW w:w="2835" w:type="dxa"/>
            <w:tcBorders>
              <w:top w:val="single" w:sz="4" w:space="0" w:color="auto"/>
              <w:left w:val="single" w:sz="4" w:space="0" w:color="auto"/>
              <w:bottom w:val="single" w:sz="4" w:space="0" w:color="auto"/>
              <w:right w:val="single" w:sz="4" w:space="0" w:color="auto"/>
            </w:tcBorders>
            <w:vAlign w:val="center"/>
            <w:hideMark/>
          </w:tcPr>
          <w:p w:rsidR="007E27CB" w:rsidRDefault="008F141F">
            <w:pPr>
              <w:jc w:val="center"/>
              <w:rPr>
                <w:rFonts w:ascii="Times New Roman" w:hAnsi="Times New Roman" w:cs="Times New Roman"/>
                <w:bCs/>
                <w:color w:val="000000"/>
                <w:sz w:val="24"/>
                <w:szCs w:val="24"/>
              </w:rPr>
            </w:pPr>
            <w:r>
              <w:rPr>
                <w:rFonts w:ascii="Times New Roman" w:hAnsi="Times New Roman" w:cs="Times New Roman"/>
                <w:color w:val="000000"/>
                <w:sz w:val="24"/>
                <w:szCs w:val="24"/>
              </w:rPr>
              <w:t>75 009,4</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7E27CB" w:rsidRDefault="008F141F">
            <w:pPr>
              <w:jc w:val="center"/>
              <w:rPr>
                <w:rFonts w:ascii="Times New Roman" w:hAnsi="Times New Roman" w:cs="Times New Roman"/>
                <w:i/>
                <w:color w:val="000000"/>
                <w:sz w:val="24"/>
                <w:szCs w:val="24"/>
              </w:rPr>
            </w:pPr>
            <w:r>
              <w:rPr>
                <w:rFonts w:ascii="Times New Roman" w:hAnsi="Times New Roman" w:cs="Times New Roman"/>
                <w:i/>
                <w:color w:val="000000"/>
                <w:sz w:val="24"/>
                <w:szCs w:val="24"/>
              </w:rPr>
              <w:t>199,0</w:t>
            </w:r>
          </w:p>
        </w:tc>
      </w:tr>
      <w:tr w:rsidR="007E27CB">
        <w:trPr>
          <w:trHeight w:val="300"/>
        </w:trPr>
        <w:tc>
          <w:tcPr>
            <w:tcW w:w="566" w:type="dxa"/>
            <w:tcBorders>
              <w:top w:val="single" w:sz="4" w:space="0" w:color="auto"/>
              <w:left w:val="single" w:sz="4" w:space="0" w:color="auto"/>
              <w:bottom w:val="single" w:sz="4" w:space="0" w:color="auto"/>
              <w:right w:val="single" w:sz="4" w:space="0" w:color="auto"/>
            </w:tcBorders>
            <w:vAlign w:val="center"/>
            <w:hideMark/>
          </w:tcPr>
          <w:p w:rsidR="007E27CB" w:rsidRDefault="008F141F">
            <w:pPr>
              <w:jc w:val="center"/>
              <w:rPr>
                <w:rFonts w:ascii="Times New Roman" w:hAnsi="Times New Roman" w:cs="Times New Roman"/>
                <w:color w:val="000000"/>
                <w:sz w:val="24"/>
                <w:szCs w:val="24"/>
              </w:rPr>
            </w:pPr>
            <w:r>
              <w:rPr>
                <w:rFonts w:ascii="Times New Roman" w:hAnsi="Times New Roman" w:cs="Times New Roman"/>
                <w:color w:val="000000"/>
                <w:sz w:val="24"/>
                <w:szCs w:val="24"/>
              </w:rPr>
              <w:t>2.</w:t>
            </w:r>
          </w:p>
        </w:tc>
        <w:tc>
          <w:tcPr>
            <w:tcW w:w="9212" w:type="dxa"/>
            <w:tcBorders>
              <w:top w:val="single" w:sz="4" w:space="0" w:color="auto"/>
              <w:left w:val="single" w:sz="4" w:space="0" w:color="auto"/>
              <w:bottom w:val="single" w:sz="4" w:space="0" w:color="auto"/>
              <w:right w:val="single" w:sz="4" w:space="0" w:color="auto"/>
            </w:tcBorders>
            <w:vAlign w:val="center"/>
            <w:hideMark/>
          </w:tcPr>
          <w:p w:rsidR="007E27CB" w:rsidRDefault="008F141F">
            <w:pPr>
              <w:rPr>
                <w:rFonts w:ascii="Times New Roman" w:hAnsi="Times New Roman" w:cs="Times New Roman"/>
                <w:color w:val="000000"/>
                <w:sz w:val="24"/>
                <w:szCs w:val="24"/>
              </w:rPr>
            </w:pPr>
            <w:r>
              <w:rPr>
                <w:rFonts w:ascii="Times New Roman" w:hAnsi="Times New Roman" w:cs="Times New Roman"/>
                <w:color w:val="000000"/>
                <w:sz w:val="24"/>
                <w:szCs w:val="24"/>
              </w:rPr>
              <w:t>Средний медицинский (фармацевтический) персонал (персонал, обеспечивающий условия для предоставления медицинских услуг)</w:t>
            </w:r>
          </w:p>
        </w:tc>
        <w:tc>
          <w:tcPr>
            <w:tcW w:w="2835" w:type="dxa"/>
            <w:tcBorders>
              <w:top w:val="single" w:sz="4" w:space="0" w:color="auto"/>
              <w:left w:val="single" w:sz="4" w:space="0" w:color="auto"/>
              <w:bottom w:val="single" w:sz="4" w:space="0" w:color="auto"/>
              <w:right w:val="single" w:sz="4" w:space="0" w:color="auto"/>
            </w:tcBorders>
            <w:vAlign w:val="center"/>
            <w:hideMark/>
          </w:tcPr>
          <w:p w:rsidR="007E27CB" w:rsidRDefault="008F141F">
            <w:pPr>
              <w:jc w:val="center"/>
              <w:rPr>
                <w:rFonts w:ascii="Times New Roman" w:hAnsi="Times New Roman" w:cs="Times New Roman"/>
                <w:bCs/>
                <w:color w:val="000000"/>
                <w:sz w:val="24"/>
                <w:szCs w:val="24"/>
              </w:rPr>
            </w:pPr>
            <w:r>
              <w:rPr>
                <w:rFonts w:ascii="Times New Roman" w:hAnsi="Times New Roman" w:cs="Times New Roman"/>
                <w:color w:val="000000"/>
                <w:sz w:val="24"/>
                <w:szCs w:val="24"/>
              </w:rPr>
              <w:t>37 855,2</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7E27CB" w:rsidRDefault="008F141F">
            <w:pPr>
              <w:jc w:val="center"/>
              <w:rPr>
                <w:rFonts w:ascii="Times New Roman" w:hAnsi="Times New Roman" w:cs="Times New Roman"/>
                <w:i/>
                <w:color w:val="000000"/>
                <w:sz w:val="24"/>
                <w:szCs w:val="24"/>
              </w:rPr>
            </w:pPr>
            <w:r>
              <w:rPr>
                <w:rFonts w:ascii="Times New Roman" w:hAnsi="Times New Roman" w:cs="Times New Roman"/>
                <w:i/>
                <w:color w:val="000000"/>
                <w:sz w:val="24"/>
                <w:szCs w:val="24"/>
              </w:rPr>
              <w:t>100,4</w:t>
            </w:r>
          </w:p>
        </w:tc>
      </w:tr>
      <w:tr w:rsidR="007E27CB">
        <w:trPr>
          <w:trHeight w:val="475"/>
        </w:trPr>
        <w:tc>
          <w:tcPr>
            <w:tcW w:w="566" w:type="dxa"/>
            <w:tcBorders>
              <w:top w:val="single" w:sz="4" w:space="0" w:color="auto"/>
              <w:left w:val="single" w:sz="4" w:space="0" w:color="auto"/>
              <w:bottom w:val="single" w:sz="4" w:space="0" w:color="auto"/>
              <w:right w:val="single" w:sz="4" w:space="0" w:color="auto"/>
            </w:tcBorders>
            <w:vAlign w:val="center"/>
            <w:hideMark/>
          </w:tcPr>
          <w:p w:rsidR="007E27CB" w:rsidRDefault="008F141F">
            <w:pPr>
              <w:jc w:val="center"/>
              <w:rPr>
                <w:rFonts w:ascii="Times New Roman" w:hAnsi="Times New Roman" w:cs="Times New Roman"/>
                <w:color w:val="000000"/>
                <w:sz w:val="24"/>
                <w:szCs w:val="24"/>
              </w:rPr>
            </w:pPr>
            <w:r>
              <w:rPr>
                <w:rFonts w:ascii="Times New Roman" w:hAnsi="Times New Roman" w:cs="Times New Roman"/>
                <w:color w:val="000000"/>
                <w:sz w:val="24"/>
                <w:szCs w:val="24"/>
              </w:rPr>
              <w:t>3.</w:t>
            </w:r>
          </w:p>
        </w:tc>
        <w:tc>
          <w:tcPr>
            <w:tcW w:w="9212" w:type="dxa"/>
            <w:tcBorders>
              <w:top w:val="single" w:sz="4" w:space="0" w:color="auto"/>
              <w:left w:val="single" w:sz="4" w:space="0" w:color="auto"/>
              <w:bottom w:val="single" w:sz="4" w:space="0" w:color="auto"/>
              <w:right w:val="single" w:sz="4" w:space="0" w:color="auto"/>
            </w:tcBorders>
            <w:vAlign w:val="center"/>
            <w:hideMark/>
          </w:tcPr>
          <w:p w:rsidR="007E27CB" w:rsidRDefault="008F141F">
            <w:pPr>
              <w:rPr>
                <w:rFonts w:ascii="Times New Roman" w:hAnsi="Times New Roman" w:cs="Times New Roman"/>
                <w:color w:val="000000"/>
                <w:sz w:val="24"/>
                <w:szCs w:val="24"/>
              </w:rPr>
            </w:pPr>
            <w:r>
              <w:rPr>
                <w:rFonts w:ascii="Times New Roman" w:hAnsi="Times New Roman" w:cs="Times New Roman"/>
                <w:color w:val="000000"/>
                <w:sz w:val="24"/>
                <w:szCs w:val="24"/>
              </w:rPr>
              <w:t>Младший медицинский  персонал (персонал, обеспечивающий условия для предоставления медицинских услуг)</w:t>
            </w:r>
          </w:p>
        </w:tc>
        <w:tc>
          <w:tcPr>
            <w:tcW w:w="2835" w:type="dxa"/>
            <w:tcBorders>
              <w:top w:val="single" w:sz="4" w:space="0" w:color="auto"/>
              <w:left w:val="single" w:sz="4" w:space="0" w:color="auto"/>
              <w:bottom w:val="single" w:sz="4" w:space="0" w:color="auto"/>
              <w:right w:val="single" w:sz="4" w:space="0" w:color="auto"/>
            </w:tcBorders>
            <w:vAlign w:val="center"/>
            <w:hideMark/>
          </w:tcPr>
          <w:p w:rsidR="007E27CB" w:rsidRDefault="008F141F">
            <w:pPr>
              <w:jc w:val="center"/>
              <w:rPr>
                <w:rFonts w:ascii="Times New Roman" w:hAnsi="Times New Roman" w:cs="Times New Roman"/>
                <w:bCs/>
                <w:color w:val="000000"/>
                <w:sz w:val="24"/>
                <w:szCs w:val="24"/>
              </w:rPr>
            </w:pPr>
            <w:r>
              <w:rPr>
                <w:rFonts w:ascii="Times New Roman" w:hAnsi="Times New Roman" w:cs="Times New Roman"/>
                <w:color w:val="000000"/>
                <w:sz w:val="24"/>
                <w:szCs w:val="24"/>
              </w:rPr>
              <w:t>36 271,6</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7E27CB" w:rsidRDefault="008F141F">
            <w:pPr>
              <w:jc w:val="center"/>
              <w:rPr>
                <w:rFonts w:ascii="Times New Roman" w:hAnsi="Times New Roman" w:cs="Times New Roman"/>
                <w:i/>
                <w:color w:val="000000"/>
                <w:sz w:val="24"/>
                <w:szCs w:val="24"/>
              </w:rPr>
            </w:pPr>
            <w:r>
              <w:rPr>
                <w:rFonts w:ascii="Times New Roman" w:hAnsi="Times New Roman" w:cs="Times New Roman"/>
                <w:i/>
                <w:color w:val="000000"/>
                <w:sz w:val="24"/>
                <w:szCs w:val="24"/>
              </w:rPr>
              <w:t>96,2</w:t>
            </w:r>
          </w:p>
        </w:tc>
      </w:tr>
      <w:tr w:rsidR="007E27CB">
        <w:trPr>
          <w:trHeight w:val="330"/>
        </w:trPr>
        <w:tc>
          <w:tcPr>
            <w:tcW w:w="566" w:type="dxa"/>
            <w:tcBorders>
              <w:top w:val="single" w:sz="4" w:space="0" w:color="auto"/>
              <w:left w:val="single" w:sz="4" w:space="0" w:color="auto"/>
              <w:bottom w:val="single" w:sz="4" w:space="0" w:color="auto"/>
              <w:right w:val="single" w:sz="4" w:space="0" w:color="auto"/>
            </w:tcBorders>
            <w:vAlign w:val="center"/>
            <w:hideMark/>
          </w:tcPr>
          <w:p w:rsidR="007E27CB" w:rsidRDefault="008F141F">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9212" w:type="dxa"/>
            <w:tcBorders>
              <w:top w:val="single" w:sz="4" w:space="0" w:color="auto"/>
              <w:left w:val="single" w:sz="4" w:space="0" w:color="auto"/>
              <w:bottom w:val="single" w:sz="4" w:space="0" w:color="auto"/>
              <w:right w:val="single" w:sz="4" w:space="0" w:color="auto"/>
            </w:tcBorders>
            <w:vAlign w:val="center"/>
            <w:hideMark/>
          </w:tcPr>
          <w:p w:rsidR="007E27CB" w:rsidRDefault="008F141F">
            <w:pPr>
              <w:rPr>
                <w:rFonts w:ascii="Times New Roman" w:hAnsi="Times New Roman" w:cs="Times New Roman"/>
                <w:color w:val="000000"/>
                <w:sz w:val="24"/>
                <w:szCs w:val="24"/>
              </w:rPr>
            </w:pPr>
            <w:r>
              <w:rPr>
                <w:rFonts w:ascii="Times New Roman" w:hAnsi="Times New Roman" w:cs="Times New Roman"/>
                <w:color w:val="000000"/>
                <w:sz w:val="24"/>
                <w:szCs w:val="24"/>
              </w:rPr>
              <w:t>Педагогические работники дошкольных образовательных организаций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7E27CB" w:rsidRDefault="008F141F">
            <w:pPr>
              <w:jc w:val="center"/>
              <w:rPr>
                <w:rFonts w:ascii="Times New Roman" w:hAnsi="Times New Roman" w:cs="Times New Roman"/>
                <w:bCs/>
                <w:color w:val="000000"/>
                <w:sz w:val="24"/>
                <w:szCs w:val="24"/>
              </w:rPr>
            </w:pPr>
            <w:r>
              <w:rPr>
                <w:rFonts w:ascii="Times New Roman" w:hAnsi="Times New Roman" w:cs="Times New Roman"/>
                <w:color w:val="000000"/>
                <w:sz w:val="24"/>
                <w:szCs w:val="24"/>
              </w:rPr>
              <w:t>33 774,9</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7E27CB" w:rsidRDefault="008F141F">
            <w:pPr>
              <w:jc w:val="center"/>
              <w:rPr>
                <w:rFonts w:ascii="Times New Roman" w:hAnsi="Times New Roman" w:cs="Times New Roman"/>
                <w:i/>
                <w:strike/>
                <w:color w:val="000000"/>
                <w:sz w:val="24"/>
                <w:szCs w:val="24"/>
              </w:rPr>
            </w:pPr>
            <w:r>
              <w:rPr>
                <w:rFonts w:ascii="Times New Roman" w:hAnsi="Times New Roman" w:cs="Times New Roman"/>
                <w:i/>
                <w:color w:val="000000"/>
                <w:sz w:val="24"/>
                <w:szCs w:val="24"/>
                <w:lang w:val="en-US"/>
              </w:rPr>
              <w:t>9</w:t>
            </w:r>
            <w:r>
              <w:rPr>
                <w:rFonts w:ascii="Times New Roman" w:hAnsi="Times New Roman" w:cs="Times New Roman"/>
                <w:i/>
                <w:color w:val="000000"/>
                <w:sz w:val="24"/>
                <w:szCs w:val="24"/>
              </w:rPr>
              <w:t>7,8</w:t>
            </w:r>
            <w:r>
              <w:rPr>
                <w:rFonts w:ascii="Times New Roman" w:hAnsi="Times New Roman" w:cs="Times New Roman"/>
                <w:i/>
                <w:color w:val="000000"/>
                <w:sz w:val="24"/>
                <w:szCs w:val="24"/>
                <w:vertAlign w:val="superscript"/>
              </w:rPr>
              <w:t>1</w:t>
            </w:r>
            <w:r>
              <w:rPr>
                <w:rFonts w:ascii="Times New Roman" w:hAnsi="Times New Roman" w:cs="Times New Roman"/>
                <w:i/>
                <w:color w:val="000000"/>
                <w:sz w:val="24"/>
                <w:szCs w:val="24"/>
                <w:lang w:val="en-US"/>
              </w:rPr>
              <w:t xml:space="preserve"> </w:t>
            </w:r>
          </w:p>
        </w:tc>
      </w:tr>
      <w:tr w:rsidR="007E27CB">
        <w:trPr>
          <w:trHeight w:val="476"/>
        </w:trPr>
        <w:tc>
          <w:tcPr>
            <w:tcW w:w="566" w:type="dxa"/>
            <w:tcBorders>
              <w:top w:val="single" w:sz="4" w:space="0" w:color="auto"/>
              <w:left w:val="single" w:sz="4" w:space="0" w:color="auto"/>
              <w:bottom w:val="single" w:sz="4" w:space="0" w:color="auto"/>
              <w:right w:val="single" w:sz="4" w:space="0" w:color="auto"/>
            </w:tcBorders>
            <w:vAlign w:val="center"/>
            <w:hideMark/>
          </w:tcPr>
          <w:p w:rsidR="007E27CB" w:rsidRDefault="008F141F">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9212" w:type="dxa"/>
            <w:tcBorders>
              <w:top w:val="single" w:sz="4" w:space="0" w:color="auto"/>
              <w:left w:val="single" w:sz="4" w:space="0" w:color="auto"/>
              <w:bottom w:val="single" w:sz="4" w:space="0" w:color="auto"/>
              <w:right w:val="single" w:sz="4" w:space="0" w:color="auto"/>
            </w:tcBorders>
            <w:vAlign w:val="center"/>
            <w:hideMark/>
          </w:tcPr>
          <w:p w:rsidR="007E27CB" w:rsidRDefault="008F141F">
            <w:pPr>
              <w:rPr>
                <w:rFonts w:ascii="Times New Roman" w:hAnsi="Times New Roman" w:cs="Times New Roman"/>
                <w:color w:val="000000"/>
                <w:sz w:val="24"/>
                <w:szCs w:val="24"/>
              </w:rPr>
            </w:pPr>
            <w:r>
              <w:rPr>
                <w:rFonts w:ascii="Times New Roman" w:hAnsi="Times New Roman" w:cs="Times New Roman"/>
                <w:color w:val="000000"/>
                <w:sz w:val="24"/>
                <w:szCs w:val="24"/>
              </w:rPr>
              <w:t>Педагогические работники образовательных организаций общего образования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7E27CB" w:rsidRDefault="008F141F">
            <w:pPr>
              <w:jc w:val="center"/>
              <w:rPr>
                <w:rFonts w:ascii="Times New Roman" w:hAnsi="Times New Roman" w:cs="Times New Roman"/>
                <w:bCs/>
                <w:color w:val="000000"/>
                <w:sz w:val="24"/>
                <w:szCs w:val="24"/>
              </w:rPr>
            </w:pPr>
            <w:r>
              <w:rPr>
                <w:rFonts w:ascii="Times New Roman" w:hAnsi="Times New Roman" w:cs="Times New Roman"/>
                <w:color w:val="000000"/>
                <w:sz w:val="24"/>
                <w:szCs w:val="24"/>
              </w:rPr>
              <w:t>36 728,8</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7E27CB" w:rsidRDefault="008F141F">
            <w:pPr>
              <w:jc w:val="center"/>
              <w:rPr>
                <w:rFonts w:ascii="Times New Roman" w:hAnsi="Times New Roman" w:cs="Times New Roman"/>
                <w:i/>
                <w:color w:val="000000"/>
                <w:sz w:val="24"/>
                <w:szCs w:val="24"/>
              </w:rPr>
            </w:pPr>
            <w:r>
              <w:rPr>
                <w:rFonts w:ascii="Times New Roman" w:hAnsi="Times New Roman" w:cs="Times New Roman"/>
                <w:i/>
                <w:color w:val="000000"/>
                <w:sz w:val="24"/>
                <w:szCs w:val="24"/>
                <w:lang w:val="en-US"/>
              </w:rPr>
              <w:t>97</w:t>
            </w:r>
            <w:r>
              <w:rPr>
                <w:rFonts w:ascii="Times New Roman" w:hAnsi="Times New Roman" w:cs="Times New Roman"/>
                <w:i/>
                <w:color w:val="000000"/>
                <w:sz w:val="24"/>
                <w:szCs w:val="24"/>
              </w:rPr>
              <w:t>,4</w:t>
            </w:r>
          </w:p>
        </w:tc>
      </w:tr>
      <w:tr w:rsidR="007E27CB">
        <w:trPr>
          <w:trHeight w:val="478"/>
        </w:trPr>
        <w:tc>
          <w:tcPr>
            <w:tcW w:w="566" w:type="dxa"/>
            <w:tcBorders>
              <w:top w:val="single" w:sz="4" w:space="0" w:color="auto"/>
              <w:left w:val="single" w:sz="4" w:space="0" w:color="auto"/>
              <w:bottom w:val="single" w:sz="4" w:space="0" w:color="auto"/>
              <w:right w:val="single" w:sz="4" w:space="0" w:color="auto"/>
            </w:tcBorders>
            <w:vAlign w:val="center"/>
            <w:hideMark/>
          </w:tcPr>
          <w:p w:rsidR="007E27CB" w:rsidRDefault="008F141F">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9212" w:type="dxa"/>
            <w:tcBorders>
              <w:top w:val="single" w:sz="4" w:space="0" w:color="auto"/>
              <w:left w:val="single" w:sz="4" w:space="0" w:color="auto"/>
              <w:bottom w:val="single" w:sz="4" w:space="0" w:color="auto"/>
              <w:right w:val="single" w:sz="4" w:space="0" w:color="auto"/>
            </w:tcBorders>
            <w:vAlign w:val="center"/>
            <w:hideMark/>
          </w:tcPr>
          <w:p w:rsidR="007E27CB" w:rsidRDefault="008F141F">
            <w:pPr>
              <w:rPr>
                <w:rFonts w:ascii="Times New Roman" w:hAnsi="Times New Roman" w:cs="Times New Roman"/>
                <w:color w:val="000000"/>
                <w:sz w:val="24"/>
                <w:szCs w:val="24"/>
              </w:rPr>
            </w:pPr>
            <w:r>
              <w:rPr>
                <w:rFonts w:ascii="Times New Roman" w:hAnsi="Times New Roman" w:cs="Times New Roman"/>
                <w:color w:val="000000"/>
                <w:sz w:val="24"/>
                <w:szCs w:val="24"/>
              </w:rPr>
              <w:t>Педагогические работники организаций  дополнительного  образования детей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7E27CB" w:rsidRDefault="008F141F">
            <w:pPr>
              <w:jc w:val="center"/>
              <w:rPr>
                <w:rFonts w:ascii="Times New Roman" w:hAnsi="Times New Roman" w:cs="Times New Roman"/>
                <w:bCs/>
                <w:color w:val="000000"/>
                <w:sz w:val="24"/>
                <w:szCs w:val="24"/>
              </w:rPr>
            </w:pPr>
            <w:r>
              <w:rPr>
                <w:rFonts w:ascii="Times New Roman" w:hAnsi="Times New Roman" w:cs="Times New Roman"/>
                <w:color w:val="000000"/>
                <w:sz w:val="24"/>
                <w:szCs w:val="24"/>
              </w:rPr>
              <w:t>36 918,0</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7E27CB" w:rsidRDefault="008F141F">
            <w:pPr>
              <w:jc w:val="center"/>
              <w:rPr>
                <w:rFonts w:ascii="Times New Roman" w:hAnsi="Times New Roman" w:cs="Times New Roman"/>
                <w:i/>
                <w:color w:val="000000"/>
                <w:sz w:val="24"/>
                <w:szCs w:val="24"/>
              </w:rPr>
            </w:pPr>
            <w:r>
              <w:rPr>
                <w:rFonts w:ascii="Times New Roman" w:hAnsi="Times New Roman" w:cs="Times New Roman"/>
                <w:i/>
                <w:color w:val="000000"/>
                <w:sz w:val="24"/>
                <w:szCs w:val="24"/>
              </w:rPr>
              <w:t>100,0</w:t>
            </w:r>
            <w:r>
              <w:rPr>
                <w:rFonts w:ascii="Times New Roman" w:hAnsi="Times New Roman" w:cs="Times New Roman"/>
                <w:color w:val="000000"/>
                <w:sz w:val="24"/>
                <w:szCs w:val="24"/>
                <w:vertAlign w:val="superscript"/>
              </w:rPr>
              <w:t>2</w:t>
            </w:r>
          </w:p>
        </w:tc>
      </w:tr>
      <w:tr w:rsidR="007E27CB">
        <w:trPr>
          <w:trHeight w:val="453"/>
        </w:trPr>
        <w:tc>
          <w:tcPr>
            <w:tcW w:w="566" w:type="dxa"/>
            <w:tcBorders>
              <w:top w:val="single" w:sz="4" w:space="0" w:color="auto"/>
              <w:left w:val="single" w:sz="4" w:space="0" w:color="auto"/>
              <w:bottom w:val="single" w:sz="4" w:space="0" w:color="auto"/>
              <w:right w:val="single" w:sz="4" w:space="0" w:color="auto"/>
            </w:tcBorders>
            <w:vAlign w:val="center"/>
            <w:hideMark/>
          </w:tcPr>
          <w:p w:rsidR="007E27CB" w:rsidRDefault="008F141F">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9212" w:type="dxa"/>
            <w:tcBorders>
              <w:top w:val="single" w:sz="4" w:space="0" w:color="auto"/>
              <w:left w:val="single" w:sz="4" w:space="0" w:color="auto"/>
              <w:bottom w:val="single" w:sz="4" w:space="0" w:color="auto"/>
              <w:right w:val="single" w:sz="4" w:space="0" w:color="auto"/>
            </w:tcBorders>
            <w:vAlign w:val="center"/>
            <w:hideMark/>
          </w:tcPr>
          <w:p w:rsidR="007E27CB" w:rsidRDefault="008F141F">
            <w:pPr>
              <w:rPr>
                <w:rFonts w:ascii="Times New Roman" w:hAnsi="Times New Roman" w:cs="Times New Roman"/>
                <w:color w:val="000000"/>
                <w:sz w:val="24"/>
                <w:szCs w:val="24"/>
              </w:rPr>
            </w:pPr>
            <w:r>
              <w:rPr>
                <w:rFonts w:ascii="Times New Roman" w:hAnsi="Times New Roman" w:cs="Times New Roman"/>
                <w:color w:val="000000"/>
                <w:sz w:val="24"/>
                <w:szCs w:val="24"/>
              </w:rPr>
              <w:t>Преподаватели и мастера производственного обучения образовательных организаций начального и среднего профессионального образования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7E27CB" w:rsidRDefault="008F141F">
            <w:pPr>
              <w:jc w:val="center"/>
              <w:rPr>
                <w:rFonts w:ascii="Times New Roman" w:hAnsi="Times New Roman" w:cs="Times New Roman"/>
                <w:bCs/>
                <w:color w:val="000000"/>
                <w:sz w:val="24"/>
                <w:szCs w:val="24"/>
              </w:rPr>
            </w:pPr>
            <w:r>
              <w:rPr>
                <w:rFonts w:ascii="Times New Roman" w:hAnsi="Times New Roman" w:cs="Times New Roman"/>
                <w:color w:val="000000"/>
                <w:sz w:val="24"/>
                <w:szCs w:val="24"/>
              </w:rPr>
              <w:t>36 999,8</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7E27CB" w:rsidRDefault="008F141F">
            <w:pPr>
              <w:jc w:val="center"/>
              <w:rPr>
                <w:rFonts w:ascii="Times New Roman" w:hAnsi="Times New Roman" w:cs="Times New Roman"/>
                <w:i/>
                <w:color w:val="000000"/>
                <w:sz w:val="24"/>
                <w:szCs w:val="24"/>
              </w:rPr>
            </w:pPr>
            <w:r>
              <w:rPr>
                <w:rFonts w:ascii="Times New Roman" w:hAnsi="Times New Roman" w:cs="Times New Roman"/>
                <w:i/>
                <w:color w:val="000000"/>
                <w:sz w:val="24"/>
                <w:szCs w:val="24"/>
              </w:rPr>
              <w:t>98,2</w:t>
            </w:r>
          </w:p>
        </w:tc>
      </w:tr>
      <w:tr w:rsidR="007E27CB">
        <w:trPr>
          <w:trHeight w:val="953"/>
        </w:trPr>
        <w:tc>
          <w:tcPr>
            <w:tcW w:w="566" w:type="dxa"/>
            <w:tcBorders>
              <w:top w:val="single" w:sz="4" w:space="0" w:color="auto"/>
              <w:left w:val="single" w:sz="4" w:space="0" w:color="auto"/>
              <w:bottom w:val="single" w:sz="4" w:space="0" w:color="auto"/>
              <w:right w:val="single" w:sz="4" w:space="0" w:color="auto"/>
            </w:tcBorders>
            <w:vAlign w:val="center"/>
            <w:hideMark/>
          </w:tcPr>
          <w:p w:rsidR="007E27CB" w:rsidRDefault="008F141F">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9212" w:type="dxa"/>
            <w:tcBorders>
              <w:top w:val="single" w:sz="4" w:space="0" w:color="auto"/>
              <w:left w:val="single" w:sz="4" w:space="0" w:color="auto"/>
              <w:bottom w:val="single" w:sz="4" w:space="0" w:color="auto"/>
              <w:right w:val="single" w:sz="4" w:space="0" w:color="auto"/>
            </w:tcBorders>
            <w:vAlign w:val="center"/>
            <w:hideMark/>
          </w:tcPr>
          <w:p w:rsidR="007E27CB" w:rsidRDefault="008F141F">
            <w:pPr>
              <w:rPr>
                <w:rFonts w:ascii="Times New Roman" w:hAnsi="Times New Roman" w:cs="Times New Roman"/>
                <w:color w:val="000000"/>
                <w:sz w:val="24"/>
                <w:szCs w:val="24"/>
              </w:rPr>
            </w:pPr>
            <w:r>
              <w:rPr>
                <w:rFonts w:ascii="Times New Roman" w:hAnsi="Times New Roman" w:cs="Times New Roman"/>
                <w:color w:val="000000"/>
                <w:sz w:val="24"/>
                <w:szCs w:val="24"/>
              </w:rPr>
              <w:t>Педагогические работники образовательных, медицинских организаций или организаций, оказывающих социальные услуги детям-сиротам и детям, оставшимся без попечения родителей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7E27CB" w:rsidRDefault="008F141F">
            <w:pPr>
              <w:jc w:val="center"/>
              <w:rPr>
                <w:rFonts w:ascii="Times New Roman" w:hAnsi="Times New Roman" w:cs="Times New Roman"/>
                <w:bCs/>
                <w:color w:val="000000"/>
                <w:sz w:val="24"/>
                <w:szCs w:val="24"/>
              </w:rPr>
            </w:pPr>
            <w:r>
              <w:rPr>
                <w:rFonts w:ascii="Times New Roman" w:hAnsi="Times New Roman" w:cs="Times New Roman"/>
                <w:color w:val="000000"/>
                <w:sz w:val="24"/>
                <w:szCs w:val="24"/>
              </w:rPr>
              <w:t>36 613,1</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7E27CB" w:rsidRDefault="008F141F">
            <w:pPr>
              <w:jc w:val="center"/>
              <w:rPr>
                <w:rFonts w:ascii="Times New Roman" w:hAnsi="Times New Roman" w:cs="Times New Roman"/>
                <w:i/>
                <w:color w:val="000000"/>
                <w:sz w:val="24"/>
                <w:szCs w:val="24"/>
              </w:rPr>
            </w:pPr>
            <w:r>
              <w:rPr>
                <w:rFonts w:ascii="Times New Roman" w:hAnsi="Times New Roman" w:cs="Times New Roman"/>
                <w:i/>
                <w:color w:val="000000"/>
                <w:sz w:val="24"/>
                <w:szCs w:val="24"/>
              </w:rPr>
              <w:t>97,1</w:t>
            </w:r>
          </w:p>
        </w:tc>
      </w:tr>
      <w:tr w:rsidR="007E27CB">
        <w:trPr>
          <w:trHeight w:val="514"/>
        </w:trPr>
        <w:tc>
          <w:tcPr>
            <w:tcW w:w="566" w:type="dxa"/>
            <w:tcBorders>
              <w:top w:val="single" w:sz="4" w:space="0" w:color="auto"/>
              <w:left w:val="single" w:sz="4" w:space="0" w:color="auto"/>
              <w:bottom w:val="single" w:sz="4" w:space="0" w:color="auto"/>
              <w:right w:val="single" w:sz="4" w:space="0" w:color="auto"/>
            </w:tcBorders>
            <w:vAlign w:val="center"/>
            <w:hideMark/>
          </w:tcPr>
          <w:p w:rsidR="007E27CB" w:rsidRDefault="008F141F">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9212" w:type="dxa"/>
            <w:tcBorders>
              <w:top w:val="single" w:sz="4" w:space="0" w:color="auto"/>
              <w:left w:val="single" w:sz="4" w:space="0" w:color="auto"/>
              <w:bottom w:val="single" w:sz="4" w:space="0" w:color="auto"/>
              <w:right w:val="single" w:sz="4" w:space="0" w:color="auto"/>
            </w:tcBorders>
            <w:vAlign w:val="center"/>
            <w:hideMark/>
          </w:tcPr>
          <w:p w:rsidR="007E27CB" w:rsidRDefault="008F141F">
            <w:pPr>
              <w:rPr>
                <w:rFonts w:ascii="Times New Roman" w:hAnsi="Times New Roman" w:cs="Times New Roman"/>
                <w:color w:val="000000"/>
                <w:sz w:val="24"/>
                <w:szCs w:val="24"/>
              </w:rPr>
            </w:pPr>
            <w:r>
              <w:rPr>
                <w:rFonts w:ascii="Times New Roman" w:hAnsi="Times New Roman" w:cs="Times New Roman"/>
                <w:color w:val="000000"/>
                <w:sz w:val="24"/>
                <w:szCs w:val="24"/>
              </w:rPr>
              <w:t>Преподаватели образовательных организаций высшего профессионального образования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7E27CB" w:rsidRDefault="008F141F">
            <w:pPr>
              <w:jc w:val="center"/>
              <w:rPr>
                <w:rFonts w:ascii="Times New Roman" w:hAnsi="Times New Roman" w:cs="Times New Roman"/>
                <w:color w:val="000000"/>
                <w:sz w:val="24"/>
                <w:szCs w:val="24"/>
              </w:rPr>
            </w:pPr>
            <w:r>
              <w:rPr>
                <w:rFonts w:ascii="Times New Roman" w:hAnsi="Times New Roman" w:cs="Times New Roman"/>
                <w:color w:val="000000"/>
                <w:sz w:val="24"/>
                <w:szCs w:val="24"/>
              </w:rPr>
              <w:t>87 144,0</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7E27CB" w:rsidRDefault="008F141F">
            <w:pPr>
              <w:jc w:val="center"/>
              <w:rPr>
                <w:rFonts w:ascii="Times New Roman" w:hAnsi="Times New Roman" w:cs="Times New Roman"/>
                <w:i/>
                <w:color w:val="000000"/>
                <w:sz w:val="24"/>
                <w:szCs w:val="24"/>
              </w:rPr>
            </w:pPr>
            <w:r>
              <w:rPr>
                <w:rFonts w:ascii="Times New Roman" w:hAnsi="Times New Roman" w:cs="Times New Roman"/>
                <w:i/>
                <w:color w:val="000000"/>
                <w:sz w:val="24"/>
                <w:szCs w:val="24"/>
              </w:rPr>
              <w:t>231,2</w:t>
            </w:r>
          </w:p>
        </w:tc>
      </w:tr>
      <w:tr w:rsidR="007E27CB">
        <w:trPr>
          <w:trHeight w:val="833"/>
        </w:trPr>
        <w:tc>
          <w:tcPr>
            <w:tcW w:w="566" w:type="dxa"/>
            <w:tcBorders>
              <w:top w:val="single" w:sz="4" w:space="0" w:color="auto"/>
              <w:left w:val="single" w:sz="4" w:space="0" w:color="auto"/>
              <w:bottom w:val="single" w:sz="4" w:space="0" w:color="auto"/>
              <w:right w:val="single" w:sz="4" w:space="0" w:color="auto"/>
            </w:tcBorders>
            <w:vAlign w:val="center"/>
            <w:hideMark/>
          </w:tcPr>
          <w:p w:rsidR="007E27CB" w:rsidRDefault="008F141F">
            <w:pPr>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9212" w:type="dxa"/>
            <w:tcBorders>
              <w:top w:val="single" w:sz="4" w:space="0" w:color="auto"/>
              <w:left w:val="single" w:sz="4" w:space="0" w:color="auto"/>
              <w:bottom w:val="single" w:sz="4" w:space="0" w:color="auto"/>
              <w:right w:val="single" w:sz="4" w:space="0" w:color="auto"/>
            </w:tcBorders>
            <w:vAlign w:val="center"/>
            <w:hideMark/>
          </w:tcPr>
          <w:p w:rsidR="007E27CB" w:rsidRDefault="008F141F">
            <w:pPr>
              <w:rPr>
                <w:rFonts w:ascii="Times New Roman" w:hAnsi="Times New Roman" w:cs="Times New Roman"/>
                <w:color w:val="000000"/>
                <w:sz w:val="24"/>
                <w:szCs w:val="24"/>
              </w:rPr>
            </w:pPr>
            <w:r>
              <w:rPr>
                <w:rFonts w:ascii="Times New Roman" w:hAnsi="Times New Roman" w:cs="Times New Roman"/>
                <w:color w:val="000000"/>
                <w:sz w:val="24"/>
                <w:szCs w:val="24"/>
              </w:rPr>
              <w:t>Научные сотрудники</w:t>
            </w:r>
          </w:p>
        </w:tc>
        <w:tc>
          <w:tcPr>
            <w:tcW w:w="2835" w:type="dxa"/>
            <w:tcBorders>
              <w:top w:val="single" w:sz="4" w:space="0" w:color="auto"/>
              <w:left w:val="single" w:sz="4" w:space="0" w:color="auto"/>
              <w:bottom w:val="single" w:sz="4" w:space="0" w:color="auto"/>
              <w:right w:val="single" w:sz="4" w:space="0" w:color="auto"/>
            </w:tcBorders>
            <w:vAlign w:val="center"/>
            <w:hideMark/>
          </w:tcPr>
          <w:p w:rsidR="007E27CB" w:rsidRDefault="008F141F">
            <w:pPr>
              <w:jc w:val="center"/>
              <w:rPr>
                <w:rFonts w:ascii="Times New Roman" w:hAnsi="Times New Roman" w:cs="Times New Roman"/>
                <w:color w:val="000000"/>
                <w:sz w:val="24"/>
                <w:szCs w:val="24"/>
              </w:rPr>
            </w:pPr>
            <w:r>
              <w:rPr>
                <w:rFonts w:ascii="Times New Roman" w:hAnsi="Times New Roman" w:cs="Times New Roman"/>
                <w:color w:val="000000"/>
                <w:sz w:val="24"/>
                <w:szCs w:val="24"/>
              </w:rPr>
              <w:t>94 135,7</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7E27CB" w:rsidRDefault="008F141F">
            <w:pPr>
              <w:jc w:val="center"/>
              <w:rPr>
                <w:rFonts w:ascii="Times New Roman" w:hAnsi="Times New Roman" w:cs="Times New Roman"/>
                <w:i/>
                <w:color w:val="000000"/>
                <w:sz w:val="24"/>
                <w:szCs w:val="24"/>
              </w:rPr>
            </w:pPr>
            <w:r>
              <w:rPr>
                <w:rFonts w:ascii="Times New Roman" w:hAnsi="Times New Roman" w:cs="Times New Roman"/>
                <w:i/>
                <w:color w:val="000000"/>
                <w:sz w:val="24"/>
                <w:szCs w:val="24"/>
              </w:rPr>
              <w:t>249,8</w:t>
            </w:r>
          </w:p>
        </w:tc>
      </w:tr>
      <w:tr w:rsidR="007E27CB">
        <w:trPr>
          <w:trHeight w:val="833"/>
        </w:trPr>
        <w:tc>
          <w:tcPr>
            <w:tcW w:w="566" w:type="dxa"/>
            <w:tcBorders>
              <w:top w:val="single" w:sz="4" w:space="0" w:color="auto"/>
              <w:left w:val="single" w:sz="4" w:space="0" w:color="auto"/>
              <w:bottom w:val="single" w:sz="4" w:space="0" w:color="auto"/>
              <w:right w:val="single" w:sz="4" w:space="0" w:color="auto"/>
            </w:tcBorders>
            <w:vAlign w:val="center"/>
          </w:tcPr>
          <w:p w:rsidR="007E27CB" w:rsidRDefault="008F141F">
            <w:pPr>
              <w:jc w:val="center"/>
              <w:rPr>
                <w:color w:val="000000"/>
                <w:sz w:val="24"/>
                <w:szCs w:val="24"/>
              </w:rPr>
            </w:pPr>
            <w:r>
              <w:rPr>
                <w:color w:val="000000"/>
                <w:sz w:val="24"/>
                <w:szCs w:val="24"/>
              </w:rPr>
              <w:t>11.</w:t>
            </w:r>
          </w:p>
        </w:tc>
        <w:tc>
          <w:tcPr>
            <w:tcW w:w="9212" w:type="dxa"/>
            <w:tcBorders>
              <w:top w:val="single" w:sz="4" w:space="0" w:color="auto"/>
              <w:left w:val="single" w:sz="4" w:space="0" w:color="auto"/>
              <w:bottom w:val="single" w:sz="4" w:space="0" w:color="auto"/>
              <w:right w:val="single" w:sz="4" w:space="0" w:color="auto"/>
            </w:tcBorders>
            <w:vAlign w:val="center"/>
          </w:tcPr>
          <w:p w:rsidR="007E27CB" w:rsidRDefault="008F141F">
            <w:pPr>
              <w:rPr>
                <w:rFonts w:ascii="Times New Roman" w:hAnsi="Times New Roman" w:cs="Times New Roman"/>
                <w:color w:val="000000"/>
                <w:sz w:val="24"/>
                <w:szCs w:val="24"/>
              </w:rPr>
            </w:pPr>
            <w:r>
              <w:rPr>
                <w:rFonts w:ascii="Times New Roman" w:hAnsi="Times New Roman" w:cs="Times New Roman"/>
                <w:color w:val="000000"/>
                <w:sz w:val="24"/>
                <w:szCs w:val="24"/>
              </w:rPr>
              <w:t>Социальные работники</w:t>
            </w:r>
          </w:p>
        </w:tc>
        <w:tc>
          <w:tcPr>
            <w:tcW w:w="2835" w:type="dxa"/>
            <w:tcBorders>
              <w:top w:val="single" w:sz="4" w:space="0" w:color="auto"/>
              <w:left w:val="single" w:sz="4" w:space="0" w:color="auto"/>
              <w:bottom w:val="single" w:sz="4" w:space="0" w:color="auto"/>
              <w:right w:val="single" w:sz="4" w:space="0" w:color="auto"/>
            </w:tcBorders>
            <w:vAlign w:val="center"/>
          </w:tcPr>
          <w:p w:rsidR="007E27CB" w:rsidRDefault="008F141F">
            <w:pPr>
              <w:jc w:val="center"/>
              <w:rPr>
                <w:rFonts w:ascii="Times New Roman" w:hAnsi="Times New Roman" w:cs="Times New Roman"/>
                <w:bCs/>
                <w:color w:val="000000"/>
                <w:sz w:val="24"/>
                <w:szCs w:val="24"/>
              </w:rPr>
            </w:pPr>
            <w:r>
              <w:rPr>
                <w:rFonts w:ascii="Times New Roman" w:hAnsi="Times New Roman" w:cs="Times New Roman"/>
                <w:color w:val="000000"/>
                <w:sz w:val="24"/>
                <w:szCs w:val="24"/>
              </w:rPr>
              <w:t>36 687,0</w:t>
            </w:r>
          </w:p>
        </w:tc>
        <w:tc>
          <w:tcPr>
            <w:tcW w:w="2552" w:type="dxa"/>
            <w:tcBorders>
              <w:top w:val="single" w:sz="4" w:space="0" w:color="auto"/>
              <w:left w:val="single" w:sz="4" w:space="0" w:color="auto"/>
              <w:bottom w:val="single" w:sz="4" w:space="0" w:color="auto"/>
              <w:right w:val="single" w:sz="4" w:space="0" w:color="auto"/>
            </w:tcBorders>
            <w:noWrap/>
            <w:vAlign w:val="center"/>
          </w:tcPr>
          <w:p w:rsidR="007E27CB" w:rsidRDefault="008F141F">
            <w:pPr>
              <w:jc w:val="center"/>
              <w:rPr>
                <w:rFonts w:ascii="Times New Roman" w:hAnsi="Times New Roman" w:cs="Times New Roman"/>
                <w:i/>
                <w:color w:val="000000"/>
                <w:sz w:val="24"/>
                <w:szCs w:val="24"/>
              </w:rPr>
            </w:pPr>
            <w:r>
              <w:rPr>
                <w:rFonts w:ascii="Times New Roman" w:hAnsi="Times New Roman" w:cs="Times New Roman"/>
                <w:i/>
                <w:color w:val="000000"/>
                <w:sz w:val="24"/>
                <w:szCs w:val="24"/>
              </w:rPr>
              <w:t>97,3</w:t>
            </w:r>
          </w:p>
        </w:tc>
      </w:tr>
      <w:tr w:rsidR="007E27CB">
        <w:trPr>
          <w:trHeight w:val="833"/>
        </w:trPr>
        <w:tc>
          <w:tcPr>
            <w:tcW w:w="566" w:type="dxa"/>
            <w:tcBorders>
              <w:top w:val="single" w:sz="4" w:space="0" w:color="auto"/>
              <w:left w:val="single" w:sz="4" w:space="0" w:color="auto"/>
              <w:bottom w:val="single" w:sz="4" w:space="0" w:color="auto"/>
              <w:right w:val="single" w:sz="4" w:space="0" w:color="auto"/>
            </w:tcBorders>
            <w:vAlign w:val="center"/>
          </w:tcPr>
          <w:p w:rsidR="007E27CB" w:rsidRDefault="008F141F">
            <w:pPr>
              <w:jc w:val="center"/>
              <w:rPr>
                <w:color w:val="000000"/>
                <w:sz w:val="24"/>
                <w:szCs w:val="24"/>
              </w:rPr>
            </w:pPr>
            <w:r>
              <w:rPr>
                <w:color w:val="000000"/>
                <w:sz w:val="24"/>
                <w:szCs w:val="24"/>
              </w:rPr>
              <w:t>12.</w:t>
            </w:r>
          </w:p>
        </w:tc>
        <w:tc>
          <w:tcPr>
            <w:tcW w:w="9212" w:type="dxa"/>
            <w:tcBorders>
              <w:top w:val="single" w:sz="4" w:space="0" w:color="auto"/>
              <w:left w:val="single" w:sz="4" w:space="0" w:color="auto"/>
              <w:bottom w:val="single" w:sz="4" w:space="0" w:color="auto"/>
              <w:right w:val="single" w:sz="4" w:space="0" w:color="auto"/>
            </w:tcBorders>
            <w:vAlign w:val="center"/>
          </w:tcPr>
          <w:p w:rsidR="007E27CB" w:rsidRDefault="008F141F">
            <w:pPr>
              <w:rPr>
                <w:rFonts w:ascii="Times New Roman" w:hAnsi="Times New Roman" w:cs="Times New Roman"/>
                <w:color w:val="000000"/>
                <w:sz w:val="24"/>
                <w:szCs w:val="24"/>
              </w:rPr>
            </w:pPr>
            <w:r>
              <w:rPr>
                <w:rFonts w:ascii="Times New Roman" w:hAnsi="Times New Roman" w:cs="Times New Roman"/>
                <w:color w:val="000000"/>
                <w:sz w:val="24"/>
                <w:szCs w:val="24"/>
              </w:rPr>
              <w:t>Работники учреждений культуры</w:t>
            </w:r>
          </w:p>
        </w:tc>
        <w:tc>
          <w:tcPr>
            <w:tcW w:w="2835" w:type="dxa"/>
            <w:tcBorders>
              <w:top w:val="single" w:sz="4" w:space="0" w:color="auto"/>
              <w:left w:val="single" w:sz="4" w:space="0" w:color="auto"/>
              <w:bottom w:val="single" w:sz="4" w:space="0" w:color="auto"/>
              <w:right w:val="single" w:sz="4" w:space="0" w:color="auto"/>
            </w:tcBorders>
            <w:vAlign w:val="center"/>
          </w:tcPr>
          <w:p w:rsidR="007E27CB" w:rsidRDefault="008F141F">
            <w:pPr>
              <w:jc w:val="center"/>
              <w:rPr>
                <w:rFonts w:ascii="Times New Roman" w:hAnsi="Times New Roman" w:cs="Times New Roman"/>
                <w:bCs/>
                <w:color w:val="000000"/>
                <w:sz w:val="24"/>
                <w:szCs w:val="24"/>
              </w:rPr>
            </w:pPr>
            <w:r>
              <w:rPr>
                <w:rFonts w:ascii="Times New Roman" w:hAnsi="Times New Roman" w:cs="Times New Roman"/>
                <w:color w:val="000000"/>
                <w:sz w:val="24"/>
                <w:szCs w:val="24"/>
              </w:rPr>
              <w:t>36 829,2</w:t>
            </w:r>
          </w:p>
        </w:tc>
        <w:tc>
          <w:tcPr>
            <w:tcW w:w="2552" w:type="dxa"/>
            <w:tcBorders>
              <w:top w:val="single" w:sz="4" w:space="0" w:color="auto"/>
              <w:left w:val="single" w:sz="4" w:space="0" w:color="auto"/>
              <w:bottom w:val="single" w:sz="4" w:space="0" w:color="auto"/>
              <w:right w:val="single" w:sz="4" w:space="0" w:color="auto"/>
            </w:tcBorders>
            <w:noWrap/>
            <w:vAlign w:val="center"/>
          </w:tcPr>
          <w:p w:rsidR="007E27CB" w:rsidRDefault="008F141F">
            <w:pPr>
              <w:jc w:val="center"/>
              <w:rPr>
                <w:rFonts w:ascii="Times New Roman" w:hAnsi="Times New Roman" w:cs="Times New Roman"/>
                <w:i/>
                <w:color w:val="000000"/>
                <w:sz w:val="24"/>
                <w:szCs w:val="24"/>
              </w:rPr>
            </w:pPr>
            <w:r>
              <w:rPr>
                <w:rFonts w:ascii="Times New Roman" w:hAnsi="Times New Roman" w:cs="Times New Roman"/>
                <w:i/>
                <w:color w:val="000000"/>
                <w:sz w:val="24"/>
                <w:szCs w:val="24"/>
              </w:rPr>
              <w:t>97,7</w:t>
            </w:r>
          </w:p>
        </w:tc>
      </w:tr>
    </w:tbl>
    <w:p w:rsidR="007E27CB" w:rsidRDefault="007E27CB">
      <w:pPr>
        <w:spacing w:after="0" w:line="240" w:lineRule="auto"/>
        <w:jc w:val="both"/>
        <w:rPr>
          <w:sz w:val="24"/>
          <w:szCs w:val="24"/>
        </w:rPr>
      </w:pPr>
    </w:p>
    <w:p w:rsidR="007E27CB" w:rsidRDefault="008F141F">
      <w:pPr>
        <w:spacing w:after="0" w:line="240" w:lineRule="auto"/>
        <w:ind w:firstLine="142"/>
        <w:jc w:val="both"/>
        <w:rPr>
          <w:strike/>
          <w:sz w:val="24"/>
          <w:szCs w:val="24"/>
        </w:rPr>
      </w:pPr>
      <w:r>
        <w:rPr>
          <w:sz w:val="24"/>
          <w:szCs w:val="24"/>
          <w:vertAlign w:val="superscript"/>
        </w:rPr>
        <w:t xml:space="preserve">1 </w:t>
      </w:r>
      <w:r>
        <w:rPr>
          <w:sz w:val="24"/>
          <w:szCs w:val="24"/>
        </w:rPr>
        <w:t>– Соотношение указано к значению средней заработной платы в сфере общего образования Томской области (34</w:t>
      </w:r>
      <w:r>
        <w:rPr>
          <w:sz w:val="24"/>
          <w:szCs w:val="24"/>
          <w:lang w:val="en-US"/>
        </w:rPr>
        <w:t> </w:t>
      </w:r>
      <w:r>
        <w:rPr>
          <w:sz w:val="24"/>
          <w:szCs w:val="24"/>
        </w:rPr>
        <w:t xml:space="preserve">548,0 руб.) </w:t>
      </w:r>
    </w:p>
    <w:p w:rsidR="007E27CB" w:rsidRDefault="008F141F">
      <w:pPr>
        <w:spacing w:after="0" w:line="240" w:lineRule="auto"/>
        <w:ind w:firstLine="142"/>
        <w:jc w:val="both"/>
        <w:rPr>
          <w:strike/>
          <w:sz w:val="24"/>
          <w:szCs w:val="24"/>
        </w:rPr>
      </w:pPr>
      <w:r>
        <w:rPr>
          <w:sz w:val="24"/>
          <w:szCs w:val="24"/>
          <w:vertAlign w:val="superscript"/>
        </w:rPr>
        <w:t xml:space="preserve">2 </w:t>
      </w:r>
      <w:r>
        <w:rPr>
          <w:sz w:val="24"/>
          <w:szCs w:val="24"/>
        </w:rPr>
        <w:t xml:space="preserve">– Соотношение указано к значению средней заработной платы учителей в Томской области (36 919,0 руб.)  </w:t>
      </w:r>
    </w:p>
    <w:p w:rsidR="007E27CB" w:rsidRDefault="007E27CB">
      <w:pPr>
        <w:spacing w:after="0" w:line="240" w:lineRule="auto"/>
        <w:ind w:firstLine="142"/>
        <w:jc w:val="both"/>
        <w:rPr>
          <w:sz w:val="24"/>
          <w:szCs w:val="24"/>
        </w:rPr>
      </w:pPr>
    </w:p>
    <w:p w:rsidR="007E27CB" w:rsidRDefault="007E27CB">
      <w:pPr>
        <w:tabs>
          <w:tab w:val="left" w:pos="993"/>
          <w:tab w:val="left" w:pos="4962"/>
        </w:tabs>
        <w:spacing w:after="0" w:line="240" w:lineRule="auto"/>
        <w:ind w:firstLine="709"/>
        <w:jc w:val="right"/>
        <w:rPr>
          <w:rFonts w:eastAsia="Calibri"/>
          <w:b/>
          <w:sz w:val="24"/>
          <w:szCs w:val="24"/>
        </w:rPr>
        <w:sectPr w:rsidR="007E27CB">
          <w:pgSz w:w="16838" w:h="11906" w:orient="landscape"/>
          <w:pgMar w:top="1701" w:right="1134" w:bottom="851" w:left="993" w:header="709" w:footer="289" w:gutter="0"/>
          <w:cols w:space="708"/>
          <w:docGrid w:linePitch="360"/>
        </w:sectPr>
      </w:pPr>
    </w:p>
    <w:p w:rsidR="007E27CB" w:rsidRDefault="008F141F">
      <w:pPr>
        <w:tabs>
          <w:tab w:val="left" w:pos="993"/>
          <w:tab w:val="left" w:pos="4962"/>
        </w:tabs>
        <w:spacing w:after="0" w:line="240" w:lineRule="auto"/>
        <w:jc w:val="center"/>
        <w:rPr>
          <w:rFonts w:eastAsia="Calibri"/>
          <w:b/>
          <w:sz w:val="24"/>
          <w:szCs w:val="24"/>
        </w:rPr>
      </w:pPr>
      <w:r>
        <w:rPr>
          <w:rFonts w:eastAsia="Calibri"/>
          <w:b/>
          <w:sz w:val="24"/>
          <w:szCs w:val="24"/>
        </w:rPr>
        <w:t>Приложение № 8. Информация о мерах по противодействию терроризму, экстремизму, предупреждению религиозной и национальной нетерпимости, направленных на создание условий для укрепления гражданского единства и сохранения этнокультурного многообразия в Томской области</w:t>
      </w:r>
    </w:p>
    <w:p w:rsidR="007E27CB" w:rsidRDefault="007E27CB">
      <w:pPr>
        <w:tabs>
          <w:tab w:val="left" w:pos="4962"/>
        </w:tabs>
        <w:spacing w:after="0" w:line="240" w:lineRule="auto"/>
        <w:ind w:firstLine="709"/>
        <w:jc w:val="both"/>
        <w:rPr>
          <w:rFonts w:eastAsia="Times New Roman"/>
          <w:i/>
          <w:sz w:val="24"/>
          <w:szCs w:val="24"/>
          <w:lang w:eastAsia="ru-RU"/>
        </w:rPr>
      </w:pPr>
    </w:p>
    <w:p w:rsidR="007E27CB" w:rsidRDefault="008F141F">
      <w:pPr>
        <w:pStyle w:val="ConsPlusNormal"/>
        <w:tabs>
          <w:tab w:val="left" w:pos="709"/>
        </w:tabs>
        <w:ind w:firstLine="567"/>
        <w:jc w:val="both"/>
        <w:rPr>
          <w:b w:val="0"/>
          <w:sz w:val="24"/>
          <w:szCs w:val="24"/>
        </w:rPr>
      </w:pPr>
      <w:r>
        <w:rPr>
          <w:b w:val="0"/>
          <w:sz w:val="24"/>
          <w:szCs w:val="24"/>
        </w:rPr>
        <w:t xml:space="preserve">Антитеррористическая комиссия Томской области, возглавляемая Губернатором Томской области, на постоянной основе осуществляет мероприятия, направленные на профилактику террористических и экстремистских проявлений. </w:t>
      </w:r>
    </w:p>
    <w:p w:rsidR="007E27CB" w:rsidRDefault="008F141F">
      <w:pPr>
        <w:tabs>
          <w:tab w:val="left" w:pos="709"/>
        </w:tabs>
        <w:spacing w:after="0" w:line="240" w:lineRule="auto"/>
        <w:ind w:firstLine="567"/>
        <w:jc w:val="both"/>
        <w:rPr>
          <w:rFonts w:eastAsia="Calibri"/>
          <w:sz w:val="24"/>
          <w:szCs w:val="24"/>
        </w:rPr>
      </w:pPr>
      <w:r>
        <w:rPr>
          <w:rFonts w:eastAsia="Calibri"/>
          <w:sz w:val="24"/>
          <w:szCs w:val="24"/>
        </w:rPr>
        <w:tab/>
        <w:t>В рамках деятельности по антитеррористической защищенности объектов Томской области проведено категорирование и паспортизация 2</w:t>
      </w:r>
      <w:r>
        <w:rPr>
          <w:sz w:val="24"/>
          <w:szCs w:val="24"/>
          <w:lang w:val="en-US"/>
        </w:rPr>
        <w:t> </w:t>
      </w:r>
      <w:r>
        <w:rPr>
          <w:rFonts w:eastAsia="Calibri"/>
          <w:sz w:val="24"/>
          <w:szCs w:val="24"/>
        </w:rPr>
        <w:t xml:space="preserve">236 объектов. Осуществлен комплекс мер, направленных на обеспечение вышеуказанных объектов, находящихся в ведении региона, инженерно-техническими средствами охраны, ограждениями, тревожной сигнализацией. </w:t>
      </w:r>
    </w:p>
    <w:p w:rsidR="007E27CB" w:rsidRDefault="008F141F">
      <w:pPr>
        <w:tabs>
          <w:tab w:val="left" w:pos="709"/>
        </w:tabs>
        <w:spacing w:after="0" w:line="240" w:lineRule="auto"/>
        <w:ind w:firstLine="567"/>
        <w:jc w:val="both"/>
        <w:rPr>
          <w:rFonts w:eastAsia="Calibri"/>
          <w:sz w:val="24"/>
          <w:szCs w:val="24"/>
        </w:rPr>
      </w:pPr>
      <w:r>
        <w:rPr>
          <w:rFonts w:eastAsia="Calibri"/>
          <w:sz w:val="24"/>
          <w:szCs w:val="24"/>
        </w:rPr>
        <w:t>В целях противодействия распространению идеологии терроризма и иных деструктивных течений согласно Комплексному плану противодействия идеологии терроризма в Российской Федерации на 2019 – 2023 годы, при координации аппарата Антитеррористической комиссии с привлечением научного сообщества и сотрудников правоохранительных структур в регионе организовано порядка 3</w:t>
      </w:r>
      <w:r>
        <w:rPr>
          <w:sz w:val="24"/>
          <w:szCs w:val="24"/>
          <w:lang w:val="en-US"/>
        </w:rPr>
        <w:t> </w:t>
      </w:r>
      <w:r>
        <w:rPr>
          <w:rFonts w:eastAsia="Calibri"/>
          <w:sz w:val="24"/>
          <w:szCs w:val="24"/>
        </w:rPr>
        <w:t>460 мероприятий, направленных на разъяснение преступной сущности терроризма среди молодежи, мигрантов, лиц, состоящих на различных видах профилактических учетов.</w:t>
      </w:r>
    </w:p>
    <w:p w:rsidR="007E27CB" w:rsidRDefault="008F141F">
      <w:pPr>
        <w:pStyle w:val="ConsPlusNormal"/>
        <w:tabs>
          <w:tab w:val="left" w:pos="709"/>
        </w:tabs>
        <w:ind w:firstLine="567"/>
        <w:jc w:val="both"/>
        <w:rPr>
          <w:b w:val="0"/>
          <w:sz w:val="24"/>
          <w:szCs w:val="24"/>
        </w:rPr>
      </w:pPr>
      <w:r>
        <w:rPr>
          <w:b w:val="0"/>
          <w:sz w:val="24"/>
          <w:szCs w:val="24"/>
        </w:rPr>
        <w:t>К адресной профилактической работе  привлечены правоохранительные структуры и органы исполнительной власти региона:</w:t>
      </w:r>
    </w:p>
    <w:p w:rsidR="007E27CB" w:rsidRDefault="008F141F">
      <w:pPr>
        <w:pStyle w:val="ConsPlusNormal"/>
        <w:numPr>
          <w:ilvl w:val="0"/>
          <w:numId w:val="1"/>
        </w:numPr>
        <w:tabs>
          <w:tab w:val="left" w:pos="851"/>
          <w:tab w:val="left" w:pos="993"/>
        </w:tabs>
        <w:ind w:left="0" w:firstLine="567"/>
        <w:jc w:val="both"/>
        <w:rPr>
          <w:b w:val="0"/>
          <w:sz w:val="24"/>
          <w:szCs w:val="24"/>
        </w:rPr>
      </w:pPr>
      <w:r>
        <w:rPr>
          <w:b w:val="0"/>
          <w:sz w:val="24"/>
          <w:szCs w:val="24"/>
        </w:rPr>
        <w:t>в ходе проведения оперативно-профилактических мероприятий по местам концентрации (притяжения) иностранных граждан отрабатываемые лица проверяются по имеющимся базам и учетам, с ними проводятся профилактические беседы по вопросам соблюдения традиций и правил проживания на территории Российской Федерации, разъясняется юридическая ответственность за совершение правонарушений экстремистского и террористического характера;</w:t>
      </w:r>
    </w:p>
    <w:p w:rsidR="007E27CB" w:rsidRDefault="008F141F">
      <w:pPr>
        <w:pStyle w:val="ConsPlusNormal"/>
        <w:numPr>
          <w:ilvl w:val="0"/>
          <w:numId w:val="1"/>
        </w:numPr>
        <w:tabs>
          <w:tab w:val="left" w:pos="851"/>
          <w:tab w:val="left" w:pos="993"/>
        </w:tabs>
        <w:ind w:left="0" w:firstLine="567"/>
        <w:jc w:val="both"/>
        <w:rPr>
          <w:b w:val="0"/>
          <w:sz w:val="24"/>
          <w:szCs w:val="24"/>
        </w:rPr>
      </w:pPr>
      <w:r>
        <w:rPr>
          <w:b w:val="0"/>
          <w:sz w:val="24"/>
          <w:szCs w:val="24"/>
        </w:rPr>
        <w:t>организованы профилактические лектории со студентами высших учебных заведений, особую актуальность подобные мероприятия приобретают именно для мигрантов, так как виды юридической ответственности за осуществление террористической и экстремистской деятельности по законодательству других стран могут существенно отличаться от установленной законодательством Российской Федерации;</w:t>
      </w:r>
    </w:p>
    <w:p w:rsidR="007E27CB" w:rsidRDefault="008F141F">
      <w:pPr>
        <w:pStyle w:val="ConsPlusNormal"/>
        <w:numPr>
          <w:ilvl w:val="0"/>
          <w:numId w:val="1"/>
        </w:numPr>
        <w:tabs>
          <w:tab w:val="left" w:pos="851"/>
          <w:tab w:val="left" w:pos="993"/>
        </w:tabs>
        <w:ind w:left="0" w:firstLine="567"/>
        <w:jc w:val="both"/>
        <w:rPr>
          <w:b w:val="0"/>
          <w:sz w:val="24"/>
          <w:szCs w:val="24"/>
        </w:rPr>
      </w:pPr>
      <w:r>
        <w:rPr>
          <w:b w:val="0"/>
          <w:sz w:val="24"/>
          <w:szCs w:val="24"/>
        </w:rPr>
        <w:t>организовано взаимодействие с представителями администраций вузов, общежитий и студенческих объединений с целью получения информации о негативных процессах, происходящих в студенческой среде, связанных с деятельностью этнических землячеств в учебных заведениях.</w:t>
      </w:r>
    </w:p>
    <w:p w:rsidR="007E27CB" w:rsidRDefault="008F141F">
      <w:pPr>
        <w:tabs>
          <w:tab w:val="left" w:pos="709"/>
        </w:tabs>
        <w:spacing w:after="0" w:line="240" w:lineRule="auto"/>
        <w:ind w:firstLine="567"/>
        <w:jc w:val="both"/>
        <w:rPr>
          <w:rFonts w:eastAsia="Calibri"/>
          <w:sz w:val="24"/>
          <w:szCs w:val="24"/>
        </w:rPr>
      </w:pPr>
      <w:r>
        <w:rPr>
          <w:rFonts w:eastAsia="Calibri"/>
          <w:sz w:val="24"/>
          <w:szCs w:val="24"/>
        </w:rPr>
        <w:t xml:space="preserve">Финансовое обеспечение мер антитеррористической защищенности и мероприятий Комплексного плана предусматривается за счет средств, предусмотренных 23 программами (подпрограммами) областного и муниципального уровней. Объем денежных средств, выделенных в 2019 году на реализацию указанных программ (подпрограмм) </w:t>
      </w:r>
      <w:r>
        <w:rPr>
          <w:rFonts w:eastAsia="Calibri"/>
          <w:sz w:val="24"/>
          <w:szCs w:val="24"/>
        </w:rPr>
        <w:br/>
        <w:t xml:space="preserve">для решения задач в области профилактики терроризма, составил </w:t>
      </w:r>
      <w:r>
        <w:rPr>
          <w:rFonts w:eastAsia="Calibri"/>
          <w:sz w:val="24"/>
          <w:szCs w:val="24"/>
        </w:rPr>
        <w:br/>
        <w:t>17 174,37 тыс. рублей.</w:t>
      </w:r>
    </w:p>
    <w:p w:rsidR="007E27CB" w:rsidRDefault="008F141F">
      <w:pPr>
        <w:tabs>
          <w:tab w:val="left" w:pos="709"/>
        </w:tabs>
        <w:spacing w:after="0" w:line="240" w:lineRule="auto"/>
        <w:ind w:firstLine="567"/>
        <w:jc w:val="both"/>
        <w:rPr>
          <w:rFonts w:eastAsia="Calibri"/>
          <w:sz w:val="24"/>
          <w:szCs w:val="24"/>
        </w:rPr>
      </w:pPr>
      <w:r>
        <w:rPr>
          <w:rFonts w:eastAsia="Calibri"/>
          <w:sz w:val="24"/>
          <w:szCs w:val="24"/>
        </w:rPr>
        <w:t xml:space="preserve">В течение 2019 года в регионе впервые наработана практика привлечения лиц к административной ответственности. Так, в соответствии с законодательством Томской области за неисполнение решений областной Антитеррористической комиссии к административной ответственности в виде штрафов и административных предупреждений привлечено пять юридических и пять должностных лиц. </w:t>
      </w:r>
    </w:p>
    <w:p w:rsidR="007E27CB" w:rsidRDefault="008F141F">
      <w:pPr>
        <w:tabs>
          <w:tab w:val="left" w:pos="709"/>
        </w:tabs>
        <w:spacing w:after="0" w:line="240" w:lineRule="auto"/>
        <w:ind w:firstLine="567"/>
        <w:jc w:val="both"/>
        <w:rPr>
          <w:rFonts w:eastAsia="Calibri"/>
          <w:sz w:val="24"/>
          <w:szCs w:val="24"/>
        </w:rPr>
      </w:pPr>
      <w:r>
        <w:rPr>
          <w:rFonts w:eastAsia="Calibri"/>
          <w:sz w:val="24"/>
          <w:szCs w:val="24"/>
        </w:rPr>
        <w:t xml:space="preserve">На территории региона совместно с Оперативным штабом в Томской области проведено 4 антитеррористических учения, 1 тренировка по условному уровню террористической опасности и  проведению контртеррористических операций. </w:t>
      </w:r>
    </w:p>
    <w:p w:rsidR="007E27CB" w:rsidRDefault="008F141F">
      <w:pPr>
        <w:tabs>
          <w:tab w:val="left" w:pos="709"/>
        </w:tabs>
        <w:spacing w:after="0" w:line="240" w:lineRule="auto"/>
        <w:ind w:firstLine="567"/>
        <w:jc w:val="both"/>
        <w:rPr>
          <w:rFonts w:eastAsia="Calibri"/>
          <w:sz w:val="24"/>
          <w:szCs w:val="24"/>
        </w:rPr>
      </w:pPr>
      <w:r>
        <w:rPr>
          <w:rFonts w:eastAsia="Calibri"/>
          <w:sz w:val="24"/>
          <w:szCs w:val="24"/>
        </w:rPr>
        <w:t xml:space="preserve">Сформирована система профилактики террористических и экстремистских проявлений на муниципальном уровне, на базе томских учебных заведений организована подготовка государственных и муниципальных служащих, участвующих в профилактике терроризма. Указанную подготовку в 2019 году прошли 93 государственных и муниципальных служащих. </w:t>
      </w:r>
    </w:p>
    <w:p w:rsidR="007E27CB" w:rsidRDefault="008F141F">
      <w:pPr>
        <w:pStyle w:val="Default"/>
        <w:tabs>
          <w:tab w:val="left" w:pos="709"/>
        </w:tabs>
        <w:ind w:firstLine="567"/>
        <w:jc w:val="both"/>
      </w:pPr>
      <w:r>
        <w:tab/>
        <w:t xml:space="preserve">На официальном сайте Администрации Томской области организовано информационное сопровождение заседаний Совета безопасности при Губернаторе Томской области, комиссии по профилактике правонарушений, постоянно действующего координационного совещания по обеспечению правопорядка в Томской области, Координационного совета по межнациональным отношениям Томской области. По итогам проведенных заседаний в средствах массовой информации публикуются пресс-релизы. Совместно с пресс-службой УФСБ России по Томской области также системно освещается деятельность Антитеррористической комиссии Томской области. </w:t>
      </w:r>
    </w:p>
    <w:p w:rsidR="007E27CB" w:rsidRDefault="008F141F">
      <w:pPr>
        <w:pStyle w:val="Default"/>
        <w:tabs>
          <w:tab w:val="left" w:pos="709"/>
        </w:tabs>
        <w:ind w:firstLine="567"/>
        <w:jc w:val="both"/>
      </w:pPr>
      <w:r>
        <w:t xml:space="preserve">Губернатором Томской области утвержден Комплексный план действий постоянно действующего координационного совещания по обеспечению правопорядка в Томской области на 2019 год (далее по разделу – Комплексный план). </w:t>
      </w:r>
    </w:p>
    <w:p w:rsidR="007E27CB" w:rsidRDefault="008F141F">
      <w:pPr>
        <w:pStyle w:val="Default"/>
        <w:tabs>
          <w:tab w:val="left" w:pos="709"/>
        </w:tabs>
        <w:ind w:firstLine="567"/>
        <w:jc w:val="both"/>
      </w:pPr>
      <w:r>
        <w:t>Один из разделов Комплексного плана посвящен организации мероприятий по профилактике экстремизма, включая вопросы мониторинга ситуации в общественно-политической сфере с целью своевременного выявления причин и условий, порождающих конфликты экстремистской направленности.</w:t>
      </w:r>
    </w:p>
    <w:p w:rsidR="007E27CB" w:rsidRDefault="008F141F">
      <w:pPr>
        <w:pStyle w:val="Default"/>
        <w:tabs>
          <w:tab w:val="left" w:pos="709"/>
        </w:tabs>
        <w:ind w:firstLine="567"/>
        <w:jc w:val="both"/>
      </w:pPr>
      <w:r>
        <w:t xml:space="preserve">Деятельность постоянно действующего координационного совещания по обеспечению правопорядка в Томской области направлена в том числе и на повышение эффективности взаимодействия территориальных органов федеральной власти по Томской области, исполнительных органов государственной власти Томской области, органов местного самоуправления муниципальных образований Томской области в сфере противодействия экстремизму. </w:t>
      </w:r>
    </w:p>
    <w:p w:rsidR="007E27CB" w:rsidRDefault="008F141F">
      <w:pPr>
        <w:pStyle w:val="Default"/>
        <w:tabs>
          <w:tab w:val="left" w:pos="709"/>
        </w:tabs>
        <w:ind w:firstLine="567"/>
        <w:jc w:val="both"/>
      </w:pPr>
      <w:r>
        <w:t xml:space="preserve">Вопросы, связанные с профилактикой экстремизма, рассмотрены в рамках: </w:t>
      </w:r>
    </w:p>
    <w:p w:rsidR="007E27CB" w:rsidRDefault="008F141F">
      <w:pPr>
        <w:pStyle w:val="Default"/>
        <w:tabs>
          <w:tab w:val="left" w:pos="851"/>
        </w:tabs>
        <w:ind w:firstLine="567"/>
        <w:jc w:val="both"/>
      </w:pPr>
      <w:r>
        <w:t xml:space="preserve">– совместного заседания Совета безопасности при Губернаторе Томской области и постоянно действующего координационного совещания по обеспечению правопорядка в Томской области по теме «О состоянии преступности в Томской области по итогам 2018 года и дополнительных мерах по улучшению криминогенной обстановки» (19.02.2019); </w:t>
      </w:r>
    </w:p>
    <w:p w:rsidR="007E27CB" w:rsidRDefault="008F141F">
      <w:pPr>
        <w:pStyle w:val="ConsPlusNormal"/>
        <w:tabs>
          <w:tab w:val="left" w:pos="851"/>
        </w:tabs>
        <w:ind w:firstLine="567"/>
        <w:jc w:val="both"/>
        <w:rPr>
          <w:b w:val="0"/>
          <w:sz w:val="24"/>
          <w:szCs w:val="24"/>
        </w:rPr>
      </w:pPr>
      <w:r>
        <w:rPr>
          <w:b w:val="0"/>
          <w:sz w:val="24"/>
          <w:szCs w:val="24"/>
        </w:rPr>
        <w:t>– заседания постоянно действующего координационного совещания по обеспечению правопорядка в Томской области по теме «О ходе исполнения протокола № 2 от 26.01.2018 заседания постоянно действующего координационного совещания по обеспечению правопорядка в Томской области и о дополнительных мерах по обеспечению правопорядка и общественной безопасности в образовательных организациях Томской области» (12.12.2019).</w:t>
      </w:r>
    </w:p>
    <w:p w:rsidR="007E27CB" w:rsidRDefault="008F141F">
      <w:pPr>
        <w:pStyle w:val="ConsPlusNormal"/>
        <w:tabs>
          <w:tab w:val="left" w:pos="709"/>
        </w:tabs>
        <w:ind w:firstLine="567"/>
        <w:jc w:val="both"/>
        <w:rPr>
          <w:b w:val="0"/>
          <w:sz w:val="24"/>
          <w:szCs w:val="24"/>
        </w:rPr>
      </w:pPr>
      <w:r>
        <w:rPr>
          <w:b w:val="0"/>
          <w:sz w:val="24"/>
          <w:szCs w:val="24"/>
        </w:rPr>
        <w:t>В рамках реализации Стратегии государственной национальной политики Российской Федерации на период до 2025 года постановлением Администрации Томской области от 08.02.2016 № 37а образован Координационный совет по межнациональным отношениям Томской области. В 2019 году состоялось 1 заседание Координационного совета, участие в котором приняли представители органов власти, национально-культурных автономий и организаций, коренных малочисленных народов Севера Томской области.</w:t>
      </w:r>
    </w:p>
    <w:p w:rsidR="007E27CB" w:rsidRDefault="008F141F">
      <w:pPr>
        <w:pStyle w:val="ConsPlusNormal"/>
        <w:tabs>
          <w:tab w:val="left" w:pos="709"/>
        </w:tabs>
        <w:ind w:firstLine="567"/>
        <w:jc w:val="both"/>
        <w:rPr>
          <w:b w:val="0"/>
          <w:sz w:val="24"/>
          <w:szCs w:val="24"/>
        </w:rPr>
      </w:pPr>
      <w:r>
        <w:rPr>
          <w:b w:val="0"/>
          <w:sz w:val="24"/>
          <w:szCs w:val="24"/>
        </w:rPr>
        <w:t>Проведение необходимых мероприятий по социальной и культурной адаптации и интеграции иностранных граждан в Российской Федерации осуществляется, в том числе, в рамках реализации ряда государственных и муниципальных программ, действующих в регионе.</w:t>
      </w:r>
    </w:p>
    <w:p w:rsidR="007E27CB" w:rsidRDefault="008F141F">
      <w:pPr>
        <w:pStyle w:val="ConsPlusNormal"/>
        <w:tabs>
          <w:tab w:val="left" w:pos="709"/>
        </w:tabs>
        <w:ind w:firstLine="567"/>
        <w:jc w:val="both"/>
        <w:rPr>
          <w:b w:val="0"/>
          <w:sz w:val="24"/>
          <w:szCs w:val="24"/>
        </w:rPr>
      </w:pPr>
      <w:r>
        <w:rPr>
          <w:b w:val="0"/>
          <w:sz w:val="24"/>
          <w:szCs w:val="24"/>
        </w:rPr>
        <w:t xml:space="preserve">Для повышения межведомственного взаимодействия в вопросах, связанных с реализацией направлений государственной национальной политики (включая предупреждение этноконфессиональных конфликтов), в октябре 2019 года Администрацией Томской области при поддержке томских вузов организовано проведение регионального форума «НацПолитика. Томск 2019». </w:t>
      </w:r>
    </w:p>
    <w:p w:rsidR="007E27CB" w:rsidRDefault="008F141F">
      <w:pPr>
        <w:pStyle w:val="Default"/>
        <w:tabs>
          <w:tab w:val="left" w:pos="709"/>
        </w:tabs>
        <w:ind w:firstLine="567"/>
        <w:jc w:val="both"/>
        <w:rPr>
          <w:color w:val="auto"/>
        </w:rPr>
      </w:pPr>
      <w:r>
        <w:rPr>
          <w:color w:val="auto"/>
        </w:rPr>
        <w:tab/>
      </w:r>
      <w:r>
        <w:t>С ноября 2017 года осуществляется мониторинг состояния межэтнических отношений и раннего предупреждения конфликтных ситуаций (настроен под специфику Томской области и используется в ежедневном режиме). Доступ к указанной Системе мониторинга предоставлен 28 должностным лицам исполнительных органов государственной власти Томской области и органов местного самоуправления муниципальных образований Томской области, а на региональном уровне на контроль выставлено 27 тем постоянного наблюдения.</w:t>
      </w:r>
    </w:p>
    <w:p w:rsidR="007E27CB" w:rsidRDefault="008F141F">
      <w:pPr>
        <w:pStyle w:val="Default"/>
        <w:tabs>
          <w:tab w:val="left" w:pos="709"/>
        </w:tabs>
        <w:ind w:firstLine="567"/>
        <w:jc w:val="both"/>
      </w:pPr>
      <w:r>
        <w:tab/>
        <w:t xml:space="preserve">Организована совместная работа с общественными объединениями (в том числе молодежными), экспертным и научным сообществом по профилактике и противодействию распространению деструктивных проявлений в молодежной среде. В частности, оказана консультационная и методическая помощь в создании регионального отделения Общероссийского общественного движения «Молодежная ассамблея народов Томской области «Мы – Россияне». </w:t>
      </w:r>
    </w:p>
    <w:p w:rsidR="007E27CB" w:rsidRDefault="008F141F">
      <w:pPr>
        <w:pStyle w:val="Default"/>
        <w:tabs>
          <w:tab w:val="left" w:pos="709"/>
        </w:tabs>
        <w:ind w:firstLine="567"/>
        <w:jc w:val="both"/>
      </w:pPr>
      <w:r>
        <w:tab/>
        <w:t xml:space="preserve">Администрацией Томской области на постоянной основе к профилактической работе среди мигрантов привлечены лидеры (муфтии) мусульманских религиозных организаций Томской области – регионального духовного управления мусульман               г. Томска и Томской области, местной религиозной мусульманской организации Духовное управление мусульман Азиатской части России (Первая красная Соборная мечеть              г. Томска) и Духовное управление мусульман Сибири (Белая Соборная Мечеть г. Томска), которые приглашаются руководством – томских вузов для проведения разъяснительно-воспитательных бесед со студентами иностранцами, исповедующими ислам. </w:t>
      </w:r>
    </w:p>
    <w:p w:rsidR="007E27CB" w:rsidRDefault="008F141F">
      <w:pPr>
        <w:pStyle w:val="Default"/>
        <w:tabs>
          <w:tab w:val="left" w:pos="709"/>
        </w:tabs>
        <w:ind w:firstLine="567"/>
        <w:jc w:val="both"/>
      </w:pPr>
      <w:r>
        <w:tab/>
        <w:t xml:space="preserve">С 2018 года в регионе реализуется проект «Центр русского языка для детей мигрантов», основной целью которого является адаптация и интеграция иностранных граждан, прибывших в Томскую область с целью заработка, обучения, на ПМЖ, посредством обучения их русскому языку и истории России, а также нормам и правилам поведения в регионе. </w:t>
      </w:r>
    </w:p>
    <w:p w:rsidR="007E27CB" w:rsidRDefault="008F141F">
      <w:pPr>
        <w:widowControl w:val="0"/>
        <w:tabs>
          <w:tab w:val="left" w:pos="709"/>
        </w:tabs>
        <w:spacing w:after="0" w:line="240" w:lineRule="auto"/>
        <w:ind w:firstLine="567"/>
        <w:jc w:val="both"/>
        <w:rPr>
          <w:rFonts w:eastAsia="Calibri"/>
          <w:sz w:val="24"/>
          <w:szCs w:val="24"/>
        </w:rPr>
      </w:pPr>
      <w:r>
        <w:rPr>
          <w:sz w:val="24"/>
          <w:szCs w:val="24"/>
        </w:rPr>
        <w:t>В целом, в Томской области в отчетном периоде ситуация в сфере межнациональных отношений и социально-культурной адаптации мигрантов оценивается как стабильная и характеризующаяся низким уровнем социальной напряженности.</w:t>
      </w:r>
    </w:p>
    <w:p w:rsidR="007E27CB" w:rsidRDefault="007E27CB">
      <w:pPr>
        <w:widowControl w:val="0"/>
        <w:tabs>
          <w:tab w:val="left" w:pos="709"/>
        </w:tabs>
        <w:spacing w:after="0" w:line="240" w:lineRule="auto"/>
        <w:ind w:firstLine="567"/>
        <w:jc w:val="both"/>
        <w:rPr>
          <w:rFonts w:eastAsia="Calibri"/>
          <w:color w:val="FF0000"/>
          <w:sz w:val="24"/>
          <w:szCs w:val="24"/>
        </w:rPr>
      </w:pPr>
    </w:p>
    <w:p w:rsidR="007E27CB" w:rsidRDefault="008F141F">
      <w:pPr>
        <w:tabs>
          <w:tab w:val="left" w:pos="4962"/>
        </w:tabs>
        <w:spacing w:after="0" w:line="240" w:lineRule="auto"/>
        <w:rPr>
          <w:rFonts w:eastAsia="Calibri"/>
          <w:color w:val="FF0000"/>
          <w:sz w:val="24"/>
          <w:szCs w:val="24"/>
        </w:rPr>
      </w:pPr>
      <w:r>
        <w:rPr>
          <w:rFonts w:eastAsia="Calibri"/>
          <w:color w:val="FF0000"/>
          <w:sz w:val="24"/>
          <w:szCs w:val="24"/>
        </w:rPr>
        <w:br w:type="page"/>
      </w:r>
    </w:p>
    <w:p w:rsidR="007E27CB" w:rsidRDefault="008F141F">
      <w:pPr>
        <w:tabs>
          <w:tab w:val="left" w:pos="4962"/>
        </w:tabs>
        <w:spacing w:after="0" w:line="240" w:lineRule="auto"/>
        <w:jc w:val="center"/>
        <w:rPr>
          <w:rFonts w:eastAsia="Calibri"/>
          <w:b/>
          <w:sz w:val="24"/>
          <w:szCs w:val="24"/>
        </w:rPr>
      </w:pPr>
      <w:r>
        <w:rPr>
          <w:rFonts w:eastAsia="Calibri"/>
          <w:b/>
          <w:sz w:val="24"/>
          <w:szCs w:val="24"/>
        </w:rPr>
        <w:t>Приложение № 9. Информация о результатах антикоррупционного мониторинга, проведенного государственными органами в 2019 году</w:t>
      </w:r>
    </w:p>
    <w:p w:rsidR="007E27CB" w:rsidRDefault="007E27CB">
      <w:pPr>
        <w:tabs>
          <w:tab w:val="left" w:pos="4962"/>
        </w:tabs>
        <w:spacing w:after="0" w:line="240" w:lineRule="auto"/>
        <w:ind w:firstLine="567"/>
        <w:jc w:val="both"/>
        <w:rPr>
          <w:rFonts w:eastAsia="Calibri"/>
          <w:sz w:val="24"/>
          <w:szCs w:val="24"/>
        </w:rPr>
      </w:pPr>
    </w:p>
    <w:p w:rsidR="007E27CB" w:rsidRDefault="008F141F">
      <w:pPr>
        <w:tabs>
          <w:tab w:val="left" w:pos="0"/>
        </w:tabs>
        <w:spacing w:after="0" w:line="240" w:lineRule="auto"/>
        <w:ind w:firstLine="567"/>
        <w:jc w:val="both"/>
        <w:rPr>
          <w:b/>
          <w:sz w:val="24"/>
          <w:szCs w:val="24"/>
        </w:rPr>
      </w:pPr>
      <w:r>
        <w:rPr>
          <w:rFonts w:eastAsia="Calibri"/>
          <w:sz w:val="24"/>
          <w:szCs w:val="24"/>
        </w:rPr>
        <w:tab/>
        <w:t xml:space="preserve">Распоряжением Губернатора Томской области от 18.11.2015 № 330-р утвержден перечень показателей антикоррупционного мониторинга, на основании которого ежегодно Департаментом по профилактике коррупционных и иных правонарушений Администрации Томской области (далее по разделу </w:t>
      </w:r>
      <w:r>
        <w:rPr>
          <w:sz w:val="24"/>
          <w:szCs w:val="24"/>
        </w:rPr>
        <w:t>–</w:t>
      </w:r>
      <w:r>
        <w:rPr>
          <w:rFonts w:eastAsia="Calibri"/>
          <w:sz w:val="24"/>
          <w:szCs w:val="24"/>
        </w:rPr>
        <w:t xml:space="preserve"> Департамент) готовится и предоставляется Губернатору Томской области аналитическая справка о результатах, полученных вследствие осуществления антикоррупционного мониторинга.</w:t>
      </w:r>
    </w:p>
    <w:p w:rsidR="007E27CB" w:rsidRDefault="007E27CB">
      <w:pPr>
        <w:tabs>
          <w:tab w:val="left" w:pos="4962"/>
        </w:tabs>
        <w:spacing w:after="0" w:line="240" w:lineRule="auto"/>
        <w:ind w:firstLine="567"/>
        <w:jc w:val="both"/>
        <w:rPr>
          <w:b/>
          <w:i/>
          <w:sz w:val="24"/>
          <w:szCs w:val="24"/>
        </w:rPr>
      </w:pPr>
    </w:p>
    <w:p w:rsidR="007E27CB" w:rsidRDefault="008F141F">
      <w:pPr>
        <w:spacing w:after="0" w:line="240" w:lineRule="auto"/>
        <w:ind w:firstLine="567"/>
        <w:jc w:val="both"/>
        <w:rPr>
          <w:i/>
          <w:sz w:val="24"/>
          <w:szCs w:val="24"/>
        </w:rPr>
      </w:pPr>
      <w:r>
        <w:rPr>
          <w:i/>
          <w:sz w:val="24"/>
          <w:szCs w:val="24"/>
        </w:rPr>
        <w:t>Изучение общественного мнения о состоянии коррупции в Томской области и эффективности принимаемых антикоррупционных мер.</w:t>
      </w:r>
    </w:p>
    <w:p w:rsidR="007E27CB" w:rsidRDefault="008F141F">
      <w:pPr>
        <w:tabs>
          <w:tab w:val="left" w:pos="4962"/>
        </w:tabs>
        <w:spacing w:after="0" w:line="240" w:lineRule="auto"/>
        <w:ind w:firstLine="567"/>
        <w:jc w:val="both"/>
        <w:rPr>
          <w:sz w:val="24"/>
          <w:szCs w:val="24"/>
        </w:rPr>
      </w:pPr>
      <w:r>
        <w:rPr>
          <w:sz w:val="24"/>
          <w:szCs w:val="24"/>
        </w:rPr>
        <w:t xml:space="preserve">Кафедрой социологии Философского факультета Томского государственного университета (НИ ТГУ) в 2019 году проведено социологическое исследование оценки уровня «бытовой» и «деловой» коррупции в Томской области. </w:t>
      </w:r>
      <w:r>
        <w:rPr>
          <w:rFonts w:eastAsia="Calibri"/>
          <w:sz w:val="24"/>
          <w:szCs w:val="24"/>
        </w:rPr>
        <w:t>Исследование фокусировалось на проблематике «бытовой» коррупции, возникающей при взаимодействии граждан и представителей органов власти, в том числе при предоставлении государственных (муниципальных) услуг, и «деловой» коррупции, возникающей при взаимодействии органов власти и представителей бизнеса.</w:t>
      </w:r>
    </w:p>
    <w:p w:rsidR="007E27CB" w:rsidRDefault="008F141F">
      <w:pPr>
        <w:tabs>
          <w:tab w:val="left" w:pos="4962"/>
        </w:tabs>
        <w:spacing w:after="0" w:line="240" w:lineRule="auto"/>
        <w:ind w:firstLine="567"/>
        <w:jc w:val="both"/>
        <w:rPr>
          <w:rFonts w:eastAsia="Calibri"/>
          <w:sz w:val="24"/>
          <w:szCs w:val="24"/>
        </w:rPr>
      </w:pPr>
      <w:r>
        <w:rPr>
          <w:rFonts w:eastAsia="Calibri"/>
          <w:sz w:val="24"/>
          <w:szCs w:val="24"/>
        </w:rPr>
        <w:t>Объем выборочной совокупности в части «бытовой» коррупции составил 600 человек, в части «деловой» коррупции – 237 человек. Опрос был проведен на территории 15 муниципальных образований Томской области.</w:t>
      </w:r>
    </w:p>
    <w:p w:rsidR="007E27CB" w:rsidRDefault="008F141F">
      <w:pPr>
        <w:tabs>
          <w:tab w:val="left" w:pos="4962"/>
        </w:tabs>
        <w:spacing w:after="0" w:line="240" w:lineRule="auto"/>
        <w:ind w:firstLine="567"/>
        <w:jc w:val="both"/>
        <w:rPr>
          <w:rFonts w:eastAsia="Calibri"/>
          <w:sz w:val="24"/>
          <w:szCs w:val="24"/>
        </w:rPr>
      </w:pPr>
      <w:r>
        <w:rPr>
          <w:rFonts w:eastAsia="Calibri"/>
          <w:sz w:val="24"/>
          <w:szCs w:val="24"/>
        </w:rPr>
        <w:t>Результат исследования оценок и мнений относительно уровня «бытовой» и «деловой» коррупции показал следующее:</w:t>
      </w:r>
    </w:p>
    <w:p w:rsidR="007E27CB" w:rsidRDefault="008F141F">
      <w:pPr>
        <w:tabs>
          <w:tab w:val="left" w:pos="4962"/>
        </w:tabs>
        <w:spacing w:after="0" w:line="240" w:lineRule="auto"/>
        <w:ind w:firstLine="567"/>
        <w:jc w:val="both"/>
        <w:rPr>
          <w:rFonts w:eastAsia="Calibri"/>
          <w:b/>
          <w:bCs/>
          <w:sz w:val="24"/>
          <w:szCs w:val="24"/>
        </w:rPr>
      </w:pPr>
      <w:r>
        <w:rPr>
          <w:rFonts w:eastAsia="Calibri"/>
          <w:b/>
          <w:bCs/>
          <w:sz w:val="24"/>
          <w:szCs w:val="24"/>
        </w:rPr>
        <w:t>Уровень «бытовой» коррупции</w:t>
      </w:r>
    </w:p>
    <w:p w:rsidR="007E27CB" w:rsidRDefault="008F141F">
      <w:pPr>
        <w:tabs>
          <w:tab w:val="left" w:pos="4962"/>
        </w:tabs>
        <w:spacing w:after="0" w:line="240" w:lineRule="auto"/>
        <w:ind w:firstLine="567"/>
        <w:jc w:val="both"/>
        <w:rPr>
          <w:rFonts w:eastAsia="Calibri"/>
          <w:sz w:val="24"/>
          <w:szCs w:val="24"/>
        </w:rPr>
      </w:pPr>
      <w:r>
        <w:rPr>
          <w:rFonts w:eastAsia="Calibri"/>
          <w:sz w:val="24"/>
          <w:szCs w:val="24"/>
        </w:rPr>
        <w:t>В целом риск «бытовой» коррупции оценивается в 0,06 (6%).</w:t>
      </w:r>
    </w:p>
    <w:p w:rsidR="007E27CB" w:rsidRDefault="008F141F">
      <w:pPr>
        <w:tabs>
          <w:tab w:val="left" w:pos="4962"/>
        </w:tabs>
        <w:spacing w:after="0" w:line="240" w:lineRule="auto"/>
        <w:ind w:firstLine="567"/>
        <w:jc w:val="both"/>
        <w:rPr>
          <w:rFonts w:eastAsia="Calibri"/>
          <w:sz w:val="24"/>
          <w:szCs w:val="24"/>
        </w:rPr>
      </w:pPr>
      <w:r>
        <w:rPr>
          <w:rFonts w:eastAsia="Calibri"/>
          <w:sz w:val="24"/>
          <w:szCs w:val="24"/>
        </w:rPr>
        <w:t>Выделены следующие зоны риска:</w:t>
      </w:r>
    </w:p>
    <w:p w:rsidR="007E27CB" w:rsidRDefault="008F141F">
      <w:pPr>
        <w:numPr>
          <w:ilvl w:val="0"/>
          <w:numId w:val="20"/>
        </w:numPr>
        <w:tabs>
          <w:tab w:val="left" w:pos="851"/>
          <w:tab w:val="left" w:pos="4962"/>
        </w:tabs>
        <w:spacing w:after="0" w:line="240" w:lineRule="auto"/>
        <w:ind w:left="0" w:firstLine="567"/>
        <w:contextualSpacing/>
        <w:jc w:val="both"/>
        <w:rPr>
          <w:rFonts w:eastAsia="Calibri"/>
          <w:sz w:val="24"/>
          <w:szCs w:val="24"/>
        </w:rPr>
      </w:pPr>
      <w:r>
        <w:rPr>
          <w:rFonts w:eastAsia="Calibri"/>
          <w:sz w:val="24"/>
          <w:szCs w:val="24"/>
        </w:rPr>
        <w:t>с точки зрения востребованности – оказание медицинской помощи, социальные выплаты;</w:t>
      </w:r>
    </w:p>
    <w:p w:rsidR="007E27CB" w:rsidRDefault="008F141F">
      <w:pPr>
        <w:numPr>
          <w:ilvl w:val="0"/>
          <w:numId w:val="20"/>
        </w:numPr>
        <w:tabs>
          <w:tab w:val="left" w:pos="851"/>
          <w:tab w:val="left" w:pos="4962"/>
        </w:tabs>
        <w:spacing w:after="0" w:line="240" w:lineRule="auto"/>
        <w:ind w:left="0" w:firstLine="567"/>
        <w:contextualSpacing/>
        <w:jc w:val="both"/>
        <w:rPr>
          <w:rFonts w:eastAsia="Calibri"/>
          <w:sz w:val="24"/>
          <w:szCs w:val="24"/>
        </w:rPr>
      </w:pPr>
      <w:r>
        <w:rPr>
          <w:rFonts w:eastAsia="Calibri"/>
          <w:sz w:val="24"/>
          <w:szCs w:val="24"/>
        </w:rPr>
        <w:t>с точки зрения неудовлетворенности результатом работы служб – жилищные службы, суд, ведение земельных участков;</w:t>
      </w:r>
    </w:p>
    <w:p w:rsidR="007E27CB" w:rsidRDefault="008F141F">
      <w:pPr>
        <w:numPr>
          <w:ilvl w:val="0"/>
          <w:numId w:val="20"/>
        </w:numPr>
        <w:tabs>
          <w:tab w:val="left" w:pos="851"/>
          <w:tab w:val="left" w:pos="4962"/>
        </w:tabs>
        <w:spacing w:after="0" w:line="240" w:lineRule="auto"/>
        <w:ind w:left="0" w:firstLine="567"/>
        <w:contextualSpacing/>
        <w:jc w:val="both"/>
        <w:rPr>
          <w:rFonts w:eastAsia="Calibri"/>
          <w:sz w:val="24"/>
          <w:szCs w:val="24"/>
        </w:rPr>
      </w:pPr>
      <w:r>
        <w:rPr>
          <w:rFonts w:eastAsia="Calibri"/>
          <w:sz w:val="24"/>
          <w:szCs w:val="24"/>
        </w:rPr>
        <w:t>с точки зрения легитимации населением (считают необходимым и приемлемым) – устройство на работу, вузовское образование.</w:t>
      </w:r>
    </w:p>
    <w:p w:rsidR="007E27CB" w:rsidRDefault="008F141F">
      <w:pPr>
        <w:tabs>
          <w:tab w:val="left" w:pos="4962"/>
        </w:tabs>
        <w:spacing w:after="0" w:line="240" w:lineRule="auto"/>
        <w:ind w:firstLine="567"/>
        <w:jc w:val="both"/>
        <w:rPr>
          <w:rFonts w:eastAsia="Calibri"/>
          <w:sz w:val="24"/>
          <w:szCs w:val="24"/>
        </w:rPr>
      </w:pPr>
      <w:r>
        <w:rPr>
          <w:rFonts w:eastAsia="Calibri"/>
          <w:sz w:val="24"/>
          <w:szCs w:val="24"/>
        </w:rPr>
        <w:t xml:space="preserve">Средний размер взятки в сфере «бытовой» коррупции оценивается в </w:t>
      </w:r>
      <w:r>
        <w:rPr>
          <w:rFonts w:eastAsia="Calibri"/>
          <w:sz w:val="24"/>
          <w:szCs w:val="24"/>
        </w:rPr>
        <w:br/>
        <w:t>46,8 тыс. руб. Основной результат, которого ожидают от дачи взятки, – ускорение решения проблемы. В случае острой необходимости потенциально готовы дать взятку 77% опрошенных.</w:t>
      </w:r>
    </w:p>
    <w:p w:rsidR="007E27CB" w:rsidRDefault="008F141F">
      <w:pPr>
        <w:tabs>
          <w:tab w:val="left" w:pos="4962"/>
        </w:tabs>
        <w:spacing w:after="0" w:line="240" w:lineRule="auto"/>
        <w:ind w:firstLine="567"/>
        <w:jc w:val="both"/>
        <w:rPr>
          <w:rFonts w:eastAsia="Calibri"/>
          <w:sz w:val="24"/>
          <w:szCs w:val="24"/>
        </w:rPr>
      </w:pPr>
      <w:r>
        <w:rPr>
          <w:rFonts w:eastAsia="Calibri"/>
          <w:sz w:val="24"/>
          <w:szCs w:val="24"/>
        </w:rPr>
        <w:t>Коррупционный опыт в сфере «бытовой» коррупции оценивается в 0,048 (4,8%). 13% опрошенных указали на то, что им приходилось попадать в ситуации, когда они знали, предполагали или чувствовали, что для решения той или иной проблемы необходимо неформальное вознаграждение, взятка. Мнения относительно точности факта возникновения коррупционной ситуации разделились: 46% опрошенных уверены в этом, 54% – нет. При этом 42% считают, что проблему нельзя было решить без взятки.</w:t>
      </w:r>
    </w:p>
    <w:p w:rsidR="007E27CB" w:rsidRDefault="008F141F">
      <w:pPr>
        <w:tabs>
          <w:tab w:val="left" w:pos="4962"/>
        </w:tabs>
        <w:spacing w:after="0" w:line="240" w:lineRule="auto"/>
        <w:ind w:firstLine="567"/>
        <w:jc w:val="both"/>
        <w:rPr>
          <w:rFonts w:eastAsia="Calibri"/>
          <w:sz w:val="24"/>
          <w:szCs w:val="24"/>
        </w:rPr>
      </w:pPr>
      <w:r>
        <w:rPr>
          <w:rFonts w:eastAsia="Calibri"/>
          <w:sz w:val="24"/>
          <w:szCs w:val="24"/>
        </w:rPr>
        <w:t>Мнение граждан об интенсивности «бытовой» коррупции – 8,75%. Основные причины, по которым респонденты не стали бы давать взятку, связаны с принципиальностью и морально-этическими основаниями: 25% опрошенных указали, что могут добиться своего и без взяток, 21% принципиально не дают взяток, 19% выбрали вариант «мне противно это делать». Только 6% опрошенных указали в качестве причины отказа от дачи взятки страх наказания. В целом, для 27% опрошенных причиной отказа от дачи взятки являются внешние преграды – дороговизна, неумение давать взятку, страх наказания.</w:t>
      </w:r>
    </w:p>
    <w:p w:rsidR="007E27CB" w:rsidRDefault="008F141F">
      <w:pPr>
        <w:tabs>
          <w:tab w:val="left" w:pos="4962"/>
        </w:tabs>
        <w:spacing w:after="0" w:line="240" w:lineRule="auto"/>
        <w:ind w:firstLine="567"/>
        <w:jc w:val="both"/>
        <w:rPr>
          <w:rFonts w:eastAsia="Calibri"/>
          <w:sz w:val="24"/>
          <w:szCs w:val="24"/>
        </w:rPr>
      </w:pPr>
      <w:r>
        <w:rPr>
          <w:rFonts w:eastAsia="Calibri"/>
          <w:sz w:val="24"/>
          <w:szCs w:val="24"/>
        </w:rPr>
        <w:t xml:space="preserve">С точки зрения респондентов наиболее коррупционными являются следующие структуры: коммунальные службы (ЖЭКи, </w:t>
      </w:r>
      <w:r>
        <w:rPr>
          <w:rFonts w:eastAsia="Calibri"/>
          <w:bCs/>
          <w:sz w:val="24"/>
          <w:szCs w:val="24"/>
        </w:rPr>
        <w:t>дирекции по эксплуатации зданий</w:t>
      </w:r>
      <w:r>
        <w:rPr>
          <w:rFonts w:eastAsia="Calibri"/>
          <w:sz w:val="24"/>
          <w:szCs w:val="24"/>
        </w:rPr>
        <w:t>, домоуправления и др.), средства массовой информации, власть области, политические партии. Наиболее честными респонденты считают такие структуры как средние школы, училища, техникумы; высшие учебные заведения, поликлиники и больницы, армию.</w:t>
      </w:r>
    </w:p>
    <w:p w:rsidR="007E27CB" w:rsidRDefault="008F141F">
      <w:pPr>
        <w:tabs>
          <w:tab w:val="left" w:pos="4962"/>
        </w:tabs>
        <w:spacing w:after="0" w:line="240" w:lineRule="auto"/>
        <w:ind w:firstLine="567"/>
        <w:jc w:val="both"/>
        <w:rPr>
          <w:rFonts w:eastAsia="Calibri"/>
          <w:sz w:val="24"/>
          <w:szCs w:val="24"/>
        </w:rPr>
      </w:pPr>
      <w:r>
        <w:rPr>
          <w:rFonts w:eastAsia="Calibri"/>
          <w:sz w:val="24"/>
          <w:szCs w:val="24"/>
        </w:rPr>
        <w:t>Отношение к коррупции как к явлению носит неоднозначный характер. Так, населением больше осуждается тот, кто берет взятки. При этом половина опрошенных (51%) не осуждает тех, кто дает взятки.</w:t>
      </w:r>
    </w:p>
    <w:p w:rsidR="007E27CB" w:rsidRDefault="008F141F">
      <w:pPr>
        <w:widowControl w:val="0"/>
        <w:tabs>
          <w:tab w:val="left" w:pos="4962"/>
        </w:tabs>
        <w:autoSpaceDE w:val="0"/>
        <w:autoSpaceDN w:val="0"/>
        <w:adjustRightInd w:val="0"/>
        <w:spacing w:after="0" w:line="240" w:lineRule="auto"/>
        <w:ind w:firstLine="567"/>
        <w:jc w:val="both"/>
        <w:rPr>
          <w:sz w:val="24"/>
          <w:szCs w:val="24"/>
        </w:rPr>
      </w:pPr>
      <w:r>
        <w:rPr>
          <w:sz w:val="24"/>
          <w:szCs w:val="24"/>
        </w:rPr>
        <w:t>Анализ оценок динамики коррупции показал, что увеличение уровня коррупции респонденты отмечают в целом на уровне Российской Федерации. Большая часть респондентов считает, что уровень коррупции никак не изменился ни на уровне своего населенного пункта, ни на региональном и российском уровнях.</w:t>
      </w:r>
    </w:p>
    <w:p w:rsidR="007E27CB" w:rsidRDefault="008F141F">
      <w:pPr>
        <w:tabs>
          <w:tab w:val="left" w:pos="4962"/>
        </w:tabs>
        <w:spacing w:after="0" w:line="240" w:lineRule="auto"/>
        <w:ind w:firstLine="567"/>
        <w:jc w:val="both"/>
        <w:rPr>
          <w:rFonts w:eastAsia="Calibri"/>
          <w:b/>
          <w:bCs/>
          <w:sz w:val="24"/>
          <w:szCs w:val="24"/>
        </w:rPr>
      </w:pPr>
      <w:r>
        <w:rPr>
          <w:rFonts w:eastAsia="Calibri"/>
          <w:b/>
          <w:bCs/>
          <w:sz w:val="24"/>
          <w:szCs w:val="24"/>
        </w:rPr>
        <w:t>Уровень «деловой» коррупции</w:t>
      </w:r>
    </w:p>
    <w:p w:rsidR="007E27CB" w:rsidRDefault="008F141F">
      <w:pPr>
        <w:tabs>
          <w:tab w:val="left" w:pos="4962"/>
        </w:tabs>
        <w:spacing w:after="0" w:line="240" w:lineRule="auto"/>
        <w:ind w:firstLine="567"/>
        <w:jc w:val="both"/>
        <w:rPr>
          <w:rFonts w:eastAsia="Calibri"/>
          <w:sz w:val="24"/>
          <w:szCs w:val="24"/>
        </w:rPr>
      </w:pPr>
      <w:r>
        <w:rPr>
          <w:rFonts w:eastAsia="Calibri"/>
          <w:sz w:val="24"/>
          <w:szCs w:val="24"/>
        </w:rPr>
        <w:t>В целом риск «деловой» коррупции оценивается в 0,135 (13,5%). Зона риска – налоговые органы, МЧС, Роспотребнадзор. Коррупционные практики закрепляются на уровне социализирующих механизмов (обучение коррупционным практикам у коллег) и ритуализируются (респонденты не видят результат от дачи взятки, но дать ее надо, поскольку все так делают).</w:t>
      </w:r>
    </w:p>
    <w:p w:rsidR="007E27CB" w:rsidRDefault="008F141F">
      <w:pPr>
        <w:tabs>
          <w:tab w:val="left" w:pos="4962"/>
        </w:tabs>
        <w:spacing w:after="0" w:line="240" w:lineRule="auto"/>
        <w:ind w:firstLine="567"/>
        <w:jc w:val="both"/>
        <w:rPr>
          <w:sz w:val="24"/>
          <w:szCs w:val="24"/>
        </w:rPr>
      </w:pPr>
      <w:r>
        <w:rPr>
          <w:rFonts w:eastAsia="Calibri"/>
          <w:sz w:val="24"/>
          <w:szCs w:val="24"/>
        </w:rPr>
        <w:t xml:space="preserve">Средний размер взятки в сфере «деловой» коррупции оценивается в 95,34 тыс. руб. Основной целью неформальных прямых и (или) скрытых платежей при взаимодействии с органами власти представители бизнеса считают </w:t>
      </w:r>
      <w:r>
        <w:rPr>
          <w:sz w:val="24"/>
          <w:szCs w:val="24"/>
        </w:rPr>
        <w:t>ускорение получения необходимых документов.</w:t>
      </w:r>
    </w:p>
    <w:p w:rsidR="007E27CB" w:rsidRDefault="008F141F">
      <w:pPr>
        <w:tabs>
          <w:tab w:val="left" w:pos="4962"/>
        </w:tabs>
        <w:spacing w:after="0" w:line="240" w:lineRule="auto"/>
        <w:ind w:firstLine="567"/>
        <w:jc w:val="both"/>
        <w:rPr>
          <w:rFonts w:eastAsia="Calibri"/>
          <w:sz w:val="24"/>
          <w:szCs w:val="24"/>
        </w:rPr>
      </w:pPr>
      <w:r>
        <w:rPr>
          <w:rFonts w:eastAsia="Calibri"/>
          <w:sz w:val="24"/>
          <w:szCs w:val="24"/>
        </w:rPr>
        <w:t>Коррупционный опыт в сфере «деловой» коррупции оценивается в 0,169 (16,9%). Респонденты указали на факт предъявления незаконных требований к их организации от налоговых органов в 12% случаев, Роспотребнадзора – 7%, полиции – 6%. Другие органы власти упомянуты в 3% - 5% случаев.</w:t>
      </w:r>
    </w:p>
    <w:p w:rsidR="007E27CB" w:rsidRDefault="008F141F">
      <w:pPr>
        <w:tabs>
          <w:tab w:val="left" w:pos="4962"/>
        </w:tabs>
        <w:spacing w:after="0" w:line="240" w:lineRule="auto"/>
        <w:ind w:firstLine="567"/>
        <w:jc w:val="both"/>
        <w:rPr>
          <w:rFonts w:eastAsia="Calibri"/>
          <w:sz w:val="24"/>
          <w:szCs w:val="24"/>
        </w:rPr>
      </w:pPr>
      <w:r>
        <w:rPr>
          <w:rFonts w:eastAsia="Calibri"/>
          <w:sz w:val="24"/>
          <w:szCs w:val="24"/>
        </w:rPr>
        <w:t>Коррупционный опыт в сфере осуществления государственных (муниципальных) закупок – 0,17 (17%). По мнению опрошенных, большая доля неофициальных выплат при получении государственного (муниципального) контракта, заказа характерна для муниципального уровня заказчика. 35% опрошенных указали, что на этом уровне присутствуют неофициальные выплаты в том или ином объеме от стоимости контракта. Для регионального уровня заказчика аналогичный показатель составил 33%, для федерального – 28%.</w:t>
      </w:r>
    </w:p>
    <w:p w:rsidR="007E27CB" w:rsidRDefault="008F141F">
      <w:pPr>
        <w:tabs>
          <w:tab w:val="left" w:pos="4962"/>
        </w:tabs>
        <w:spacing w:after="0" w:line="240" w:lineRule="auto"/>
        <w:ind w:firstLine="567"/>
        <w:jc w:val="both"/>
        <w:rPr>
          <w:rFonts w:eastAsia="Calibri"/>
          <w:sz w:val="24"/>
          <w:szCs w:val="24"/>
        </w:rPr>
      </w:pPr>
      <w:r>
        <w:rPr>
          <w:rFonts w:eastAsia="Calibri"/>
          <w:sz w:val="24"/>
          <w:szCs w:val="24"/>
        </w:rPr>
        <w:t>Мнение представителей бизнеса об интенсивности «деловой» коррупции – 80,87%. При этом, по оценкам опрошенных, наиболее распространена коррупция на федеральном уровне власти (35%). В целом респонденты считают, что использование платежей для оказания влияния на должностных лиц происходит крайне редко. Несколько чаще других практик влияния используются подарки.</w:t>
      </w:r>
    </w:p>
    <w:p w:rsidR="007E27CB" w:rsidRDefault="008F141F">
      <w:pPr>
        <w:widowControl w:val="0"/>
        <w:tabs>
          <w:tab w:val="left" w:pos="4962"/>
        </w:tabs>
        <w:autoSpaceDE w:val="0"/>
        <w:autoSpaceDN w:val="0"/>
        <w:adjustRightInd w:val="0"/>
        <w:spacing w:after="0" w:line="240" w:lineRule="auto"/>
        <w:ind w:firstLine="567"/>
        <w:jc w:val="both"/>
        <w:rPr>
          <w:sz w:val="24"/>
          <w:szCs w:val="24"/>
        </w:rPr>
      </w:pPr>
      <w:r>
        <w:rPr>
          <w:sz w:val="24"/>
          <w:szCs w:val="24"/>
        </w:rPr>
        <w:t>Отношение к коррупции как к явлению носит неоднозначный характер. Представители бизнеса считают коррупцию отрицательным явлением, мешающим работе бизнеса. При этом 40% опрошенных затруднились однозначно определить роль коррупции.</w:t>
      </w:r>
    </w:p>
    <w:p w:rsidR="007E27CB" w:rsidRDefault="008F141F">
      <w:pPr>
        <w:tabs>
          <w:tab w:val="left" w:pos="4962"/>
        </w:tabs>
        <w:spacing w:after="0" w:line="240" w:lineRule="auto"/>
        <w:ind w:firstLine="567"/>
        <w:jc w:val="both"/>
        <w:rPr>
          <w:rFonts w:eastAsia="Calibri"/>
          <w:sz w:val="24"/>
          <w:szCs w:val="24"/>
        </w:rPr>
      </w:pPr>
      <w:r>
        <w:rPr>
          <w:rFonts w:eastAsia="Calibri"/>
          <w:sz w:val="24"/>
          <w:szCs w:val="24"/>
        </w:rPr>
        <w:t>Негативное мнение представителей бизнеса об эффективности антикоррупционных мер в сфере «деловой» коррупции – 38,8% от опрошенных. Наиболее эффективной антикоррупционной мерой признается ужесточение наказания за коррупцию, наименее эффективной – создание специального органа по борьбе с коррупцией.</w:t>
      </w:r>
    </w:p>
    <w:p w:rsidR="007E27CB" w:rsidRDefault="007E27CB">
      <w:pPr>
        <w:spacing w:after="0" w:line="240" w:lineRule="auto"/>
        <w:ind w:firstLine="567"/>
        <w:jc w:val="both"/>
        <w:rPr>
          <w:i/>
          <w:sz w:val="24"/>
          <w:szCs w:val="24"/>
        </w:rPr>
      </w:pPr>
    </w:p>
    <w:p w:rsidR="007E27CB" w:rsidRDefault="008F141F">
      <w:pPr>
        <w:spacing w:after="0" w:line="240" w:lineRule="auto"/>
        <w:ind w:firstLine="567"/>
        <w:jc w:val="both"/>
        <w:rPr>
          <w:i/>
          <w:sz w:val="24"/>
          <w:szCs w:val="24"/>
        </w:rPr>
      </w:pPr>
      <w:r>
        <w:rPr>
          <w:i/>
          <w:sz w:val="24"/>
          <w:szCs w:val="24"/>
        </w:rPr>
        <w:t>Анализ жалоб и обращений физических и юридических лиц о фактах совершения коррупционных правонарушений.</w:t>
      </w:r>
    </w:p>
    <w:p w:rsidR="007E27CB" w:rsidRDefault="008F141F">
      <w:pPr>
        <w:tabs>
          <w:tab w:val="left" w:pos="4962"/>
        </w:tabs>
        <w:autoSpaceDE w:val="0"/>
        <w:autoSpaceDN w:val="0"/>
        <w:spacing w:after="0" w:line="240" w:lineRule="auto"/>
        <w:ind w:firstLine="567"/>
        <w:jc w:val="both"/>
        <w:rPr>
          <w:rFonts w:eastAsia="Calibri"/>
          <w:sz w:val="24"/>
          <w:szCs w:val="24"/>
        </w:rPr>
      </w:pPr>
      <w:r>
        <w:rPr>
          <w:rFonts w:eastAsia="Calibri"/>
          <w:sz w:val="24"/>
          <w:szCs w:val="24"/>
        </w:rPr>
        <w:t xml:space="preserve">За 12 месяцев 2019 года Администрацией Томской области зарегистрировано 93 обращения, содержащих в себе информацию о возможных коррупционных проявлениях в действиях должностных лиц государственных органов, организаций и предприятий, из них 33 обращения содержат информацию коррупционного характера в отношении государственных гражданских служащих. </w:t>
      </w:r>
    </w:p>
    <w:p w:rsidR="007E27CB" w:rsidRDefault="008F141F">
      <w:pPr>
        <w:tabs>
          <w:tab w:val="left" w:pos="4962"/>
        </w:tabs>
        <w:autoSpaceDE w:val="0"/>
        <w:autoSpaceDN w:val="0"/>
        <w:spacing w:after="0" w:line="240" w:lineRule="auto"/>
        <w:ind w:firstLine="567"/>
        <w:jc w:val="both"/>
        <w:rPr>
          <w:rFonts w:eastAsia="Calibri"/>
          <w:sz w:val="24"/>
          <w:szCs w:val="24"/>
        </w:rPr>
      </w:pPr>
      <w:r>
        <w:rPr>
          <w:rFonts w:eastAsia="Calibri"/>
          <w:sz w:val="24"/>
          <w:szCs w:val="24"/>
        </w:rPr>
        <w:t>Указанные обращения направляются для рассмотрения в органы исполнительной власти Томской области в зависимости от курируемой сферы деятельности.</w:t>
      </w:r>
    </w:p>
    <w:p w:rsidR="007E27CB" w:rsidRDefault="008F141F">
      <w:pPr>
        <w:tabs>
          <w:tab w:val="left" w:pos="4962"/>
        </w:tabs>
        <w:autoSpaceDE w:val="0"/>
        <w:autoSpaceDN w:val="0"/>
        <w:spacing w:after="0" w:line="240" w:lineRule="auto"/>
        <w:ind w:firstLine="567"/>
        <w:jc w:val="both"/>
        <w:rPr>
          <w:rFonts w:eastAsia="Calibri"/>
          <w:sz w:val="24"/>
          <w:szCs w:val="24"/>
        </w:rPr>
      </w:pPr>
      <w:r>
        <w:rPr>
          <w:rFonts w:eastAsia="Calibri"/>
          <w:sz w:val="24"/>
          <w:szCs w:val="24"/>
        </w:rPr>
        <w:t xml:space="preserve">Также информация обо всех фактах коррупционных правонарушений направляется в адрес Департамента. </w:t>
      </w:r>
    </w:p>
    <w:p w:rsidR="007E27CB" w:rsidRDefault="008F141F">
      <w:pPr>
        <w:tabs>
          <w:tab w:val="left" w:pos="4962"/>
        </w:tabs>
        <w:autoSpaceDE w:val="0"/>
        <w:autoSpaceDN w:val="0"/>
        <w:spacing w:after="0" w:line="240" w:lineRule="auto"/>
        <w:ind w:firstLine="567"/>
        <w:jc w:val="both"/>
        <w:rPr>
          <w:rFonts w:eastAsia="Calibri"/>
          <w:sz w:val="24"/>
          <w:szCs w:val="24"/>
        </w:rPr>
      </w:pPr>
      <w:r>
        <w:rPr>
          <w:rFonts w:eastAsia="Calibri"/>
          <w:sz w:val="24"/>
          <w:szCs w:val="24"/>
        </w:rPr>
        <w:t>Как показал анализ обращений, заявители выделяют следующие сферы возможных коррупционных проявлений:</w:t>
      </w:r>
    </w:p>
    <w:p w:rsidR="007E27CB" w:rsidRDefault="008F141F">
      <w:pPr>
        <w:pStyle w:val="a6"/>
        <w:numPr>
          <w:ilvl w:val="0"/>
          <w:numId w:val="21"/>
        </w:numPr>
        <w:tabs>
          <w:tab w:val="left" w:pos="851"/>
          <w:tab w:val="left" w:pos="4962"/>
        </w:tabs>
        <w:autoSpaceDE w:val="0"/>
        <w:autoSpaceDN w:val="0"/>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проведение процедур по закупкам; </w:t>
      </w:r>
    </w:p>
    <w:p w:rsidR="007E27CB" w:rsidRDefault="008F141F">
      <w:pPr>
        <w:pStyle w:val="a6"/>
        <w:numPr>
          <w:ilvl w:val="0"/>
          <w:numId w:val="21"/>
        </w:numPr>
        <w:tabs>
          <w:tab w:val="left" w:pos="851"/>
          <w:tab w:val="left" w:pos="4962"/>
        </w:tabs>
        <w:autoSpaceDE w:val="0"/>
        <w:autoSpaceDN w:val="0"/>
        <w:spacing w:after="0" w:line="240" w:lineRule="auto"/>
        <w:ind w:left="0" w:firstLine="567"/>
        <w:jc w:val="both"/>
        <w:rPr>
          <w:rFonts w:ascii="Times New Roman" w:hAnsi="Times New Roman"/>
          <w:sz w:val="24"/>
          <w:szCs w:val="24"/>
        </w:rPr>
      </w:pPr>
      <w:r>
        <w:rPr>
          <w:rFonts w:ascii="Times New Roman" w:hAnsi="Times New Roman"/>
          <w:sz w:val="24"/>
          <w:szCs w:val="24"/>
        </w:rPr>
        <w:t>тарифное регулирование;</w:t>
      </w:r>
    </w:p>
    <w:p w:rsidR="007E27CB" w:rsidRDefault="008F141F">
      <w:pPr>
        <w:pStyle w:val="a6"/>
        <w:numPr>
          <w:ilvl w:val="0"/>
          <w:numId w:val="21"/>
        </w:numPr>
        <w:tabs>
          <w:tab w:val="left" w:pos="851"/>
          <w:tab w:val="left" w:pos="4962"/>
        </w:tabs>
        <w:autoSpaceDE w:val="0"/>
        <w:autoSpaceDN w:val="0"/>
        <w:spacing w:after="0" w:line="240" w:lineRule="auto"/>
        <w:ind w:left="0" w:firstLine="567"/>
        <w:jc w:val="both"/>
        <w:rPr>
          <w:rFonts w:ascii="Times New Roman" w:hAnsi="Times New Roman"/>
          <w:sz w:val="24"/>
          <w:szCs w:val="24"/>
        </w:rPr>
      </w:pPr>
      <w:r>
        <w:rPr>
          <w:rFonts w:ascii="Times New Roman" w:hAnsi="Times New Roman"/>
          <w:sz w:val="24"/>
          <w:szCs w:val="24"/>
        </w:rPr>
        <w:t>реализация «мусорной» реформы;</w:t>
      </w:r>
    </w:p>
    <w:p w:rsidR="007E27CB" w:rsidRDefault="008F141F">
      <w:pPr>
        <w:pStyle w:val="a6"/>
        <w:numPr>
          <w:ilvl w:val="0"/>
          <w:numId w:val="21"/>
        </w:numPr>
        <w:tabs>
          <w:tab w:val="left" w:pos="851"/>
          <w:tab w:val="left" w:pos="4962"/>
        </w:tabs>
        <w:autoSpaceDE w:val="0"/>
        <w:autoSpaceDN w:val="0"/>
        <w:spacing w:after="0" w:line="240" w:lineRule="auto"/>
        <w:ind w:left="0" w:firstLine="567"/>
        <w:jc w:val="both"/>
        <w:rPr>
          <w:rFonts w:ascii="Times New Roman" w:hAnsi="Times New Roman"/>
          <w:sz w:val="24"/>
          <w:szCs w:val="24"/>
        </w:rPr>
      </w:pPr>
      <w:r>
        <w:rPr>
          <w:rFonts w:ascii="Times New Roman" w:hAnsi="Times New Roman"/>
          <w:sz w:val="24"/>
          <w:szCs w:val="24"/>
        </w:rPr>
        <w:t>выплата заработной платы и кадровая политика (школы, больницы, учреждения профессионального образования);</w:t>
      </w:r>
    </w:p>
    <w:p w:rsidR="007E27CB" w:rsidRDefault="008F141F">
      <w:pPr>
        <w:pStyle w:val="a6"/>
        <w:numPr>
          <w:ilvl w:val="0"/>
          <w:numId w:val="21"/>
        </w:numPr>
        <w:tabs>
          <w:tab w:val="left" w:pos="851"/>
          <w:tab w:val="left" w:pos="4962"/>
        </w:tabs>
        <w:autoSpaceDE w:val="0"/>
        <w:autoSpaceDN w:val="0"/>
        <w:spacing w:after="0" w:line="240" w:lineRule="auto"/>
        <w:ind w:left="0" w:firstLine="567"/>
        <w:jc w:val="both"/>
        <w:rPr>
          <w:rFonts w:ascii="Times New Roman" w:hAnsi="Times New Roman"/>
          <w:sz w:val="24"/>
          <w:szCs w:val="24"/>
        </w:rPr>
      </w:pPr>
      <w:r>
        <w:rPr>
          <w:rFonts w:ascii="Times New Roman" w:hAnsi="Times New Roman"/>
          <w:sz w:val="24"/>
          <w:szCs w:val="24"/>
        </w:rPr>
        <w:t>организация ритуальной деятельности;</w:t>
      </w:r>
    </w:p>
    <w:p w:rsidR="007E27CB" w:rsidRDefault="008F141F">
      <w:pPr>
        <w:pStyle w:val="a6"/>
        <w:numPr>
          <w:ilvl w:val="0"/>
          <w:numId w:val="21"/>
        </w:numPr>
        <w:tabs>
          <w:tab w:val="left" w:pos="851"/>
          <w:tab w:val="left" w:pos="4962"/>
        </w:tabs>
        <w:autoSpaceDE w:val="0"/>
        <w:autoSpaceDN w:val="0"/>
        <w:spacing w:after="0" w:line="240" w:lineRule="auto"/>
        <w:ind w:left="0" w:firstLine="567"/>
        <w:jc w:val="both"/>
        <w:rPr>
          <w:rFonts w:ascii="Times New Roman" w:hAnsi="Times New Roman"/>
          <w:sz w:val="24"/>
          <w:szCs w:val="24"/>
        </w:rPr>
      </w:pPr>
      <w:r>
        <w:rPr>
          <w:rFonts w:ascii="Times New Roman" w:hAnsi="Times New Roman"/>
          <w:sz w:val="24"/>
          <w:szCs w:val="24"/>
        </w:rPr>
        <w:t>проведение информационной политики, взаимодействие со СМИ;</w:t>
      </w:r>
    </w:p>
    <w:p w:rsidR="007E27CB" w:rsidRDefault="008F141F">
      <w:pPr>
        <w:pStyle w:val="a6"/>
        <w:numPr>
          <w:ilvl w:val="0"/>
          <w:numId w:val="21"/>
        </w:numPr>
        <w:tabs>
          <w:tab w:val="left" w:pos="851"/>
          <w:tab w:val="left" w:pos="4962"/>
        </w:tabs>
        <w:autoSpaceDE w:val="0"/>
        <w:autoSpaceDN w:val="0"/>
        <w:spacing w:after="0" w:line="240" w:lineRule="auto"/>
        <w:ind w:left="0" w:firstLine="567"/>
        <w:jc w:val="both"/>
        <w:rPr>
          <w:rFonts w:ascii="Times New Roman" w:hAnsi="Times New Roman"/>
          <w:sz w:val="24"/>
          <w:szCs w:val="24"/>
        </w:rPr>
      </w:pPr>
      <w:r>
        <w:rPr>
          <w:rFonts w:ascii="Times New Roman" w:hAnsi="Times New Roman"/>
          <w:sz w:val="24"/>
          <w:szCs w:val="24"/>
        </w:rPr>
        <w:t>осуществление поддержки некоммерческих организаций;</w:t>
      </w:r>
    </w:p>
    <w:p w:rsidR="007E27CB" w:rsidRDefault="008F141F">
      <w:pPr>
        <w:pStyle w:val="a6"/>
        <w:numPr>
          <w:ilvl w:val="0"/>
          <w:numId w:val="21"/>
        </w:numPr>
        <w:tabs>
          <w:tab w:val="left" w:pos="851"/>
          <w:tab w:val="left" w:pos="4962"/>
        </w:tabs>
        <w:autoSpaceDE w:val="0"/>
        <w:autoSpaceDN w:val="0"/>
        <w:spacing w:after="0" w:line="240" w:lineRule="auto"/>
        <w:ind w:left="0" w:firstLine="567"/>
        <w:jc w:val="both"/>
        <w:rPr>
          <w:rFonts w:ascii="Times New Roman" w:hAnsi="Times New Roman"/>
          <w:sz w:val="24"/>
          <w:szCs w:val="24"/>
        </w:rPr>
      </w:pPr>
      <w:r>
        <w:rPr>
          <w:rFonts w:ascii="Times New Roman" w:hAnsi="Times New Roman"/>
          <w:sz w:val="24"/>
          <w:szCs w:val="24"/>
        </w:rPr>
        <w:t>расходование бюджетных средств;</w:t>
      </w:r>
    </w:p>
    <w:p w:rsidR="007E27CB" w:rsidRDefault="008F141F">
      <w:pPr>
        <w:pStyle w:val="a6"/>
        <w:numPr>
          <w:ilvl w:val="0"/>
          <w:numId w:val="21"/>
        </w:numPr>
        <w:tabs>
          <w:tab w:val="left" w:pos="851"/>
          <w:tab w:val="left" w:pos="4962"/>
        </w:tabs>
        <w:autoSpaceDE w:val="0"/>
        <w:autoSpaceDN w:val="0"/>
        <w:spacing w:after="0" w:line="240" w:lineRule="auto"/>
        <w:ind w:left="0" w:firstLine="567"/>
        <w:jc w:val="both"/>
        <w:rPr>
          <w:rFonts w:ascii="Times New Roman" w:hAnsi="Times New Roman"/>
          <w:sz w:val="24"/>
          <w:szCs w:val="24"/>
        </w:rPr>
      </w:pPr>
      <w:r>
        <w:rPr>
          <w:rFonts w:ascii="Times New Roman" w:hAnsi="Times New Roman"/>
          <w:sz w:val="24"/>
          <w:szCs w:val="24"/>
        </w:rPr>
        <w:t>превышение должностных полномочий в сфере земельных отношений;</w:t>
      </w:r>
    </w:p>
    <w:p w:rsidR="007E27CB" w:rsidRDefault="008F141F">
      <w:pPr>
        <w:pStyle w:val="a6"/>
        <w:numPr>
          <w:ilvl w:val="0"/>
          <w:numId w:val="21"/>
        </w:numPr>
        <w:tabs>
          <w:tab w:val="left" w:pos="851"/>
          <w:tab w:val="left" w:pos="4962"/>
        </w:tabs>
        <w:autoSpaceDE w:val="0"/>
        <w:autoSpaceDN w:val="0"/>
        <w:spacing w:after="0" w:line="240" w:lineRule="auto"/>
        <w:ind w:left="0" w:firstLine="567"/>
        <w:jc w:val="both"/>
        <w:rPr>
          <w:rFonts w:ascii="Times New Roman" w:hAnsi="Times New Roman"/>
          <w:sz w:val="24"/>
          <w:szCs w:val="24"/>
        </w:rPr>
      </w:pPr>
      <w:r>
        <w:rPr>
          <w:rFonts w:ascii="Times New Roman" w:hAnsi="Times New Roman"/>
          <w:sz w:val="24"/>
          <w:szCs w:val="24"/>
        </w:rPr>
        <w:t>нарушение законодательства при организации проведения капитального ремонта и строительных процедур;</w:t>
      </w:r>
    </w:p>
    <w:p w:rsidR="007E27CB" w:rsidRDefault="008F141F">
      <w:pPr>
        <w:pStyle w:val="a6"/>
        <w:numPr>
          <w:ilvl w:val="0"/>
          <w:numId w:val="21"/>
        </w:numPr>
        <w:tabs>
          <w:tab w:val="left" w:pos="851"/>
          <w:tab w:val="left" w:pos="4962"/>
        </w:tabs>
        <w:autoSpaceDE w:val="0"/>
        <w:autoSpaceDN w:val="0"/>
        <w:spacing w:after="0" w:line="240" w:lineRule="auto"/>
        <w:ind w:left="0" w:firstLine="567"/>
        <w:jc w:val="both"/>
        <w:rPr>
          <w:rFonts w:ascii="Times New Roman" w:hAnsi="Times New Roman"/>
          <w:sz w:val="24"/>
          <w:szCs w:val="24"/>
        </w:rPr>
      </w:pPr>
      <w:r>
        <w:rPr>
          <w:rFonts w:ascii="Times New Roman" w:hAnsi="Times New Roman"/>
          <w:sz w:val="24"/>
          <w:szCs w:val="24"/>
        </w:rPr>
        <w:t>злоупотребление служебным положением в сфере пассажирских перевозок и транспортных услуг;</w:t>
      </w:r>
    </w:p>
    <w:p w:rsidR="007E27CB" w:rsidRDefault="008F141F">
      <w:pPr>
        <w:pStyle w:val="a6"/>
        <w:numPr>
          <w:ilvl w:val="0"/>
          <w:numId w:val="21"/>
        </w:numPr>
        <w:tabs>
          <w:tab w:val="left" w:pos="851"/>
          <w:tab w:val="left" w:pos="4962"/>
        </w:tabs>
        <w:autoSpaceDE w:val="0"/>
        <w:autoSpaceDN w:val="0"/>
        <w:spacing w:after="0" w:line="240" w:lineRule="auto"/>
        <w:ind w:left="0" w:firstLine="567"/>
        <w:jc w:val="both"/>
        <w:rPr>
          <w:rFonts w:ascii="Times New Roman" w:hAnsi="Times New Roman"/>
          <w:sz w:val="24"/>
          <w:szCs w:val="24"/>
        </w:rPr>
      </w:pPr>
      <w:r>
        <w:rPr>
          <w:rFonts w:ascii="Times New Roman" w:hAnsi="Times New Roman"/>
          <w:sz w:val="24"/>
          <w:szCs w:val="24"/>
        </w:rPr>
        <w:t>несоблюдение ограничений и запретов муниципальными служащими.</w:t>
      </w:r>
    </w:p>
    <w:p w:rsidR="007E27CB" w:rsidRDefault="008F141F">
      <w:pPr>
        <w:tabs>
          <w:tab w:val="left" w:pos="4962"/>
        </w:tabs>
        <w:autoSpaceDE w:val="0"/>
        <w:autoSpaceDN w:val="0"/>
        <w:spacing w:after="0" w:line="240" w:lineRule="auto"/>
        <w:ind w:firstLine="567"/>
        <w:jc w:val="both"/>
        <w:rPr>
          <w:rFonts w:eastAsia="Calibri"/>
          <w:sz w:val="24"/>
          <w:szCs w:val="24"/>
        </w:rPr>
      </w:pPr>
      <w:r>
        <w:rPr>
          <w:rFonts w:eastAsia="Calibri"/>
          <w:sz w:val="24"/>
          <w:szCs w:val="24"/>
        </w:rPr>
        <w:t>Все поступившие обращения рассмотрены в установленном порядке, заявителям направлены письменные ответы по существу.</w:t>
      </w:r>
    </w:p>
    <w:p w:rsidR="007E27CB" w:rsidRDefault="008F141F">
      <w:pPr>
        <w:tabs>
          <w:tab w:val="left" w:pos="4962"/>
        </w:tabs>
        <w:autoSpaceDE w:val="0"/>
        <w:autoSpaceDN w:val="0"/>
        <w:spacing w:after="0" w:line="240" w:lineRule="auto"/>
        <w:ind w:firstLine="567"/>
        <w:jc w:val="both"/>
        <w:rPr>
          <w:rFonts w:eastAsia="Calibri"/>
          <w:sz w:val="24"/>
          <w:szCs w:val="24"/>
        </w:rPr>
      </w:pPr>
      <w:r>
        <w:rPr>
          <w:rFonts w:eastAsia="Calibri"/>
          <w:sz w:val="24"/>
          <w:szCs w:val="24"/>
        </w:rPr>
        <w:t xml:space="preserve">По изложенным в обращениях фактам Департаментом проведены 93 проверки, из них в 20 обращениях указанные нарушения нашли свое подтверждение. По результатам рассмотрения обращений 3 должностных лица привлечены к ответственности (выговор </w:t>
      </w:r>
      <w:r>
        <w:rPr>
          <w:sz w:val="24"/>
          <w:szCs w:val="24"/>
        </w:rPr>
        <w:t>–</w:t>
      </w:r>
      <w:r>
        <w:rPr>
          <w:rFonts w:eastAsia="Calibri"/>
          <w:sz w:val="24"/>
          <w:szCs w:val="24"/>
        </w:rPr>
        <w:t xml:space="preserve"> 2, замечание </w:t>
      </w:r>
      <w:r>
        <w:rPr>
          <w:sz w:val="24"/>
          <w:szCs w:val="24"/>
        </w:rPr>
        <w:t>–</w:t>
      </w:r>
      <w:r>
        <w:rPr>
          <w:rFonts w:eastAsia="Calibri"/>
          <w:sz w:val="24"/>
          <w:szCs w:val="24"/>
        </w:rPr>
        <w:t xml:space="preserve"> 1), с двумя должностными лицами прекращены трудовые отношения. По остальным обращениям приняты меры по устранению выявленных нарушений, причин и условий им способствующих.</w:t>
      </w:r>
    </w:p>
    <w:p w:rsidR="007E27CB" w:rsidRDefault="007E27CB">
      <w:pPr>
        <w:tabs>
          <w:tab w:val="left" w:pos="4962"/>
        </w:tabs>
        <w:autoSpaceDE w:val="0"/>
        <w:autoSpaceDN w:val="0"/>
        <w:adjustRightInd w:val="0"/>
        <w:spacing w:after="0" w:line="240" w:lineRule="auto"/>
        <w:ind w:firstLine="567"/>
        <w:rPr>
          <w:b/>
          <w:i/>
          <w:sz w:val="24"/>
          <w:szCs w:val="24"/>
        </w:rPr>
      </w:pPr>
    </w:p>
    <w:p w:rsidR="007E27CB" w:rsidRDefault="008F141F">
      <w:pPr>
        <w:tabs>
          <w:tab w:val="left" w:pos="4962"/>
        </w:tabs>
        <w:autoSpaceDE w:val="0"/>
        <w:autoSpaceDN w:val="0"/>
        <w:adjustRightInd w:val="0"/>
        <w:spacing w:after="0" w:line="240" w:lineRule="auto"/>
        <w:ind w:firstLine="567"/>
        <w:jc w:val="both"/>
        <w:rPr>
          <w:i/>
          <w:sz w:val="24"/>
          <w:szCs w:val="24"/>
        </w:rPr>
      </w:pPr>
      <w:r>
        <w:rPr>
          <w:i/>
          <w:sz w:val="24"/>
          <w:szCs w:val="24"/>
        </w:rPr>
        <w:t>Изучение и анализ принимаемых государственными органами Томской области мер по противодействию коррупции</w:t>
      </w:r>
    </w:p>
    <w:p w:rsidR="007E27CB" w:rsidRDefault="008F141F">
      <w:pPr>
        <w:tabs>
          <w:tab w:val="left" w:pos="0"/>
        </w:tabs>
        <w:spacing w:after="0" w:line="240" w:lineRule="auto"/>
        <w:ind w:firstLine="567"/>
        <w:jc w:val="both"/>
        <w:rPr>
          <w:b/>
          <w:sz w:val="24"/>
          <w:szCs w:val="24"/>
        </w:rPr>
      </w:pPr>
      <w:r>
        <w:rPr>
          <w:b/>
          <w:sz w:val="24"/>
          <w:szCs w:val="24"/>
        </w:rPr>
        <w:tab/>
        <w:t>Штатная численность должностных лиц, ответственных за профилактику коррупционных и иных правонарушений.</w:t>
      </w:r>
    </w:p>
    <w:p w:rsidR="007E27CB" w:rsidRDefault="008F141F">
      <w:pPr>
        <w:tabs>
          <w:tab w:val="left" w:pos="4962"/>
        </w:tabs>
        <w:spacing w:after="0" w:line="240" w:lineRule="auto"/>
        <w:ind w:firstLine="567"/>
        <w:jc w:val="both"/>
        <w:rPr>
          <w:sz w:val="24"/>
          <w:szCs w:val="24"/>
        </w:rPr>
      </w:pPr>
      <w:r>
        <w:rPr>
          <w:sz w:val="24"/>
          <w:szCs w:val="24"/>
        </w:rPr>
        <w:t>В 2019 году штатная численность должностных лиц, ответственных за профилактику коррупционных и иных правонарушений, в 39 государственных органах Томской области составила 98 штатных единиц, в том числе в Департаменте – 21 штатная единица.</w:t>
      </w:r>
    </w:p>
    <w:p w:rsidR="007E27CB" w:rsidRDefault="008F141F">
      <w:pPr>
        <w:tabs>
          <w:tab w:val="left" w:pos="4962"/>
        </w:tabs>
        <w:spacing w:after="0" w:line="240" w:lineRule="auto"/>
        <w:ind w:firstLine="567"/>
        <w:jc w:val="both"/>
        <w:rPr>
          <w:sz w:val="24"/>
          <w:szCs w:val="24"/>
        </w:rPr>
      </w:pPr>
      <w:r>
        <w:rPr>
          <w:sz w:val="24"/>
          <w:szCs w:val="24"/>
        </w:rPr>
        <w:t>В целях осуществления антикоррупционной работы в государственных органах Томской области приняты следующие меры:</w:t>
      </w:r>
    </w:p>
    <w:p w:rsidR="007E27CB" w:rsidRDefault="008F141F">
      <w:pPr>
        <w:pStyle w:val="a6"/>
        <w:numPr>
          <w:ilvl w:val="0"/>
          <w:numId w:val="22"/>
        </w:numPr>
        <w:tabs>
          <w:tab w:val="left" w:pos="993"/>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в пределах штатной численности указанных органов из числа специалистов кадровых и юридических подразделений назначены должностные лица, ответственные за профилактику коррупционных и иных правонарушений;</w:t>
      </w:r>
    </w:p>
    <w:p w:rsidR="007E27CB" w:rsidRDefault="008F141F">
      <w:pPr>
        <w:pStyle w:val="a6"/>
        <w:numPr>
          <w:ilvl w:val="0"/>
          <w:numId w:val="22"/>
        </w:numPr>
        <w:tabs>
          <w:tab w:val="left" w:pos="993"/>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из числа специалистов юридических подразделений указанных органов назначены лица, осуществляющие правовое сопровождение деятельности лиц, ответственных за профилактику коррупционных и иных правонарушений;</w:t>
      </w:r>
    </w:p>
    <w:p w:rsidR="007E27CB" w:rsidRDefault="008F141F">
      <w:pPr>
        <w:pStyle w:val="a6"/>
        <w:numPr>
          <w:ilvl w:val="0"/>
          <w:numId w:val="22"/>
        </w:numPr>
        <w:tabs>
          <w:tab w:val="left" w:pos="993"/>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из числа заместителей руководителей государственных органов Томской области назначены лица, осуществляющие текущий контроль за деятельностью лиц, ответственных за профилактику коррупционных и иных правонарушений, а также анализ состояния и эффективности антикоррупционной работы в указанных органах.</w:t>
      </w:r>
    </w:p>
    <w:p w:rsidR="007E27CB" w:rsidRDefault="008F141F">
      <w:pPr>
        <w:tabs>
          <w:tab w:val="left" w:pos="4962"/>
        </w:tabs>
        <w:spacing w:after="0" w:line="240" w:lineRule="auto"/>
        <w:ind w:firstLine="567"/>
        <w:jc w:val="both"/>
        <w:rPr>
          <w:sz w:val="24"/>
          <w:szCs w:val="24"/>
        </w:rPr>
      </w:pPr>
      <w:r>
        <w:rPr>
          <w:sz w:val="24"/>
          <w:szCs w:val="24"/>
        </w:rPr>
        <w:t>В должностные регламенты указанных должностных лиц внесены положения об ответственности за состояние антикоррупционной работы в соответствующих органах.</w:t>
      </w:r>
    </w:p>
    <w:p w:rsidR="007E27CB" w:rsidRDefault="008F141F">
      <w:pPr>
        <w:tabs>
          <w:tab w:val="left" w:pos="4962"/>
        </w:tabs>
        <w:autoSpaceDE w:val="0"/>
        <w:autoSpaceDN w:val="0"/>
        <w:adjustRightInd w:val="0"/>
        <w:spacing w:after="0" w:line="240" w:lineRule="auto"/>
        <w:ind w:firstLine="567"/>
        <w:jc w:val="both"/>
        <w:rPr>
          <w:sz w:val="24"/>
          <w:szCs w:val="24"/>
        </w:rPr>
      </w:pPr>
      <w:r>
        <w:rPr>
          <w:sz w:val="24"/>
          <w:szCs w:val="24"/>
        </w:rPr>
        <w:t>В соответствии с пунктом 1.3 мероприятий Региональной программы противодействия коррупции исполнительными органами государственной власти Томской области на постоянной основе осуществляется информирование Департамента по профилактике коррупционных и иных правонарушений Администрации Томской области о вновь назначенных лицах, ответственных за профилактику коррупционных и иных правонарушений.</w:t>
      </w:r>
    </w:p>
    <w:p w:rsidR="007E27CB" w:rsidRDefault="007E27CB">
      <w:pPr>
        <w:spacing w:after="0" w:line="240" w:lineRule="auto"/>
        <w:ind w:firstLine="567"/>
        <w:jc w:val="both"/>
        <w:rPr>
          <w:b/>
          <w:sz w:val="24"/>
          <w:szCs w:val="24"/>
        </w:rPr>
      </w:pPr>
    </w:p>
    <w:p w:rsidR="007E27CB" w:rsidRDefault="008F141F">
      <w:pPr>
        <w:spacing w:after="0" w:line="240" w:lineRule="auto"/>
        <w:ind w:firstLine="567"/>
        <w:jc w:val="both"/>
        <w:rPr>
          <w:b/>
          <w:sz w:val="24"/>
          <w:szCs w:val="24"/>
        </w:rPr>
      </w:pPr>
      <w:r>
        <w:rPr>
          <w:b/>
          <w:sz w:val="24"/>
          <w:szCs w:val="24"/>
        </w:rPr>
        <w:tab/>
        <w:t>Общая численность государственных гражданских служащих Томской области, подающих сведения о доходах, расходах, об имуществе и обязательствах имущественного характера.</w:t>
      </w:r>
    </w:p>
    <w:p w:rsidR="007E27CB" w:rsidRDefault="008F141F">
      <w:pPr>
        <w:tabs>
          <w:tab w:val="left" w:pos="4962"/>
        </w:tabs>
        <w:spacing w:after="0" w:line="240" w:lineRule="auto"/>
        <w:ind w:firstLine="567"/>
        <w:jc w:val="both"/>
        <w:rPr>
          <w:sz w:val="24"/>
          <w:szCs w:val="24"/>
        </w:rPr>
      </w:pPr>
      <w:r>
        <w:rPr>
          <w:sz w:val="24"/>
          <w:szCs w:val="24"/>
        </w:rPr>
        <w:t xml:space="preserve">В соответствии со статьей 8 Федерального закона от 25.12.2008 </w:t>
      </w:r>
      <w:r>
        <w:rPr>
          <w:sz w:val="24"/>
          <w:szCs w:val="24"/>
        </w:rPr>
        <w:br/>
        <w:t xml:space="preserve">№ 273-ФЗ «О противодействии коррупции», статьей 20 Федерального закона </w:t>
      </w:r>
      <w:r>
        <w:rPr>
          <w:sz w:val="24"/>
          <w:szCs w:val="24"/>
        </w:rPr>
        <w:br/>
        <w:t>от 27.07.2004 № 79-ФЗ «О государственной гражданской службе Российской Федерации» на государственных гражданских служащих, должности которых включены в утвержденные нормативными правовыми актами перечни, возложена обязанность предоставлять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Перечни соответствующих должностей государственной гражданской службы Томской области утверждены Законом Томской области от 09.12.2005 № 231-ОЗ «О государственной гражданской службе Томской области», а также правовыми актами государственных органов Томской области.</w:t>
      </w:r>
    </w:p>
    <w:p w:rsidR="007E27CB" w:rsidRDefault="008F141F">
      <w:pPr>
        <w:tabs>
          <w:tab w:val="left" w:pos="4962"/>
        </w:tabs>
        <w:spacing w:after="0" w:line="240" w:lineRule="auto"/>
        <w:ind w:firstLine="567"/>
        <w:jc w:val="both"/>
        <w:rPr>
          <w:sz w:val="24"/>
          <w:szCs w:val="24"/>
        </w:rPr>
      </w:pPr>
      <w:r>
        <w:rPr>
          <w:sz w:val="24"/>
          <w:szCs w:val="24"/>
        </w:rPr>
        <w:t xml:space="preserve">В 39 государственных органах Томской области численность государственных гражданских служащих, подающих сведения о доходах, расходах, об имуществе и обязательствах имущественного характера, составила 1 124 единицы (в 2018 году – 1 099 единиц). Изменение численности государственных гражданских служащих Томской области, обязанных представлять указанные сведения, связано с изменением штатного расписания государственных органов Томской области. </w:t>
      </w:r>
    </w:p>
    <w:p w:rsidR="007E27CB" w:rsidRDefault="008F141F">
      <w:pPr>
        <w:tabs>
          <w:tab w:val="left" w:pos="4962"/>
        </w:tabs>
        <w:spacing w:after="0" w:line="240" w:lineRule="auto"/>
        <w:ind w:firstLine="567"/>
        <w:jc w:val="both"/>
        <w:rPr>
          <w:sz w:val="24"/>
          <w:szCs w:val="24"/>
        </w:rPr>
      </w:pPr>
      <w:r>
        <w:rPr>
          <w:sz w:val="24"/>
          <w:szCs w:val="24"/>
        </w:rPr>
        <w:t>В соответствии с Планом проведения проверок по своевременному предоставлению государственными гражданскими служащими Томской области сведений о доходах, расходах, об имуществе и обязательствах имущественного характера в исполнительных органах государственной власти Томской области за 2018 год в период с 06.05.2019 по 08.05.2019 рабочими группами Департамента проведены проверки своевременности предоставления указанных сведений государственными гражданскими служащими Томской области, замещающими должности в следующих исполнительных органах государственной власти Томской области.</w:t>
      </w:r>
    </w:p>
    <w:p w:rsidR="007E27CB" w:rsidRDefault="008F141F">
      <w:pPr>
        <w:tabs>
          <w:tab w:val="left" w:pos="4962"/>
        </w:tabs>
        <w:spacing w:after="0" w:line="240" w:lineRule="auto"/>
        <w:ind w:firstLine="567"/>
        <w:jc w:val="both"/>
        <w:rPr>
          <w:sz w:val="24"/>
          <w:szCs w:val="24"/>
        </w:rPr>
      </w:pPr>
      <w:r>
        <w:rPr>
          <w:sz w:val="24"/>
          <w:szCs w:val="24"/>
        </w:rPr>
        <w:t>По результатам  проверок установлено, что государственные гражданские служащие, обязанные представлять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(далее – сведения о доходах)  и замещающие должности в указанных исполнительных органах государственной власти Томской области на даты проведения проверок, представили данные сведения в установленный срок, по форме справки, утвержденной Указом Президента Российской Федерации от 23.06.2014 № 460.</w:t>
      </w:r>
    </w:p>
    <w:p w:rsidR="007E27CB" w:rsidRDefault="008F141F">
      <w:pPr>
        <w:tabs>
          <w:tab w:val="left" w:pos="4962"/>
        </w:tabs>
        <w:spacing w:after="0" w:line="240" w:lineRule="auto"/>
        <w:ind w:firstLine="567"/>
        <w:jc w:val="both"/>
        <w:rPr>
          <w:sz w:val="24"/>
          <w:szCs w:val="24"/>
        </w:rPr>
      </w:pPr>
      <w:r>
        <w:rPr>
          <w:sz w:val="24"/>
          <w:szCs w:val="24"/>
        </w:rPr>
        <w:t>В ходе проверки установлено, что отдельными государственными гражданскими служащими при заполнении справок не в полной мере учтены положения Методических рекомендаций по заполнению справок о доходах, расходах, об имуществе  и обязательствах имущественного характера, разработанных Минтрудом России, что привело к недостаткам и ошибкам в представленных справках.</w:t>
      </w:r>
    </w:p>
    <w:p w:rsidR="007E27CB" w:rsidRDefault="008F141F">
      <w:pPr>
        <w:tabs>
          <w:tab w:val="left" w:pos="4962"/>
        </w:tabs>
        <w:spacing w:after="0" w:line="240" w:lineRule="auto"/>
        <w:ind w:firstLine="567"/>
        <w:jc w:val="both"/>
        <w:rPr>
          <w:sz w:val="24"/>
          <w:szCs w:val="24"/>
        </w:rPr>
      </w:pPr>
      <w:r>
        <w:rPr>
          <w:sz w:val="24"/>
          <w:szCs w:val="24"/>
        </w:rPr>
        <w:t>По результатам проверочных мероприятий, проведенных Департаментом, руководителями исполнительных органов государственной власти Томской области в порядке, предусмотренном постановлением Администрации Томской области от 13.01.2010 № 4а, назначены соответствующие проверки достоверности и полноты представленных гражданскими служащими сведений о доходах, расходах, об имуществе и обязательствах имущественного характера.</w:t>
      </w:r>
    </w:p>
    <w:p w:rsidR="007E27CB" w:rsidRDefault="008F141F">
      <w:pPr>
        <w:tabs>
          <w:tab w:val="left" w:pos="4962"/>
        </w:tabs>
        <w:spacing w:after="0" w:line="240" w:lineRule="auto"/>
        <w:ind w:firstLine="567"/>
        <w:jc w:val="both"/>
        <w:rPr>
          <w:sz w:val="24"/>
          <w:szCs w:val="24"/>
        </w:rPr>
      </w:pPr>
      <w:r>
        <w:rPr>
          <w:sz w:val="24"/>
          <w:szCs w:val="24"/>
        </w:rPr>
        <w:t>По результатам проверок 5 гражданских служащих государственных органов Томской области привлечены к ответственности (4 - в виде замечания, 1 - в виде выговора).</w:t>
      </w:r>
    </w:p>
    <w:p w:rsidR="007E27CB" w:rsidRDefault="007E27CB">
      <w:pPr>
        <w:spacing w:after="0" w:line="240" w:lineRule="auto"/>
        <w:ind w:firstLine="567"/>
        <w:jc w:val="both"/>
        <w:rPr>
          <w:b/>
          <w:sz w:val="24"/>
          <w:szCs w:val="24"/>
        </w:rPr>
      </w:pPr>
    </w:p>
    <w:p w:rsidR="007E27CB" w:rsidRDefault="008F141F">
      <w:pPr>
        <w:spacing w:after="0" w:line="240" w:lineRule="auto"/>
        <w:ind w:firstLine="567"/>
        <w:jc w:val="both"/>
        <w:rPr>
          <w:b/>
          <w:sz w:val="24"/>
          <w:szCs w:val="24"/>
        </w:rPr>
      </w:pPr>
      <w:r>
        <w:rPr>
          <w:b/>
          <w:sz w:val="24"/>
          <w:szCs w:val="24"/>
        </w:rPr>
        <w:t>Количество и результаты проверок достоверности и полноты сведений</w:t>
      </w:r>
    </w:p>
    <w:p w:rsidR="007E27CB" w:rsidRDefault="008F141F">
      <w:pPr>
        <w:shd w:val="clear" w:color="auto" w:fill="FFFFFF"/>
        <w:tabs>
          <w:tab w:val="left" w:pos="4962"/>
        </w:tabs>
        <w:spacing w:after="0" w:line="240" w:lineRule="auto"/>
        <w:ind w:firstLine="567"/>
        <w:jc w:val="both"/>
        <w:rPr>
          <w:sz w:val="24"/>
          <w:szCs w:val="24"/>
        </w:rPr>
      </w:pPr>
      <w:r>
        <w:rPr>
          <w:sz w:val="24"/>
          <w:szCs w:val="24"/>
        </w:rPr>
        <w:t>В 2019 году лицами, ответственными за профилактику коррупционных и иных правонарушений в государственных органах Томской области, на основании анализа справок о доходах, расходах, об имуществе и обязательствах имущественного характера, проведенных кадровыми службами, результатов проверок, организованных Департаментом по профилактике коррупционных и иных правонарушений Администрации Томской области, а также по фактам, изложенным в актах прокурорского реагирования, проведено 44 проверки достоверности и полноты сведений о доходах, расходах, об имуществе и обязательствах имущественного характера, в том числе 9 – в Администрации Томской области. По результатам проверок меры ответственности в государственных органах Томской области применены к 8 гражданским служащим, в том числе: 5 – в виде замечания, 3 – в виде выговора.</w:t>
      </w:r>
    </w:p>
    <w:p w:rsidR="007E27CB" w:rsidRDefault="008F141F">
      <w:pPr>
        <w:shd w:val="clear" w:color="auto" w:fill="FFFFFF"/>
        <w:tabs>
          <w:tab w:val="left" w:pos="4962"/>
        </w:tabs>
        <w:spacing w:after="0" w:line="240" w:lineRule="auto"/>
        <w:ind w:firstLine="567"/>
        <w:jc w:val="both"/>
        <w:rPr>
          <w:sz w:val="24"/>
          <w:szCs w:val="24"/>
        </w:rPr>
      </w:pPr>
      <w:r>
        <w:rPr>
          <w:sz w:val="24"/>
          <w:szCs w:val="24"/>
        </w:rPr>
        <w:t>В аналогичный период прошлого года таких проверок было проведено 40, в том числе 11 – в Администрации Томской области. По результатам проверок меры ответственности в государственных органах Томской области были применены к 10 гражданским служащим, в том числе: 4 – в виде замечания, 6 – в виде выговора.</w:t>
      </w:r>
    </w:p>
    <w:p w:rsidR="007E27CB" w:rsidRDefault="008F141F">
      <w:pPr>
        <w:pStyle w:val="ConsPlusNormal"/>
        <w:tabs>
          <w:tab w:val="left" w:pos="4962"/>
        </w:tabs>
        <w:ind w:firstLine="567"/>
        <w:jc w:val="both"/>
        <w:rPr>
          <w:b w:val="0"/>
          <w:sz w:val="24"/>
          <w:szCs w:val="24"/>
        </w:rPr>
      </w:pPr>
      <w:r>
        <w:rPr>
          <w:b w:val="0"/>
          <w:sz w:val="24"/>
          <w:szCs w:val="24"/>
        </w:rPr>
        <w:t xml:space="preserve">В 2019 году Департаментом инициировано и проведено 8 проверок достоверности и полноты сведений о доходах, расходах, об имуществе и обязательствах имущественного характера в отношении государственных гражданских служащих, замещающих должности в Администрации Томской области и одна проверка в отношении лица, замещающего государственную должность Томской области. Результаты проверок в отношении государственных гражданских служащих направлены в Комиссию по соблюдению требований к служебному поведению и урегулированию конфликта интересов Администрации Томской области (далее по разделу </w:t>
      </w:r>
      <w:r>
        <w:rPr>
          <w:sz w:val="24"/>
          <w:szCs w:val="24"/>
        </w:rPr>
        <w:t>–</w:t>
      </w:r>
      <w:r>
        <w:rPr>
          <w:b w:val="0"/>
          <w:sz w:val="24"/>
          <w:szCs w:val="24"/>
        </w:rPr>
        <w:t xml:space="preserve"> Комиссия). По результатам заседания Комиссией приняты решения рекомендовать представителю нанимателя применить следующие виды взыскания:</w:t>
      </w:r>
    </w:p>
    <w:p w:rsidR="007E27CB" w:rsidRDefault="008F141F">
      <w:pPr>
        <w:pStyle w:val="ConsPlusNormal"/>
        <w:numPr>
          <w:ilvl w:val="0"/>
          <w:numId w:val="23"/>
        </w:numPr>
        <w:tabs>
          <w:tab w:val="left" w:pos="851"/>
          <w:tab w:val="left" w:pos="4962"/>
        </w:tabs>
        <w:ind w:left="0" w:firstLine="567"/>
        <w:jc w:val="both"/>
        <w:rPr>
          <w:b w:val="0"/>
          <w:sz w:val="24"/>
          <w:szCs w:val="24"/>
        </w:rPr>
      </w:pPr>
      <w:r>
        <w:rPr>
          <w:b w:val="0"/>
          <w:sz w:val="24"/>
          <w:szCs w:val="24"/>
        </w:rPr>
        <w:t xml:space="preserve">в виде замечания </w:t>
      </w:r>
      <w:r>
        <w:rPr>
          <w:sz w:val="24"/>
          <w:szCs w:val="24"/>
        </w:rPr>
        <w:t xml:space="preserve">– </w:t>
      </w:r>
      <w:r>
        <w:rPr>
          <w:b w:val="0"/>
          <w:sz w:val="24"/>
          <w:szCs w:val="24"/>
        </w:rPr>
        <w:t>в отношении 2 государственных гражданских служащих;</w:t>
      </w:r>
    </w:p>
    <w:p w:rsidR="007E27CB" w:rsidRDefault="008F141F">
      <w:pPr>
        <w:pStyle w:val="ConsPlusNormal"/>
        <w:numPr>
          <w:ilvl w:val="0"/>
          <w:numId w:val="23"/>
        </w:numPr>
        <w:tabs>
          <w:tab w:val="left" w:pos="851"/>
          <w:tab w:val="left" w:pos="4962"/>
        </w:tabs>
        <w:ind w:left="0" w:firstLine="567"/>
        <w:jc w:val="both"/>
        <w:rPr>
          <w:b w:val="0"/>
          <w:sz w:val="24"/>
          <w:szCs w:val="24"/>
        </w:rPr>
      </w:pPr>
      <w:r>
        <w:rPr>
          <w:b w:val="0"/>
          <w:sz w:val="24"/>
          <w:szCs w:val="24"/>
        </w:rPr>
        <w:t xml:space="preserve">в виде выговора </w:t>
      </w:r>
      <w:r>
        <w:rPr>
          <w:sz w:val="24"/>
          <w:szCs w:val="24"/>
        </w:rPr>
        <w:t xml:space="preserve">– </w:t>
      </w:r>
      <w:r>
        <w:rPr>
          <w:b w:val="0"/>
          <w:sz w:val="24"/>
          <w:szCs w:val="24"/>
        </w:rPr>
        <w:t xml:space="preserve">в отношении 3 государственных гражданских служащих; </w:t>
      </w:r>
    </w:p>
    <w:p w:rsidR="007E27CB" w:rsidRDefault="008F141F">
      <w:pPr>
        <w:pStyle w:val="ConsPlusNormal"/>
        <w:numPr>
          <w:ilvl w:val="0"/>
          <w:numId w:val="23"/>
        </w:numPr>
        <w:tabs>
          <w:tab w:val="left" w:pos="851"/>
          <w:tab w:val="left" w:pos="4962"/>
        </w:tabs>
        <w:ind w:left="0" w:firstLine="567"/>
        <w:jc w:val="both"/>
        <w:rPr>
          <w:b w:val="0"/>
          <w:sz w:val="24"/>
          <w:szCs w:val="24"/>
        </w:rPr>
      </w:pPr>
      <w:r>
        <w:rPr>
          <w:b w:val="0"/>
          <w:sz w:val="24"/>
          <w:szCs w:val="24"/>
        </w:rPr>
        <w:t xml:space="preserve">в виде предупреждения о неполном должностном соответствии </w:t>
      </w:r>
      <w:r>
        <w:rPr>
          <w:sz w:val="24"/>
          <w:szCs w:val="24"/>
        </w:rPr>
        <w:t xml:space="preserve">– </w:t>
      </w:r>
      <w:r>
        <w:rPr>
          <w:b w:val="0"/>
          <w:sz w:val="24"/>
          <w:szCs w:val="24"/>
        </w:rPr>
        <w:t xml:space="preserve">в отношении 1 государственного гражданского служащего; </w:t>
      </w:r>
    </w:p>
    <w:p w:rsidR="007E27CB" w:rsidRDefault="008F141F">
      <w:pPr>
        <w:pStyle w:val="ConsPlusNormal"/>
        <w:numPr>
          <w:ilvl w:val="0"/>
          <w:numId w:val="23"/>
        </w:numPr>
        <w:tabs>
          <w:tab w:val="left" w:pos="851"/>
          <w:tab w:val="left" w:pos="4962"/>
        </w:tabs>
        <w:ind w:left="0" w:firstLine="567"/>
        <w:jc w:val="both"/>
        <w:rPr>
          <w:b w:val="0"/>
          <w:sz w:val="24"/>
          <w:szCs w:val="24"/>
        </w:rPr>
      </w:pPr>
      <w:r>
        <w:rPr>
          <w:b w:val="0"/>
          <w:sz w:val="24"/>
          <w:szCs w:val="24"/>
        </w:rPr>
        <w:t xml:space="preserve">в виде увольнения в связи с утратой доверия </w:t>
      </w:r>
      <w:r>
        <w:rPr>
          <w:sz w:val="24"/>
          <w:szCs w:val="24"/>
        </w:rPr>
        <w:t xml:space="preserve">– </w:t>
      </w:r>
      <w:r>
        <w:rPr>
          <w:b w:val="0"/>
          <w:sz w:val="24"/>
          <w:szCs w:val="24"/>
        </w:rPr>
        <w:t>в отношении 1 служащего.</w:t>
      </w:r>
    </w:p>
    <w:p w:rsidR="007E27CB" w:rsidRDefault="008F141F">
      <w:pPr>
        <w:pStyle w:val="ConsPlusNormal"/>
        <w:tabs>
          <w:tab w:val="left" w:pos="4962"/>
        </w:tabs>
        <w:ind w:firstLine="567"/>
        <w:jc w:val="both"/>
        <w:rPr>
          <w:b w:val="0"/>
          <w:sz w:val="24"/>
          <w:szCs w:val="24"/>
        </w:rPr>
      </w:pPr>
      <w:r>
        <w:rPr>
          <w:b w:val="0"/>
          <w:sz w:val="24"/>
          <w:szCs w:val="24"/>
        </w:rPr>
        <w:t xml:space="preserve">Комиссия указала 1 служащему на необходимость в дальнейшем более внимательно относиться к заполнению сведений в справках о доходах, а также руководствоваться соответствующими методическими рекомендациями и первоисточниками информации. </w:t>
      </w:r>
    </w:p>
    <w:p w:rsidR="007E27CB" w:rsidRDefault="008F141F">
      <w:pPr>
        <w:pStyle w:val="ConsPlusNormal"/>
        <w:tabs>
          <w:tab w:val="left" w:pos="4962"/>
        </w:tabs>
        <w:ind w:firstLine="567"/>
        <w:jc w:val="both"/>
        <w:rPr>
          <w:b w:val="0"/>
          <w:sz w:val="24"/>
          <w:szCs w:val="24"/>
        </w:rPr>
      </w:pPr>
      <w:r>
        <w:rPr>
          <w:b w:val="0"/>
          <w:sz w:val="24"/>
          <w:szCs w:val="24"/>
        </w:rPr>
        <w:t>Представителем нанимателя одобрены принятые Комиссией решения о применении вышеуказанных взысканий в отношении государственных гражданских служащих.</w:t>
      </w:r>
    </w:p>
    <w:p w:rsidR="007E27CB" w:rsidRDefault="008F141F">
      <w:pPr>
        <w:pStyle w:val="ConsPlusNormal"/>
        <w:tabs>
          <w:tab w:val="left" w:pos="4962"/>
        </w:tabs>
        <w:ind w:firstLine="567"/>
        <w:jc w:val="both"/>
        <w:rPr>
          <w:b w:val="0"/>
          <w:sz w:val="24"/>
          <w:szCs w:val="24"/>
        </w:rPr>
      </w:pPr>
      <w:r>
        <w:rPr>
          <w:b w:val="0"/>
          <w:sz w:val="24"/>
          <w:szCs w:val="24"/>
        </w:rPr>
        <w:t>В отношении 2 государственных гражданских служащих взыскание применить не представляется возможным по причине их нахождения в отпуске по уходу за ребенком до достижения им возраста 3 лет.</w:t>
      </w:r>
    </w:p>
    <w:p w:rsidR="007E27CB" w:rsidRDefault="008F141F">
      <w:pPr>
        <w:pStyle w:val="ConsPlusNormal"/>
        <w:tabs>
          <w:tab w:val="left" w:pos="4962"/>
        </w:tabs>
        <w:ind w:firstLine="567"/>
        <w:jc w:val="both"/>
        <w:rPr>
          <w:b w:val="0"/>
          <w:sz w:val="24"/>
          <w:szCs w:val="24"/>
        </w:rPr>
      </w:pPr>
      <w:r>
        <w:rPr>
          <w:b w:val="0"/>
          <w:sz w:val="24"/>
          <w:szCs w:val="24"/>
        </w:rPr>
        <w:t>1 государственный гражданский служащий, к которому было решено применить взыскание в виде увольнения в связи с утратой доверия, уволился по собственному желанию до принятия представителем нанимателя решения по применению к нему данного вида взыскания.</w:t>
      </w:r>
    </w:p>
    <w:p w:rsidR="007E27CB" w:rsidRDefault="008F141F">
      <w:pPr>
        <w:pStyle w:val="ConsPlusNormal"/>
        <w:tabs>
          <w:tab w:val="left" w:pos="4962"/>
        </w:tabs>
        <w:ind w:firstLine="567"/>
        <w:jc w:val="both"/>
        <w:rPr>
          <w:b w:val="0"/>
          <w:sz w:val="24"/>
          <w:szCs w:val="24"/>
        </w:rPr>
      </w:pPr>
      <w:r>
        <w:rPr>
          <w:b w:val="0"/>
          <w:sz w:val="24"/>
          <w:szCs w:val="24"/>
        </w:rPr>
        <w:t>В отношении лица, замещающего государственную должность Томской области, представителем нанимателя принято решение о применении взыскания в виде замечания.</w:t>
      </w:r>
    </w:p>
    <w:p w:rsidR="007E27CB" w:rsidRDefault="007E27CB">
      <w:pPr>
        <w:pStyle w:val="af6"/>
        <w:shd w:val="clear" w:color="auto" w:fill="FFFFFF"/>
        <w:tabs>
          <w:tab w:val="left" w:pos="4962"/>
        </w:tabs>
        <w:spacing w:before="0" w:beforeAutospacing="0" w:after="0" w:afterAutospacing="0"/>
        <w:ind w:firstLine="567"/>
        <w:textAlignment w:val="baseline"/>
        <w:rPr>
          <w:lang w:eastAsia="en-US"/>
        </w:rPr>
      </w:pPr>
    </w:p>
    <w:p w:rsidR="007E27CB" w:rsidRDefault="008F141F">
      <w:pPr>
        <w:pStyle w:val="af6"/>
        <w:shd w:val="clear" w:color="auto" w:fill="FFFFFF"/>
        <w:spacing w:before="0" w:beforeAutospacing="0" w:after="0" w:afterAutospacing="0"/>
        <w:ind w:firstLine="567"/>
        <w:textAlignment w:val="baseline"/>
        <w:rPr>
          <w:b/>
          <w:lang w:eastAsia="en-US"/>
        </w:rPr>
      </w:pPr>
      <w:r>
        <w:rPr>
          <w:b/>
          <w:lang w:eastAsia="ru-RU"/>
        </w:rPr>
        <w:t>Количество и результаты проверок соблюдения лицами, замещающими государственные должности Томской области, должности государственной гражданской службы Томской области в государственных органах Томской области, установленных ограничений, запретов, требований о предотвращении и урегулировании конфликта интересов, исполнения ими должностных обязанностей</w:t>
      </w:r>
    </w:p>
    <w:p w:rsidR="007E27CB" w:rsidRDefault="008F141F">
      <w:pPr>
        <w:pStyle w:val="af6"/>
        <w:shd w:val="clear" w:color="auto" w:fill="FFFFFF"/>
        <w:tabs>
          <w:tab w:val="left" w:pos="4962"/>
        </w:tabs>
        <w:spacing w:before="0" w:beforeAutospacing="0" w:after="0" w:afterAutospacing="0"/>
        <w:ind w:firstLine="567"/>
        <w:textAlignment w:val="baseline"/>
        <w:rPr>
          <w:lang w:eastAsia="en-US"/>
        </w:rPr>
      </w:pPr>
      <w:r>
        <w:rPr>
          <w:lang w:eastAsia="en-US"/>
        </w:rPr>
        <w:t>В целях реализации Указа Президента Российской Федерации от 15.07.2015 № 364 «О мерах по совершенствованию организации деятельности в области противодействия коррупции», по инициативе Департамента в 2019 году</w:t>
      </w:r>
      <w:r>
        <w:t xml:space="preserve"> </w:t>
      </w:r>
      <w:r>
        <w:rPr>
          <w:lang w:eastAsia="en-US"/>
        </w:rPr>
        <w:t>государственными органами Томской области проведено 427 проверочных мероприяти</w:t>
      </w:r>
      <w:r>
        <w:rPr>
          <w:lang w:val="ru-RU" w:eastAsia="en-US"/>
        </w:rPr>
        <w:t>й</w:t>
      </w:r>
      <w:r>
        <w:rPr>
          <w:lang w:eastAsia="en-US"/>
        </w:rPr>
        <w:t xml:space="preserve"> на предмет участия служащих на платной основе в деятельности органа управления коммерческой организации, осуществления предпринимательской деятельности через базы ЕГРЮЛ и ЕГРИП, нарушения не установлены.</w:t>
      </w:r>
    </w:p>
    <w:p w:rsidR="007E27CB" w:rsidRDefault="008F141F">
      <w:pPr>
        <w:pStyle w:val="af6"/>
        <w:shd w:val="clear" w:color="auto" w:fill="FFFFFF"/>
        <w:tabs>
          <w:tab w:val="left" w:pos="4962"/>
        </w:tabs>
        <w:spacing w:before="0" w:beforeAutospacing="0" w:after="0" w:afterAutospacing="0"/>
        <w:ind w:firstLine="567"/>
        <w:textAlignment w:val="baseline"/>
        <w:rPr>
          <w:lang w:eastAsia="en-US"/>
        </w:rPr>
      </w:pPr>
      <w:r>
        <w:rPr>
          <w:lang w:eastAsia="en-US"/>
        </w:rPr>
        <w:t xml:space="preserve">В </w:t>
      </w:r>
      <w:r>
        <w:rPr>
          <w:lang w:val="ru-RU" w:eastAsia="en-US"/>
        </w:rPr>
        <w:t>аналогичном периоде прошлого года</w:t>
      </w:r>
      <w:r>
        <w:rPr>
          <w:lang w:eastAsia="en-US"/>
        </w:rPr>
        <w:t xml:space="preserve"> проведено 569 проверочных мероприятий.</w:t>
      </w:r>
    </w:p>
    <w:p w:rsidR="007E27CB" w:rsidRDefault="008F141F">
      <w:pPr>
        <w:pStyle w:val="af6"/>
        <w:shd w:val="clear" w:color="auto" w:fill="FFFFFF"/>
        <w:tabs>
          <w:tab w:val="left" w:pos="4962"/>
        </w:tabs>
        <w:spacing w:before="0" w:beforeAutospacing="0" w:after="0" w:afterAutospacing="0"/>
        <w:ind w:firstLine="567"/>
        <w:textAlignment w:val="baseline"/>
        <w:rPr>
          <w:lang w:eastAsia="en-US"/>
        </w:rPr>
      </w:pPr>
      <w:r>
        <w:rPr>
          <w:lang w:eastAsia="en-US"/>
        </w:rPr>
        <w:t xml:space="preserve">На заседаниях </w:t>
      </w:r>
      <w:r>
        <w:rPr>
          <w:lang w:val="ru-RU" w:eastAsia="en-US"/>
        </w:rPr>
        <w:t>Ко</w:t>
      </w:r>
      <w:r>
        <w:rPr>
          <w:lang w:eastAsia="en-US"/>
        </w:rPr>
        <w:t>мисси</w:t>
      </w:r>
      <w:r>
        <w:rPr>
          <w:lang w:val="ru-RU" w:eastAsia="en-US"/>
        </w:rPr>
        <w:t>и</w:t>
      </w:r>
      <w:r>
        <w:rPr>
          <w:lang w:eastAsia="en-US"/>
        </w:rPr>
        <w:t xml:space="preserve"> рассмотрены материалы проверок о соблюдении гражданскими служащими требований к служебному поведению, ограничений и запретов, а также исполнения ими обязанностей, установленных законодательством о государственной гражданской службе и противодействии коррупции.</w:t>
      </w:r>
    </w:p>
    <w:p w:rsidR="007E27CB" w:rsidRDefault="008F141F">
      <w:pPr>
        <w:pStyle w:val="af6"/>
        <w:shd w:val="clear" w:color="auto" w:fill="FFFFFF"/>
        <w:tabs>
          <w:tab w:val="left" w:pos="4962"/>
        </w:tabs>
        <w:spacing w:before="0" w:beforeAutospacing="0" w:after="0" w:afterAutospacing="0"/>
        <w:ind w:firstLine="567"/>
        <w:textAlignment w:val="baseline"/>
        <w:rPr>
          <w:lang w:eastAsia="en-US"/>
        </w:rPr>
      </w:pPr>
      <w:r>
        <w:rPr>
          <w:lang w:eastAsia="en-US"/>
        </w:rPr>
        <w:t>В государственных органах Томской области</w:t>
      </w:r>
      <w:r>
        <w:rPr>
          <w:lang w:val="ru-RU" w:eastAsia="en-US"/>
        </w:rPr>
        <w:t xml:space="preserve"> </w:t>
      </w:r>
      <w:r>
        <w:rPr>
          <w:lang w:eastAsia="en-US"/>
        </w:rPr>
        <w:t>по решению представителя нанимателя, с учетом рекомендаций, изложенных в решениях комиссий, в отношении 2 гражданских служащих применено дисциплинарное взыскание в виде замечания.</w:t>
      </w:r>
    </w:p>
    <w:p w:rsidR="007E27CB" w:rsidRDefault="008F141F">
      <w:pPr>
        <w:pStyle w:val="af6"/>
        <w:shd w:val="clear" w:color="auto" w:fill="FFFFFF"/>
        <w:tabs>
          <w:tab w:val="left" w:pos="4962"/>
        </w:tabs>
        <w:spacing w:before="0" w:beforeAutospacing="0" w:after="0" w:afterAutospacing="0"/>
        <w:ind w:firstLine="567"/>
        <w:textAlignment w:val="baseline"/>
        <w:rPr>
          <w:lang w:eastAsia="en-US"/>
        </w:rPr>
      </w:pPr>
      <w:r>
        <w:rPr>
          <w:lang w:eastAsia="en-US"/>
        </w:rPr>
        <w:t xml:space="preserve">В </w:t>
      </w:r>
      <w:r>
        <w:rPr>
          <w:lang w:val="ru-RU" w:eastAsia="en-US"/>
        </w:rPr>
        <w:t>аналогичном периоде прошлого года</w:t>
      </w:r>
      <w:r>
        <w:rPr>
          <w:lang w:eastAsia="en-US"/>
        </w:rPr>
        <w:t xml:space="preserve"> в государственных органах Томской области в отношении гражданских служащих применено 2 дисциплинарных взыскания.</w:t>
      </w:r>
    </w:p>
    <w:p w:rsidR="007E27CB" w:rsidRDefault="008F141F">
      <w:pPr>
        <w:pStyle w:val="af6"/>
        <w:shd w:val="clear" w:color="auto" w:fill="FFFFFF"/>
        <w:tabs>
          <w:tab w:val="left" w:pos="4962"/>
        </w:tabs>
        <w:spacing w:before="0" w:beforeAutospacing="0" w:after="0" w:afterAutospacing="0"/>
        <w:ind w:firstLine="567"/>
        <w:textAlignment w:val="baseline"/>
        <w:rPr>
          <w:lang w:eastAsia="en-US"/>
        </w:rPr>
      </w:pPr>
      <w:r>
        <w:rPr>
          <w:lang w:eastAsia="en-US"/>
        </w:rPr>
        <w:t>В отношении 1 гражданского служащего по результатам проверки рекомендовано применить меру дисциплинарной ответственности в виде выговора: в данном случае результаты проверки не были рассмотрены на заседании Комиссии в связи с отсутствием гражданского служащего на рабочем месте по причине временной нетрудоспособности и последующего увольнения по собственному желанию.</w:t>
      </w:r>
    </w:p>
    <w:p w:rsidR="007E27CB" w:rsidRDefault="008F141F">
      <w:pPr>
        <w:pStyle w:val="af6"/>
        <w:shd w:val="clear" w:color="auto" w:fill="FFFFFF"/>
        <w:tabs>
          <w:tab w:val="left" w:pos="4962"/>
        </w:tabs>
        <w:spacing w:before="0" w:beforeAutospacing="0" w:after="0" w:afterAutospacing="0"/>
        <w:ind w:firstLine="567"/>
        <w:textAlignment w:val="baseline"/>
        <w:rPr>
          <w:lang w:eastAsia="en-US"/>
        </w:rPr>
      </w:pPr>
      <w:r>
        <w:t>В отношении 7</w:t>
      </w:r>
      <w:r>
        <w:rPr>
          <w:lang w:eastAsia="en-US"/>
        </w:rPr>
        <w:t xml:space="preserve"> </w:t>
      </w:r>
      <w:r>
        <w:t xml:space="preserve">гражданских служащих </w:t>
      </w:r>
      <w:r>
        <w:rPr>
          <w:lang w:val="ru-RU"/>
        </w:rPr>
        <w:t>К</w:t>
      </w:r>
      <w:r>
        <w:t>омиссией принято решение не применять мер юридической ответственности за неисполнение обязанностей, установленных в целях противодействия коррупции, в связи с отсутствием конфликта интересов при осуществлении иной оплачиваемой деятельности.</w:t>
      </w:r>
    </w:p>
    <w:p w:rsidR="007E27CB" w:rsidRDefault="008F141F">
      <w:pPr>
        <w:tabs>
          <w:tab w:val="left" w:pos="4962"/>
        </w:tabs>
        <w:spacing w:after="0" w:line="240" w:lineRule="auto"/>
        <w:ind w:firstLine="567"/>
        <w:jc w:val="both"/>
        <w:rPr>
          <w:sz w:val="24"/>
          <w:szCs w:val="24"/>
        </w:rPr>
      </w:pPr>
      <w:r>
        <w:rPr>
          <w:sz w:val="24"/>
          <w:szCs w:val="24"/>
        </w:rPr>
        <w:t xml:space="preserve">Департаментом инициирована и проведена 1 проверка соблюдения требований к служебному поведению и урегулированию конфликта интересов в отношении руководителя структурного подразделения Администрации Томской области – неуведомление представителя нанимателя о выполнении иной оплачиваемой работы. </w:t>
      </w:r>
    </w:p>
    <w:p w:rsidR="007E27CB" w:rsidRDefault="008F141F">
      <w:pPr>
        <w:tabs>
          <w:tab w:val="left" w:pos="4962"/>
        </w:tabs>
        <w:spacing w:after="0" w:line="240" w:lineRule="auto"/>
        <w:ind w:firstLine="567"/>
        <w:jc w:val="both"/>
        <w:rPr>
          <w:sz w:val="24"/>
          <w:szCs w:val="24"/>
        </w:rPr>
      </w:pPr>
      <w:r>
        <w:rPr>
          <w:sz w:val="24"/>
          <w:szCs w:val="24"/>
        </w:rPr>
        <w:t>Комиссия установила, что факт неуведомления нашел свое подтверждение и не оспаривается государственным гражданским служащим. Не уведомив представителя нанимателя о намерении выполнять иную оплачиваемую работу, государственный гражданский служащий не соблюдал требования к служебному поведению. По результатам заседания Комиссией принято решение рекомендовать представителю нанимателя применить меру ответственности в виде замечания. Представитель нанимателя принял решение о применении меры ответственности в виде замечания.</w:t>
      </w:r>
    </w:p>
    <w:p w:rsidR="007E27CB" w:rsidRDefault="007E27CB">
      <w:pPr>
        <w:tabs>
          <w:tab w:val="left" w:pos="4962"/>
        </w:tabs>
        <w:spacing w:after="0" w:line="240" w:lineRule="auto"/>
        <w:ind w:firstLine="567"/>
        <w:jc w:val="both"/>
        <w:rPr>
          <w:b/>
          <w:sz w:val="24"/>
          <w:szCs w:val="24"/>
        </w:rPr>
      </w:pPr>
    </w:p>
    <w:p w:rsidR="007E27CB" w:rsidRDefault="007E27CB">
      <w:pPr>
        <w:tabs>
          <w:tab w:val="left" w:pos="0"/>
        </w:tabs>
        <w:spacing w:after="0" w:line="240" w:lineRule="auto"/>
        <w:ind w:firstLine="567"/>
        <w:jc w:val="both"/>
        <w:rPr>
          <w:b/>
          <w:sz w:val="24"/>
          <w:szCs w:val="24"/>
        </w:rPr>
      </w:pPr>
    </w:p>
    <w:p w:rsidR="007E27CB" w:rsidRDefault="007E27CB">
      <w:pPr>
        <w:tabs>
          <w:tab w:val="left" w:pos="0"/>
        </w:tabs>
        <w:spacing w:after="0" w:line="240" w:lineRule="auto"/>
        <w:ind w:firstLine="567"/>
        <w:jc w:val="both"/>
        <w:rPr>
          <w:b/>
          <w:sz w:val="24"/>
          <w:szCs w:val="24"/>
        </w:rPr>
      </w:pPr>
    </w:p>
    <w:p w:rsidR="007E27CB" w:rsidRDefault="007E27CB">
      <w:pPr>
        <w:tabs>
          <w:tab w:val="left" w:pos="0"/>
        </w:tabs>
        <w:spacing w:after="0" w:line="240" w:lineRule="auto"/>
        <w:ind w:firstLine="567"/>
        <w:jc w:val="both"/>
        <w:rPr>
          <w:b/>
          <w:sz w:val="24"/>
          <w:szCs w:val="24"/>
        </w:rPr>
      </w:pPr>
    </w:p>
    <w:p w:rsidR="007E27CB" w:rsidRDefault="008F141F">
      <w:pPr>
        <w:tabs>
          <w:tab w:val="left" w:pos="0"/>
        </w:tabs>
        <w:spacing w:after="0" w:line="240" w:lineRule="auto"/>
        <w:ind w:firstLine="567"/>
        <w:jc w:val="both"/>
        <w:rPr>
          <w:b/>
          <w:sz w:val="24"/>
          <w:szCs w:val="24"/>
        </w:rPr>
      </w:pPr>
      <w:r>
        <w:rPr>
          <w:b/>
          <w:sz w:val="24"/>
          <w:szCs w:val="24"/>
        </w:rPr>
        <w:t>Информирование лиц, замещающих государственные должности, должности государственной гражданской службы в государственных органах, граждан, претендующих на замещение данных должностей, об антикоррупционных стандартах</w:t>
      </w:r>
    </w:p>
    <w:p w:rsidR="007E27CB" w:rsidRDefault="008F141F">
      <w:pPr>
        <w:tabs>
          <w:tab w:val="left" w:pos="4962"/>
        </w:tabs>
        <w:spacing w:after="0" w:line="240" w:lineRule="auto"/>
        <w:ind w:firstLine="567"/>
        <w:jc w:val="both"/>
        <w:rPr>
          <w:sz w:val="24"/>
          <w:szCs w:val="24"/>
        </w:rPr>
      </w:pPr>
      <w:r>
        <w:rPr>
          <w:sz w:val="24"/>
          <w:szCs w:val="24"/>
        </w:rPr>
        <w:t>В целях информирования лиц, замещающих государственные должности Томской области, должности государственной гражданской службы Томской области, а также граждан, претендующих на замещение указанных должностей, государственными органами Томской области в 2019 году осуществлены следующие мероприятия.</w:t>
      </w:r>
    </w:p>
    <w:p w:rsidR="007E27CB" w:rsidRDefault="008F141F">
      <w:pPr>
        <w:tabs>
          <w:tab w:val="left" w:pos="4962"/>
        </w:tabs>
        <w:spacing w:after="0" w:line="240" w:lineRule="auto"/>
        <w:ind w:firstLine="567"/>
        <w:jc w:val="both"/>
        <w:rPr>
          <w:sz w:val="24"/>
          <w:szCs w:val="24"/>
        </w:rPr>
      </w:pPr>
      <w:r>
        <w:rPr>
          <w:sz w:val="24"/>
          <w:szCs w:val="24"/>
        </w:rPr>
        <w:t xml:space="preserve">Администрацией Томской области организовано: </w:t>
      </w:r>
    </w:p>
    <w:p w:rsidR="007E27CB" w:rsidRDefault="008F141F">
      <w:pPr>
        <w:pStyle w:val="a6"/>
        <w:numPr>
          <w:ilvl w:val="0"/>
          <w:numId w:val="24"/>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обучение 54 государственных гражданских служащих Томской области, впервые поступивших на государственную службу, по программе «Теория и практика государственной гражданской службы» в количестве 72 часов;</w:t>
      </w:r>
    </w:p>
    <w:p w:rsidR="007E27CB" w:rsidRDefault="008F141F">
      <w:pPr>
        <w:pStyle w:val="a6"/>
        <w:numPr>
          <w:ilvl w:val="0"/>
          <w:numId w:val="24"/>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повышение квалификации 25 государственных гражданских служащих Томской области по программе «Профилактика коррупционных и иных правонарушений на государственной гражданской службе» в количестве 72 часов по очной форме обучения;</w:t>
      </w:r>
    </w:p>
    <w:p w:rsidR="007E27CB" w:rsidRDefault="008F141F">
      <w:pPr>
        <w:pStyle w:val="a6"/>
        <w:numPr>
          <w:ilvl w:val="0"/>
          <w:numId w:val="24"/>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повышение квалификации 55 государственных гражданских служащих Томской области по программе «Формирование антикоррупционной компетентности государственного гражданского служащего» (с применением дистанционных технологий) в количестве 82 часов.</w:t>
      </w:r>
    </w:p>
    <w:p w:rsidR="007E27CB" w:rsidRDefault="008F141F">
      <w:pPr>
        <w:tabs>
          <w:tab w:val="left" w:pos="4962"/>
        </w:tabs>
        <w:autoSpaceDE w:val="0"/>
        <w:autoSpaceDN w:val="0"/>
        <w:spacing w:after="0" w:line="240" w:lineRule="auto"/>
        <w:ind w:firstLine="567"/>
        <w:jc w:val="both"/>
        <w:rPr>
          <w:rFonts w:eastAsia="Calibri"/>
          <w:sz w:val="24"/>
          <w:szCs w:val="24"/>
        </w:rPr>
      </w:pPr>
      <w:r>
        <w:rPr>
          <w:rFonts w:eastAsia="Calibri"/>
          <w:sz w:val="24"/>
          <w:szCs w:val="24"/>
        </w:rPr>
        <w:t xml:space="preserve">Обучение государственных гражданских служащих Томской области </w:t>
      </w:r>
      <w:r>
        <w:rPr>
          <w:rFonts w:eastAsia="Calibri"/>
          <w:sz w:val="24"/>
          <w:szCs w:val="24"/>
        </w:rPr>
        <w:br/>
        <w:t>по указанным программам направлено на повышение эффективности государственной гражданской службы и результативности профессиональной служебной деятельности.</w:t>
      </w:r>
    </w:p>
    <w:p w:rsidR="007E27CB" w:rsidRDefault="008F141F">
      <w:pPr>
        <w:tabs>
          <w:tab w:val="left" w:pos="4962"/>
        </w:tabs>
        <w:spacing w:after="0" w:line="240" w:lineRule="auto"/>
        <w:ind w:firstLine="567"/>
        <w:jc w:val="both"/>
        <w:rPr>
          <w:rFonts w:eastAsia="Calibri"/>
          <w:sz w:val="24"/>
          <w:szCs w:val="24"/>
        </w:rPr>
      </w:pPr>
      <w:r>
        <w:rPr>
          <w:rFonts w:eastAsia="Calibri"/>
          <w:sz w:val="24"/>
          <w:szCs w:val="24"/>
        </w:rPr>
        <w:t>Департаментом</w:t>
      </w:r>
      <w:r>
        <w:rPr>
          <w:sz w:val="24"/>
          <w:szCs w:val="24"/>
        </w:rPr>
        <w:t xml:space="preserve"> </w:t>
      </w:r>
      <w:r>
        <w:rPr>
          <w:rFonts w:eastAsia="Calibri"/>
          <w:sz w:val="24"/>
          <w:szCs w:val="24"/>
        </w:rPr>
        <w:t>организовано 27 семинаров – совещаний, в том числе с  презентационными материалами:</w:t>
      </w:r>
    </w:p>
    <w:p w:rsidR="007E27CB" w:rsidRDefault="008F141F">
      <w:pPr>
        <w:pStyle w:val="a6"/>
        <w:numPr>
          <w:ilvl w:val="0"/>
          <w:numId w:val="25"/>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семинар для муниципальных служащих (тема: «Порядок заполнения сведений о доходах  за 2018 год»);</w:t>
      </w:r>
    </w:p>
    <w:p w:rsidR="007E27CB" w:rsidRDefault="008F141F">
      <w:pPr>
        <w:pStyle w:val="a6"/>
        <w:numPr>
          <w:ilvl w:val="0"/>
          <w:numId w:val="25"/>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семинар для государственных служащих Департамента по социально-экономическому развитию села Томской области (тема: «Причины конфликта интересов на государственной службе»);</w:t>
      </w:r>
    </w:p>
    <w:p w:rsidR="007E27CB" w:rsidRDefault="008F141F">
      <w:pPr>
        <w:pStyle w:val="a6"/>
        <w:numPr>
          <w:ilvl w:val="0"/>
          <w:numId w:val="25"/>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семинар для руководителей структурных подразделений Администрации Томской области (тема: «Причины конфликта интересов на государственной службе»);</w:t>
      </w:r>
    </w:p>
    <w:p w:rsidR="007E27CB" w:rsidRDefault="008F141F">
      <w:pPr>
        <w:pStyle w:val="a6"/>
        <w:numPr>
          <w:ilvl w:val="0"/>
          <w:numId w:val="25"/>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совещание для муниципальных служащих в Томском районе (тема: «Типичные ошибки при заполнении справок о доходах, об имуществе и обязательствах имущественного характера»);</w:t>
      </w:r>
    </w:p>
    <w:p w:rsidR="007E27CB" w:rsidRDefault="008F141F">
      <w:pPr>
        <w:pStyle w:val="a6"/>
        <w:numPr>
          <w:ilvl w:val="0"/>
          <w:numId w:val="25"/>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совещание для муниципальных служащих в Томском районе (тема: «Основные нарушения, которые были выявлены при содействии работе Администрации Томского района»);</w:t>
      </w:r>
    </w:p>
    <w:p w:rsidR="007E27CB" w:rsidRDefault="008F141F">
      <w:pPr>
        <w:pStyle w:val="a6"/>
        <w:numPr>
          <w:ilvl w:val="0"/>
          <w:numId w:val="25"/>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семинар для сотрудников органов исполнительной власти Томской области (тема: «О порядке предоставления сведений о доходах, расходах, об имуществе и обязательствах имущественного характера за 2018 год»);</w:t>
      </w:r>
    </w:p>
    <w:p w:rsidR="007E27CB" w:rsidRDefault="008F141F">
      <w:pPr>
        <w:pStyle w:val="a6"/>
        <w:numPr>
          <w:ilvl w:val="0"/>
          <w:numId w:val="25"/>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семинар для сотрудников Администрации Томской области (тема: «О порядке предоставления сведений о доходах, расходах, об имуществе и обязательствах имущественного характера за 2018 год»);</w:t>
      </w:r>
    </w:p>
    <w:p w:rsidR="007E27CB" w:rsidRDefault="008F141F">
      <w:pPr>
        <w:pStyle w:val="a6"/>
        <w:numPr>
          <w:ilvl w:val="0"/>
          <w:numId w:val="25"/>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семинар для сотрудников, впервые принятых на государственную службу (тема: «Профилактика коррупционных правонарушений на государственной гражданской службе. Конфликт интересов на государственной гражданской службе»);</w:t>
      </w:r>
    </w:p>
    <w:p w:rsidR="007E27CB" w:rsidRDefault="008F141F">
      <w:pPr>
        <w:pStyle w:val="a6"/>
        <w:numPr>
          <w:ilvl w:val="0"/>
          <w:numId w:val="25"/>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семинар для муниципальных служащих (тема: «Организация деятельности по противодействию коррупции в органах местного самоуправления»);</w:t>
      </w:r>
    </w:p>
    <w:p w:rsidR="007E27CB" w:rsidRDefault="008F141F">
      <w:pPr>
        <w:pStyle w:val="a6"/>
        <w:numPr>
          <w:ilvl w:val="0"/>
          <w:numId w:val="25"/>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семинар для должностных лиц органов местного самоуправления </w:t>
      </w:r>
      <w:r>
        <w:rPr>
          <w:rFonts w:ascii="Times New Roman" w:hAnsi="Times New Roman"/>
          <w:sz w:val="24"/>
          <w:szCs w:val="24"/>
        </w:rPr>
        <w:br/>
        <w:t>(тема: «Применение Закона о противодействии коррупции в органах местного самоуправления»);</w:t>
      </w:r>
    </w:p>
    <w:p w:rsidR="007E27CB" w:rsidRDefault="008F141F">
      <w:pPr>
        <w:pStyle w:val="a6"/>
        <w:numPr>
          <w:ilvl w:val="0"/>
          <w:numId w:val="25"/>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семинар с управляющими делами муниципальных образований г. Томска, ЗАТО Северск, г. Стрежевого, г. Кедрового, Александровского и Томского районов (тема: «Основные принципы противодействия коррупции. Конфликт интересов на муниципальной службе»);</w:t>
      </w:r>
    </w:p>
    <w:p w:rsidR="007E27CB" w:rsidRDefault="008F141F">
      <w:pPr>
        <w:pStyle w:val="a6"/>
        <w:numPr>
          <w:ilvl w:val="0"/>
          <w:numId w:val="25"/>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семинар для руководителей учреждений, подведомственных Департаменту по вопросам семьи и детей Томской области (25 учреждений) (тема: «Оценка коррупционных рисков в деятельности организаций»);</w:t>
      </w:r>
    </w:p>
    <w:p w:rsidR="007E27CB" w:rsidRDefault="008F141F">
      <w:pPr>
        <w:pStyle w:val="a6"/>
        <w:numPr>
          <w:ilvl w:val="0"/>
          <w:numId w:val="25"/>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семинар для лиц, ответственных за противодействие коррупции в органах государственной власти Томской области (тема: «Проведение анализа сведений о родственниках (свойственниках); ситуации конфликта интересов на государственной службе»);</w:t>
      </w:r>
    </w:p>
    <w:p w:rsidR="007E27CB" w:rsidRDefault="008F141F">
      <w:pPr>
        <w:pStyle w:val="a6"/>
        <w:numPr>
          <w:ilvl w:val="0"/>
          <w:numId w:val="25"/>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семинар для управляющих делами, работников кадровых подразделений  муниципальных образований Верхнекетского, Каргасокского, Колпашевского, Кривошеинского, Молчановского, Парабельского и Чаинского районов (тема: «Основные принципы противодействия коррупции. Конфликт интересов».);</w:t>
      </w:r>
    </w:p>
    <w:p w:rsidR="007E27CB" w:rsidRDefault="008F141F">
      <w:pPr>
        <w:pStyle w:val="a6"/>
        <w:numPr>
          <w:ilvl w:val="0"/>
          <w:numId w:val="25"/>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семинар для лиц, ответственных за профилактику коррупционных и иных правонарушений в исполнительных органах государственной власти Томской области, в рамках Международного дня борьбы с коррупцией.</w:t>
      </w:r>
    </w:p>
    <w:p w:rsidR="007E27CB" w:rsidRDefault="008F141F">
      <w:pPr>
        <w:tabs>
          <w:tab w:val="left" w:pos="4962"/>
        </w:tabs>
        <w:spacing w:after="0" w:line="240" w:lineRule="auto"/>
        <w:ind w:firstLine="567"/>
        <w:jc w:val="both"/>
        <w:rPr>
          <w:rFonts w:eastAsia="Calibri"/>
          <w:sz w:val="24"/>
          <w:szCs w:val="24"/>
        </w:rPr>
      </w:pPr>
      <w:r>
        <w:rPr>
          <w:sz w:val="24"/>
          <w:szCs w:val="24"/>
        </w:rPr>
        <w:t>Для сравнения в 2018 году организовано и принято участие в 11 семинарах – совещаниях.</w:t>
      </w:r>
    </w:p>
    <w:p w:rsidR="007E27CB" w:rsidRDefault="008F141F">
      <w:pPr>
        <w:tabs>
          <w:tab w:val="left" w:pos="4962"/>
        </w:tabs>
        <w:spacing w:after="0" w:line="240" w:lineRule="auto"/>
        <w:ind w:firstLine="567"/>
        <w:jc w:val="both"/>
        <w:rPr>
          <w:rFonts w:eastAsia="Calibri"/>
          <w:sz w:val="24"/>
          <w:szCs w:val="24"/>
        </w:rPr>
      </w:pPr>
      <w:r>
        <w:rPr>
          <w:rFonts w:eastAsia="Calibri"/>
          <w:sz w:val="24"/>
          <w:szCs w:val="24"/>
        </w:rPr>
        <w:t>В целях формирования единых подходов в сфере противодействия коррупции Департаментом разработаны памятки:</w:t>
      </w:r>
    </w:p>
    <w:p w:rsidR="007E27CB" w:rsidRDefault="008F141F">
      <w:pPr>
        <w:pStyle w:val="a6"/>
        <w:numPr>
          <w:ilvl w:val="0"/>
          <w:numId w:val="25"/>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«Памятка о выполнении государственным гражданским служащим иной оплачиваемой работы»;</w:t>
      </w:r>
    </w:p>
    <w:p w:rsidR="007E27CB" w:rsidRDefault="008F141F">
      <w:pPr>
        <w:pStyle w:val="a6"/>
        <w:numPr>
          <w:ilvl w:val="0"/>
          <w:numId w:val="25"/>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«Конфликт интересов на государственной гражданской службе».</w:t>
      </w:r>
    </w:p>
    <w:p w:rsidR="007E27CB" w:rsidRDefault="008F141F">
      <w:pPr>
        <w:tabs>
          <w:tab w:val="left" w:pos="4962"/>
        </w:tabs>
        <w:spacing w:after="0" w:line="240" w:lineRule="auto"/>
        <w:ind w:firstLine="567"/>
        <w:jc w:val="both"/>
        <w:rPr>
          <w:sz w:val="24"/>
          <w:szCs w:val="24"/>
        </w:rPr>
      </w:pPr>
      <w:r>
        <w:rPr>
          <w:sz w:val="24"/>
          <w:szCs w:val="24"/>
        </w:rPr>
        <w:t xml:space="preserve">В отчетном периоде лицами, ответственными за профилактику коррупционных и иных правонарушений в государственных органах Томской области, проведены семинары, организовано консультирование служащих по вопросу предоставления сведений о доходах, расходах, об имуществе и обязательствах имущественного характера. </w:t>
      </w:r>
    </w:p>
    <w:p w:rsidR="007E27CB" w:rsidRDefault="008F141F">
      <w:pPr>
        <w:tabs>
          <w:tab w:val="left" w:pos="4962"/>
        </w:tabs>
        <w:spacing w:after="0" w:line="240" w:lineRule="auto"/>
        <w:ind w:firstLine="567"/>
        <w:jc w:val="both"/>
        <w:rPr>
          <w:sz w:val="24"/>
          <w:szCs w:val="24"/>
        </w:rPr>
      </w:pPr>
      <w:r>
        <w:rPr>
          <w:sz w:val="24"/>
          <w:szCs w:val="24"/>
        </w:rPr>
        <w:t xml:space="preserve">Также на официальном интернет-портале Администрации Томской области поддерживается в актуальном состоянии раздел «Противодействие коррупции», среди прочего содержащий в себе: </w:t>
      </w:r>
    </w:p>
    <w:p w:rsidR="007E27CB" w:rsidRDefault="008F141F">
      <w:pPr>
        <w:pStyle w:val="a6"/>
        <w:numPr>
          <w:ilvl w:val="0"/>
          <w:numId w:val="26"/>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тексты нормативных правовых актов Российской Федерации, Томской области, регулирующих правоотношения в сфере противодействия коррупции;</w:t>
      </w:r>
    </w:p>
    <w:p w:rsidR="007E27CB" w:rsidRDefault="008F141F">
      <w:pPr>
        <w:pStyle w:val="a6"/>
        <w:numPr>
          <w:ilvl w:val="0"/>
          <w:numId w:val="26"/>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материалы по антикоррупционному просвещению;</w:t>
      </w:r>
    </w:p>
    <w:p w:rsidR="007E27CB" w:rsidRDefault="008F141F">
      <w:pPr>
        <w:pStyle w:val="a6"/>
        <w:numPr>
          <w:ilvl w:val="0"/>
          <w:numId w:val="26"/>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методические материалы, разрабатываемые государственными органами Российской Федерации, Томской области в целях разъяснения антикоррупционных норм и единообразного применения законодательства;</w:t>
      </w:r>
    </w:p>
    <w:p w:rsidR="007E27CB" w:rsidRDefault="008F141F">
      <w:pPr>
        <w:pStyle w:val="a6"/>
        <w:numPr>
          <w:ilvl w:val="0"/>
          <w:numId w:val="26"/>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ответы на основные вопросы, связанные с правоотношениями в области профилактики коррупции;</w:t>
      </w:r>
    </w:p>
    <w:p w:rsidR="007E27CB" w:rsidRDefault="008F141F">
      <w:pPr>
        <w:pStyle w:val="a6"/>
        <w:numPr>
          <w:ilvl w:val="0"/>
          <w:numId w:val="26"/>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формы и бланки документов, утвержденные (рекомендованные) для применения при реализации должностными лицами (гражданами) обязанностей и прав в сфере противодействия коррупции;</w:t>
      </w:r>
    </w:p>
    <w:p w:rsidR="007E27CB" w:rsidRDefault="008F141F">
      <w:pPr>
        <w:pStyle w:val="a6"/>
        <w:numPr>
          <w:ilvl w:val="0"/>
          <w:numId w:val="26"/>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информацию о деятельности Комиссии по координации работы по противодействию коррупции в Томской области, Комиссии Администрации Томской области по соблюдению требований к служебному поведению и урегулированию конфликта интересов.</w:t>
      </w:r>
    </w:p>
    <w:p w:rsidR="007E27CB" w:rsidRDefault="008F141F">
      <w:pPr>
        <w:tabs>
          <w:tab w:val="left" w:pos="4962"/>
        </w:tabs>
        <w:spacing w:after="0" w:line="240" w:lineRule="auto"/>
        <w:ind w:firstLine="567"/>
        <w:jc w:val="both"/>
        <w:rPr>
          <w:sz w:val="24"/>
          <w:szCs w:val="24"/>
        </w:rPr>
      </w:pPr>
      <w:r>
        <w:rPr>
          <w:sz w:val="24"/>
          <w:szCs w:val="24"/>
        </w:rPr>
        <w:t>Информация о деятельности государственных органов Томской области в сфере профилактики коррупции помимо официальных интернет-ресурсов размещается на информационных стендах в помещениях данных органов.</w:t>
      </w:r>
    </w:p>
    <w:p w:rsidR="007E27CB" w:rsidRDefault="008F141F">
      <w:pPr>
        <w:tabs>
          <w:tab w:val="left" w:pos="4962"/>
        </w:tabs>
        <w:spacing w:after="0" w:line="240" w:lineRule="auto"/>
        <w:ind w:firstLine="567"/>
        <w:jc w:val="both"/>
        <w:rPr>
          <w:sz w:val="24"/>
          <w:szCs w:val="24"/>
        </w:rPr>
      </w:pPr>
      <w:r>
        <w:rPr>
          <w:sz w:val="24"/>
          <w:szCs w:val="24"/>
        </w:rPr>
        <w:t>Должностными лицами, ответственными за профилактику коррупционных и иных правонарушений в государственных органах Томской области, обеспечено ознакомление под роспись лиц, назначаемых на государственные должности Томской области, должности государственной гражданской службы Томской области, с нормативно-правовой базой, регулирующей ограничения, запреты, обязанности и иные вопросы, связанные с противодействием коррупции. Информация об изменениях в законодательстве доводится до должностных лиц информационными письмами, рассылкой на электронные адреса, размещением соответствующей информации на официальном интернет-портале Администрации Томской области, подпортале Департамента, официальных сайтах иных государственных органов Томской области.</w:t>
      </w:r>
    </w:p>
    <w:p w:rsidR="007E27CB" w:rsidRDefault="007E27CB">
      <w:pPr>
        <w:tabs>
          <w:tab w:val="left" w:pos="4962"/>
        </w:tabs>
        <w:spacing w:after="0" w:line="240" w:lineRule="auto"/>
        <w:ind w:firstLine="567"/>
        <w:jc w:val="both"/>
        <w:rPr>
          <w:rFonts w:eastAsia="Calibri"/>
          <w:sz w:val="24"/>
          <w:szCs w:val="24"/>
        </w:rPr>
      </w:pPr>
    </w:p>
    <w:p w:rsidR="007E27CB" w:rsidRDefault="008F141F">
      <w:pPr>
        <w:spacing w:after="0" w:line="240" w:lineRule="auto"/>
        <w:ind w:firstLine="567"/>
        <w:jc w:val="both"/>
        <w:rPr>
          <w:rFonts w:eastAsia="Calibri"/>
          <w:b/>
          <w:sz w:val="24"/>
          <w:szCs w:val="24"/>
        </w:rPr>
      </w:pPr>
      <w:r>
        <w:rPr>
          <w:rFonts w:eastAsia="Calibri"/>
          <w:b/>
          <w:sz w:val="24"/>
          <w:szCs w:val="24"/>
        </w:rPr>
        <w:tab/>
        <w:t>Количество правовых актов, принятых государственными органами Томской области в сфере противодействия коррупции в отчетный период</w:t>
      </w:r>
    </w:p>
    <w:p w:rsidR="007E27CB" w:rsidRDefault="008F141F">
      <w:pPr>
        <w:tabs>
          <w:tab w:val="left" w:pos="4962"/>
        </w:tabs>
        <w:spacing w:after="0" w:line="240" w:lineRule="auto"/>
        <w:ind w:firstLine="567"/>
        <w:jc w:val="both"/>
        <w:rPr>
          <w:sz w:val="24"/>
          <w:szCs w:val="24"/>
        </w:rPr>
      </w:pPr>
      <w:r>
        <w:rPr>
          <w:rFonts w:eastAsia="Calibri"/>
          <w:sz w:val="24"/>
          <w:szCs w:val="24"/>
        </w:rPr>
        <w:t xml:space="preserve">В целях приведения действующих нормативных правовых актов в сфере противодействия коррупции в соответствие с законодательством Российской Федерации Томской области Департаментом внесены изменения </w:t>
      </w:r>
      <w:r>
        <w:rPr>
          <w:sz w:val="24"/>
          <w:szCs w:val="24"/>
        </w:rPr>
        <w:t xml:space="preserve">в 45 правовых актов Томской области (19 постановлений Администрации Томской области; 15 постановлений Губернатора Томской области; 11 распоряжений Губернатора Томской области). </w:t>
      </w:r>
    </w:p>
    <w:p w:rsidR="007E27CB" w:rsidRDefault="008F141F">
      <w:pPr>
        <w:tabs>
          <w:tab w:val="left" w:pos="4962"/>
        </w:tabs>
        <w:spacing w:after="0" w:line="240" w:lineRule="auto"/>
        <w:ind w:firstLine="567"/>
        <w:jc w:val="both"/>
        <w:rPr>
          <w:sz w:val="24"/>
          <w:szCs w:val="24"/>
        </w:rPr>
      </w:pPr>
      <w:r>
        <w:rPr>
          <w:sz w:val="24"/>
          <w:szCs w:val="24"/>
        </w:rPr>
        <w:t>В аналогичном периоде прошлого года внесены изменения в 12 правовых актов Томской области.</w:t>
      </w:r>
    </w:p>
    <w:p w:rsidR="007E27CB" w:rsidRDefault="008F141F">
      <w:pPr>
        <w:tabs>
          <w:tab w:val="left" w:pos="4962"/>
        </w:tabs>
        <w:spacing w:after="0" w:line="240" w:lineRule="auto"/>
        <w:ind w:firstLine="567"/>
        <w:jc w:val="both"/>
        <w:rPr>
          <w:sz w:val="24"/>
          <w:szCs w:val="24"/>
        </w:rPr>
      </w:pPr>
      <w:r>
        <w:rPr>
          <w:sz w:val="24"/>
          <w:szCs w:val="24"/>
        </w:rPr>
        <w:t>Также разработаны правовые акты:</w:t>
      </w:r>
    </w:p>
    <w:p w:rsidR="007E27CB" w:rsidRDefault="008F141F">
      <w:pPr>
        <w:tabs>
          <w:tab w:val="left" w:pos="4962"/>
        </w:tabs>
        <w:spacing w:after="0" w:line="240" w:lineRule="auto"/>
        <w:ind w:firstLine="567"/>
        <w:jc w:val="both"/>
        <w:rPr>
          <w:bCs/>
          <w:sz w:val="24"/>
          <w:szCs w:val="24"/>
        </w:rPr>
      </w:pPr>
      <w:r>
        <w:rPr>
          <w:bCs/>
          <w:sz w:val="24"/>
          <w:szCs w:val="24"/>
        </w:rPr>
        <w:t>1. Закон Томской области от 09.09.2019 № 94-ОЗ «О внесении изменений в Закон Томской области «О гарантиях деятельности депутатов представительных органов муниципальных образований, выборных должностных лиц местного самоуправления, лиц, замещающих муниципальные должности, в Томской области».</w:t>
      </w:r>
    </w:p>
    <w:p w:rsidR="007E27CB" w:rsidRDefault="008F141F">
      <w:pPr>
        <w:tabs>
          <w:tab w:val="left" w:pos="4962"/>
        </w:tabs>
        <w:spacing w:after="0" w:line="240" w:lineRule="auto"/>
        <w:ind w:firstLine="567"/>
        <w:jc w:val="both"/>
        <w:rPr>
          <w:bCs/>
          <w:sz w:val="24"/>
          <w:szCs w:val="24"/>
        </w:rPr>
      </w:pPr>
      <w:r>
        <w:rPr>
          <w:bCs/>
          <w:sz w:val="24"/>
          <w:szCs w:val="24"/>
        </w:rPr>
        <w:t>В целях исключения возможных спорных ситуаций при принятии решений на заседаниях Комиссий по соблюдению требований к служебному поведению муниципальных служащих и урегулированию конфликта интересов в отношении лиц, замещающих муниципальные должности, депутатов указанным законом внесены изменения в части рассмотрения отдельной комиссией по соблюдению ограничений, запретов и требований,</w:t>
      </w:r>
      <w:r>
        <w:rPr>
          <w:sz w:val="24"/>
          <w:szCs w:val="24"/>
        </w:rPr>
        <w:t xml:space="preserve"> </w:t>
      </w:r>
      <w:r>
        <w:rPr>
          <w:bCs/>
          <w:sz w:val="24"/>
          <w:szCs w:val="24"/>
        </w:rPr>
        <w:t>установленных в целях противодействия коррупции, и требований об урегулировании конфликта интересов, созданной в представительном органе муниципального образования, информации о несоблюдении лицами, замещающими муниципальными должности, депутатами ограничений и запретов, требований о предотвращении или урегулировании конфликта интересов, о неисполнении ими обязанностей, установленных в целях противодействия коррупции.</w:t>
      </w:r>
    </w:p>
    <w:p w:rsidR="007E27CB" w:rsidRDefault="008F141F">
      <w:pPr>
        <w:pStyle w:val="ConsPlusNormal"/>
        <w:tabs>
          <w:tab w:val="left" w:pos="4962"/>
        </w:tabs>
        <w:ind w:firstLine="567"/>
        <w:jc w:val="both"/>
        <w:rPr>
          <w:b w:val="0"/>
          <w:sz w:val="24"/>
          <w:szCs w:val="24"/>
        </w:rPr>
      </w:pPr>
      <w:r>
        <w:rPr>
          <w:b w:val="0"/>
          <w:sz w:val="24"/>
          <w:szCs w:val="24"/>
        </w:rPr>
        <w:t>2.</w:t>
      </w:r>
      <w:r>
        <w:rPr>
          <w:rFonts w:eastAsia="Calibri"/>
          <w:b w:val="0"/>
          <w:sz w:val="24"/>
          <w:szCs w:val="24"/>
        </w:rPr>
        <w:t> </w:t>
      </w:r>
      <w:r>
        <w:rPr>
          <w:b w:val="0"/>
          <w:sz w:val="24"/>
          <w:szCs w:val="24"/>
        </w:rPr>
        <w:t>Закон Томской области «О внесении изменений в отдельные законодательные акты Томской области». Законопроект разработан с целью приведения Законов Томской области «О правовом статусе лиц, замещающих государственные должности Томской области», «О гарантиях деятельности депутатов представительных органов муниципальных образований, выборных должностных лиц местного самоуправления, лиц, замещающих муниципальные должности, в Томской области» в соответствие с требованиями федерального и областного законодательства:</w:t>
      </w:r>
    </w:p>
    <w:p w:rsidR="007E27CB" w:rsidRDefault="008F141F">
      <w:pPr>
        <w:pStyle w:val="ConsPlusNormal"/>
        <w:numPr>
          <w:ilvl w:val="0"/>
          <w:numId w:val="27"/>
        </w:numPr>
        <w:tabs>
          <w:tab w:val="left" w:pos="851"/>
          <w:tab w:val="left" w:pos="4962"/>
        </w:tabs>
        <w:ind w:left="0" w:firstLine="567"/>
        <w:jc w:val="both"/>
        <w:rPr>
          <w:b w:val="0"/>
          <w:sz w:val="24"/>
          <w:szCs w:val="24"/>
        </w:rPr>
      </w:pPr>
      <w:r>
        <w:rPr>
          <w:b w:val="0"/>
          <w:sz w:val="24"/>
          <w:szCs w:val="24"/>
        </w:rPr>
        <w:t>установлены особенности представления сведений о доходах для депутатов представительных органов сельских поселений, осуществляющих свои полномочия на непостоянной основе. Указанные лица будут предоставлять сведения о своих доходах в случае совершения сделок по приобретению земельных участков, других объектов недвижимости, транспортных средств, ценных бумаг, акций, если общая сумма таких сделок будет превышать общий доход данного лица и его супруги (супруга) за три последних года, предшествующих отчетному периоду;</w:t>
      </w:r>
    </w:p>
    <w:p w:rsidR="007E27CB" w:rsidRDefault="008F141F">
      <w:pPr>
        <w:pStyle w:val="a6"/>
        <w:numPr>
          <w:ilvl w:val="0"/>
          <w:numId w:val="28"/>
        </w:numPr>
        <w:tabs>
          <w:tab w:val="left" w:pos="851"/>
          <w:tab w:val="left" w:pos="4962"/>
        </w:tabs>
        <w:spacing w:after="0" w:line="240" w:lineRule="auto"/>
        <w:ind w:left="0" w:firstLine="567"/>
        <w:jc w:val="both"/>
        <w:rPr>
          <w:rFonts w:ascii="Times New Roman" w:hAnsi="Times New Roman"/>
          <w:bCs/>
          <w:sz w:val="24"/>
          <w:szCs w:val="24"/>
        </w:rPr>
      </w:pPr>
      <w:r>
        <w:rPr>
          <w:rFonts w:ascii="Times New Roman" w:hAnsi="Times New Roman"/>
          <w:sz w:val="24"/>
          <w:szCs w:val="24"/>
        </w:rPr>
        <w:t>уточнены виды ответственности депутата, члена выборного органа местного самоуправления, выборного должностного лица местного самоуправления за предоставление ими недостоверных или неполных сведений о доходах, если искажение этих сведений является несущественным.</w:t>
      </w:r>
    </w:p>
    <w:p w:rsidR="007E27CB" w:rsidRDefault="008F141F">
      <w:pPr>
        <w:tabs>
          <w:tab w:val="left" w:pos="4962"/>
        </w:tabs>
        <w:spacing w:after="0" w:line="240" w:lineRule="auto"/>
        <w:ind w:firstLine="567"/>
        <w:jc w:val="both"/>
        <w:rPr>
          <w:rFonts w:eastAsia="Calibri"/>
          <w:sz w:val="24"/>
          <w:szCs w:val="24"/>
        </w:rPr>
      </w:pPr>
      <w:r>
        <w:rPr>
          <w:rFonts w:eastAsia="Calibri"/>
          <w:sz w:val="24"/>
          <w:szCs w:val="24"/>
        </w:rPr>
        <w:t xml:space="preserve">3. Распоряжение Губернатора Томской области от 28.06.2019 № 143-р </w:t>
      </w:r>
      <w:r>
        <w:rPr>
          <w:rFonts w:eastAsia="Calibri"/>
          <w:sz w:val="24"/>
          <w:szCs w:val="24"/>
        </w:rPr>
        <w:br/>
        <w:t>«О повышении эффективности деятельности исполнительных органов государственной власти Томской области по профилактике коррупционных правонарушений».</w:t>
      </w:r>
    </w:p>
    <w:p w:rsidR="007E27CB" w:rsidRDefault="008F141F">
      <w:pPr>
        <w:tabs>
          <w:tab w:val="left" w:pos="4962"/>
        </w:tabs>
        <w:spacing w:after="0" w:line="240" w:lineRule="auto"/>
        <w:ind w:firstLine="567"/>
        <w:jc w:val="both"/>
        <w:rPr>
          <w:rFonts w:eastAsia="Calibri"/>
          <w:sz w:val="24"/>
          <w:szCs w:val="24"/>
        </w:rPr>
      </w:pPr>
      <w:r>
        <w:rPr>
          <w:rFonts w:eastAsia="Calibri"/>
          <w:sz w:val="24"/>
          <w:szCs w:val="24"/>
        </w:rPr>
        <w:t xml:space="preserve">В распоряжении установлены критерии оценки эффективности деятельности исполнительных органов государственной власти Томской области, сформированные в результате анализа информации, направляемой полномочному представителю Президента Российской Федерации в Сибирском федеральном округе, в Управление Президента </w:t>
      </w:r>
      <w:r>
        <w:rPr>
          <w:sz w:val="24"/>
          <w:szCs w:val="24"/>
        </w:rPr>
        <w:t>Российской Федерации</w:t>
      </w:r>
      <w:r>
        <w:rPr>
          <w:rFonts w:eastAsia="Calibri"/>
          <w:sz w:val="24"/>
          <w:szCs w:val="24"/>
        </w:rPr>
        <w:t xml:space="preserve"> по вопросам противодействия коррупции.</w:t>
      </w:r>
    </w:p>
    <w:p w:rsidR="007E27CB" w:rsidRDefault="008F141F">
      <w:pPr>
        <w:pStyle w:val="ConsPlusNormal"/>
        <w:tabs>
          <w:tab w:val="left" w:pos="4962"/>
        </w:tabs>
        <w:ind w:firstLine="567"/>
        <w:jc w:val="both"/>
        <w:rPr>
          <w:b w:val="0"/>
          <w:sz w:val="24"/>
          <w:szCs w:val="24"/>
        </w:rPr>
      </w:pPr>
      <w:r>
        <w:rPr>
          <w:b w:val="0"/>
          <w:sz w:val="24"/>
          <w:szCs w:val="24"/>
        </w:rPr>
        <w:t>В 2019 году государственными органами Томской области принято 226 правовых актов в сфере противодействия коррупции. Принятие государственными органами Томской области правовых актов обусловлено необходимостью актуализации имеющихся правовых актов, приведением их в соответствие с действующим антикоррупционным законодательством, в том числе Национальным планом противодействия коррупции, утвержденным Указом Президента Российской Федерации от 29.06.2018 № 378.</w:t>
      </w:r>
    </w:p>
    <w:p w:rsidR="007E27CB" w:rsidRDefault="008F141F">
      <w:pPr>
        <w:pStyle w:val="ConsPlusNormal"/>
        <w:tabs>
          <w:tab w:val="left" w:pos="4962"/>
        </w:tabs>
        <w:ind w:firstLine="567"/>
        <w:jc w:val="both"/>
        <w:rPr>
          <w:b w:val="0"/>
          <w:sz w:val="24"/>
          <w:szCs w:val="24"/>
        </w:rPr>
      </w:pPr>
      <w:r>
        <w:rPr>
          <w:b w:val="0"/>
          <w:sz w:val="24"/>
          <w:szCs w:val="24"/>
        </w:rPr>
        <w:t>Для сравнения в 2018 году государственными органами Томской области принято 178 правовых актов в сфере противодействия коррупции.</w:t>
      </w:r>
    </w:p>
    <w:p w:rsidR="007E27CB" w:rsidRDefault="007E27CB">
      <w:pPr>
        <w:pStyle w:val="ConsPlusNormal"/>
        <w:tabs>
          <w:tab w:val="left" w:pos="4962"/>
        </w:tabs>
        <w:ind w:firstLine="567"/>
        <w:rPr>
          <w:b w:val="0"/>
          <w:i/>
          <w:sz w:val="24"/>
          <w:szCs w:val="24"/>
        </w:rPr>
      </w:pPr>
    </w:p>
    <w:p w:rsidR="007E27CB" w:rsidRDefault="008F141F">
      <w:pPr>
        <w:pStyle w:val="ConsPlusNormal"/>
        <w:tabs>
          <w:tab w:val="left" w:pos="4962"/>
        </w:tabs>
        <w:ind w:firstLine="567"/>
        <w:jc w:val="both"/>
        <w:rPr>
          <w:i/>
          <w:sz w:val="24"/>
          <w:szCs w:val="24"/>
        </w:rPr>
      </w:pPr>
      <w:r>
        <w:rPr>
          <w:b w:val="0"/>
          <w:i/>
          <w:sz w:val="24"/>
          <w:szCs w:val="24"/>
        </w:rPr>
        <w:t>Анализ публикаций о коррупции на территории Томской области в средствах массовой информации</w:t>
      </w:r>
    </w:p>
    <w:p w:rsidR="007E27CB" w:rsidRDefault="008F141F">
      <w:pPr>
        <w:tabs>
          <w:tab w:val="left" w:pos="4962"/>
        </w:tabs>
        <w:spacing w:after="0" w:line="240" w:lineRule="auto"/>
        <w:ind w:firstLine="567"/>
        <w:jc w:val="both"/>
        <w:rPr>
          <w:sz w:val="24"/>
          <w:szCs w:val="24"/>
        </w:rPr>
      </w:pPr>
      <w:r>
        <w:rPr>
          <w:sz w:val="24"/>
          <w:szCs w:val="24"/>
        </w:rPr>
        <w:t>По данным мониторинга Департамента информационной политики Администрации Томской области, в 2019 году в СМИ Томской области вышло более 700 информационных сообщений (публикаций и сюжетов) по коррупционной тематике. Преимущественно они касаются работы правоохранительных органов по выявлению и пресечению коррупционных правонарушений. В число тем, вызвавших широкий резонанс и освещение в СМИ, в отчетном периоде вошли:</w:t>
      </w:r>
    </w:p>
    <w:p w:rsidR="007E27CB" w:rsidRDefault="008F141F">
      <w:pPr>
        <w:pStyle w:val="a6"/>
        <w:numPr>
          <w:ilvl w:val="0"/>
          <w:numId w:val="28"/>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арест бывшего главного судебного пристава региона;</w:t>
      </w:r>
    </w:p>
    <w:p w:rsidR="007E27CB" w:rsidRDefault="008F141F">
      <w:pPr>
        <w:pStyle w:val="a6"/>
        <w:numPr>
          <w:ilvl w:val="0"/>
          <w:numId w:val="28"/>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уголовное дело в связи с превышением должностных полномочий и приговор суда экс-начальнику УМВД России по Томской области С.Митрофанову;</w:t>
      </w:r>
    </w:p>
    <w:p w:rsidR="007E27CB" w:rsidRDefault="008F141F">
      <w:pPr>
        <w:pStyle w:val="a6"/>
        <w:numPr>
          <w:ilvl w:val="0"/>
          <w:numId w:val="28"/>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уголовное дело в связи с получением взятки в особо крупном размере и приговор суда экс-начальнику УМЧС России по Томской области М.Бегуну;</w:t>
      </w:r>
    </w:p>
    <w:p w:rsidR="007E27CB" w:rsidRDefault="008F141F">
      <w:pPr>
        <w:pStyle w:val="a6"/>
        <w:numPr>
          <w:ilvl w:val="0"/>
          <w:numId w:val="28"/>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запрет Кировского районного суда на </w:t>
      </w:r>
      <w:r>
        <w:rPr>
          <w:rFonts w:ascii="Times New Roman" w:hAnsi="Times New Roman"/>
          <w:color w:val="222222"/>
          <w:sz w:val="24"/>
          <w:szCs w:val="24"/>
          <w:shd w:val="clear" w:color="auto" w:fill="F7F7F7"/>
        </w:rPr>
        <w:t xml:space="preserve">доступ к тексту </w:t>
      </w:r>
      <w:r>
        <w:rPr>
          <w:rFonts w:ascii="Times New Roman" w:hAnsi="Times New Roman"/>
          <w:sz w:val="24"/>
          <w:szCs w:val="24"/>
        </w:rPr>
        <w:t xml:space="preserve">«Как правильно брать и давать. Тест-инструкция для начинающего чиновника» </w:t>
      </w:r>
      <w:r>
        <w:rPr>
          <w:rFonts w:ascii="Times New Roman" w:hAnsi="Times New Roman"/>
          <w:color w:val="222222"/>
          <w:sz w:val="24"/>
          <w:szCs w:val="24"/>
          <w:shd w:val="clear" w:color="auto" w:fill="F7F7F7"/>
        </w:rPr>
        <w:t xml:space="preserve">журнала «Сноб»; </w:t>
      </w:r>
    </w:p>
    <w:p w:rsidR="007E27CB" w:rsidRDefault="008F141F">
      <w:pPr>
        <w:pStyle w:val="a6"/>
        <w:numPr>
          <w:ilvl w:val="0"/>
          <w:numId w:val="28"/>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уголовное дело в отношении участкового Асиновского лесничества Томской области, обвиняемого в шести эпизодах получения взяток и 20 эпизодах совершения служебного подлога;</w:t>
      </w:r>
    </w:p>
    <w:p w:rsidR="007E27CB" w:rsidRDefault="008F141F">
      <w:pPr>
        <w:pStyle w:val="a6"/>
        <w:numPr>
          <w:ilvl w:val="0"/>
          <w:numId w:val="28"/>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задержание заместителя директора Института дистанционного образования ТГАСУ по подозрению в получении взятки;</w:t>
      </w:r>
    </w:p>
    <w:p w:rsidR="007E27CB" w:rsidRDefault="008F141F">
      <w:pPr>
        <w:pStyle w:val="a6"/>
        <w:numPr>
          <w:ilvl w:val="0"/>
          <w:numId w:val="28"/>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задержание начальника железнодорожной станции Томск-1 и его заместителя по подозрению в систематическом получении взяток;</w:t>
      </w:r>
    </w:p>
    <w:p w:rsidR="007E27CB" w:rsidRDefault="008F141F">
      <w:pPr>
        <w:pStyle w:val="a6"/>
        <w:numPr>
          <w:ilvl w:val="0"/>
          <w:numId w:val="28"/>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расследование уголовного дела по обвинению в превышении должностных полномочий в отношении начальника Департамента архитектуры и градостроительства администрации г. Томска;</w:t>
      </w:r>
    </w:p>
    <w:p w:rsidR="007E27CB" w:rsidRDefault="008F141F">
      <w:pPr>
        <w:pStyle w:val="a6"/>
        <w:numPr>
          <w:ilvl w:val="0"/>
          <w:numId w:val="28"/>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уголовное дело в отношении главы регионального Россельхознадзора по подозрению в превышении должностных полномочий;</w:t>
      </w:r>
    </w:p>
    <w:p w:rsidR="007E27CB" w:rsidRDefault="008F141F">
      <w:pPr>
        <w:pStyle w:val="a6"/>
        <w:numPr>
          <w:ilvl w:val="0"/>
          <w:numId w:val="28"/>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уголовное дело в отношении исполняющего обязанности начальника Асиновского таможенного поста Томской таможни по материалам проверки томского УФСБ по факту превышения должностных полномочий;</w:t>
      </w:r>
    </w:p>
    <w:p w:rsidR="007E27CB" w:rsidRDefault="008F141F">
      <w:pPr>
        <w:pStyle w:val="a6"/>
        <w:numPr>
          <w:ilvl w:val="0"/>
          <w:numId w:val="28"/>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уголовное дело в отношении двух томских компаний по статье «ограничение конкуренции» за участие в картеле по поставке медицинских изделий для томских больниц;</w:t>
      </w:r>
    </w:p>
    <w:p w:rsidR="007E27CB" w:rsidRDefault="008F141F">
      <w:pPr>
        <w:pStyle w:val="a6"/>
        <w:numPr>
          <w:ilvl w:val="0"/>
          <w:numId w:val="28"/>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расследование эпизодов нарушения антимонопольного законодательства при покупке здания школы танцев «ЮДИ»;</w:t>
      </w:r>
    </w:p>
    <w:p w:rsidR="007E27CB" w:rsidRDefault="008F141F">
      <w:pPr>
        <w:pStyle w:val="a6"/>
        <w:numPr>
          <w:ilvl w:val="0"/>
          <w:numId w:val="28"/>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уголовное дело в отношении руководителя одного из муниципальных предприятий г. Кедровый, обвиняемой в присвоении чужого имущества с использованием своего служебного положения.</w:t>
      </w:r>
    </w:p>
    <w:p w:rsidR="007E27CB" w:rsidRDefault="008F141F">
      <w:pPr>
        <w:tabs>
          <w:tab w:val="left" w:pos="4962"/>
        </w:tabs>
        <w:spacing w:after="0" w:line="240" w:lineRule="auto"/>
        <w:ind w:firstLine="567"/>
        <w:jc w:val="both"/>
        <w:rPr>
          <w:sz w:val="24"/>
          <w:szCs w:val="24"/>
        </w:rPr>
      </w:pPr>
      <w:r>
        <w:rPr>
          <w:sz w:val="24"/>
          <w:szCs w:val="24"/>
        </w:rPr>
        <w:t>В числе позитивных информационных поводов можно отметить:</w:t>
      </w:r>
    </w:p>
    <w:p w:rsidR="007E27CB" w:rsidRDefault="008F141F">
      <w:pPr>
        <w:pStyle w:val="a6"/>
        <w:numPr>
          <w:ilvl w:val="0"/>
          <w:numId w:val="29"/>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заключение соглашения между Администрацией Томской области и УФАС о сотрудничестве в сфере контроля за реализацией национальных проектов;</w:t>
      </w:r>
    </w:p>
    <w:p w:rsidR="007E27CB" w:rsidRDefault="008F141F">
      <w:pPr>
        <w:pStyle w:val="a6"/>
        <w:numPr>
          <w:ilvl w:val="0"/>
          <w:numId w:val="29"/>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заключение соглашения с Общественной палатой Томской области для вовлечения институтов гражданского общества в реализацию антикоррупционной политики в регионе;</w:t>
      </w:r>
    </w:p>
    <w:p w:rsidR="007E27CB" w:rsidRDefault="008F141F">
      <w:pPr>
        <w:pStyle w:val="a6"/>
        <w:numPr>
          <w:ilvl w:val="0"/>
          <w:numId w:val="29"/>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заключение соглашения с Юридическим институтом ТГУ;</w:t>
      </w:r>
    </w:p>
    <w:p w:rsidR="007E27CB" w:rsidRDefault="008F141F">
      <w:pPr>
        <w:pStyle w:val="a6"/>
        <w:numPr>
          <w:ilvl w:val="0"/>
          <w:numId w:val="29"/>
        </w:numPr>
        <w:tabs>
          <w:tab w:val="left" w:pos="851"/>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бесплатный семинар для представителей малого и среднего бизнеса о закупках по 223-ФЗ.</w:t>
      </w:r>
    </w:p>
    <w:p w:rsidR="007E27CB" w:rsidRDefault="008F141F">
      <w:pPr>
        <w:tabs>
          <w:tab w:val="left" w:pos="4962"/>
        </w:tabs>
        <w:spacing w:after="0" w:line="240" w:lineRule="auto"/>
        <w:ind w:firstLine="567"/>
        <w:jc w:val="both"/>
        <w:rPr>
          <w:sz w:val="24"/>
          <w:szCs w:val="24"/>
        </w:rPr>
      </w:pPr>
      <w:r>
        <w:rPr>
          <w:sz w:val="24"/>
          <w:szCs w:val="24"/>
        </w:rPr>
        <w:t>В связи с возросшим количеством в СМИ публикаций по коррупционной тематике в отношении должностных лиц государственных органов полагаем необходимым увеличить количество информационных материалов по профилактической работе в сфере противодействия коррупции, проводимой органами государственной власти Томской области для государственных гражданских служащих и жителей Томской области.</w:t>
      </w:r>
    </w:p>
    <w:p w:rsidR="007E27CB" w:rsidRDefault="007E27CB">
      <w:pPr>
        <w:tabs>
          <w:tab w:val="left" w:pos="4962"/>
        </w:tabs>
        <w:spacing w:after="0" w:line="240" w:lineRule="auto"/>
        <w:ind w:firstLine="567"/>
        <w:rPr>
          <w:b/>
          <w:i/>
          <w:sz w:val="24"/>
          <w:szCs w:val="24"/>
        </w:rPr>
      </w:pPr>
    </w:p>
    <w:p w:rsidR="007E27CB" w:rsidRDefault="008F141F">
      <w:pPr>
        <w:tabs>
          <w:tab w:val="left" w:pos="4962"/>
        </w:tabs>
        <w:spacing w:after="0" w:line="240" w:lineRule="auto"/>
        <w:ind w:firstLine="567"/>
        <w:jc w:val="both"/>
        <w:rPr>
          <w:i/>
          <w:sz w:val="24"/>
          <w:szCs w:val="24"/>
        </w:rPr>
      </w:pPr>
      <w:r>
        <w:rPr>
          <w:i/>
          <w:sz w:val="24"/>
          <w:szCs w:val="24"/>
        </w:rPr>
        <w:t>Анализ исполнения мероприятий, предусмотренных планами противодействия коррупции</w:t>
      </w:r>
    </w:p>
    <w:p w:rsidR="007E27CB" w:rsidRDefault="008F141F">
      <w:pPr>
        <w:tabs>
          <w:tab w:val="left" w:pos="4962"/>
        </w:tabs>
        <w:autoSpaceDE w:val="0"/>
        <w:autoSpaceDN w:val="0"/>
        <w:adjustRightInd w:val="0"/>
        <w:spacing w:after="0" w:line="240" w:lineRule="auto"/>
        <w:ind w:firstLine="567"/>
        <w:jc w:val="both"/>
        <w:rPr>
          <w:sz w:val="24"/>
          <w:szCs w:val="24"/>
        </w:rPr>
      </w:pPr>
      <w:r>
        <w:rPr>
          <w:sz w:val="24"/>
          <w:szCs w:val="24"/>
        </w:rPr>
        <w:t>Во исполнение подпункта б) пункта 3 Указа Президента Российской Федерации от 29.06.2018 № 378 «О Национальном плане противодействия коррупции на 2018 - 2020 годы» в 39 государственных органах Томской области приняты планы противодействия коррупции,  основные задачи которых соответствуют действующему антикоррупционному законодательству. Контроль за выполнением мероприятий, предусмотренных планами, осуществляется на уровне руководителей. Результаты выполнения мероприятий планов, а также внесение изменений в вышеуказанные планы рассматриваются на заседаниях Комиссий по соблюдению требований к служебному поведению и урегулированию конфликта интересов.</w:t>
      </w:r>
    </w:p>
    <w:p w:rsidR="007E27CB" w:rsidRDefault="008F141F">
      <w:pPr>
        <w:pStyle w:val="ConsPlusNormal"/>
        <w:tabs>
          <w:tab w:val="left" w:pos="4962"/>
        </w:tabs>
        <w:ind w:firstLine="567"/>
        <w:jc w:val="both"/>
        <w:outlineLvl w:val="0"/>
        <w:rPr>
          <w:b w:val="0"/>
          <w:sz w:val="24"/>
          <w:szCs w:val="24"/>
        </w:rPr>
      </w:pPr>
      <w:r>
        <w:rPr>
          <w:b w:val="0"/>
          <w:sz w:val="24"/>
          <w:szCs w:val="24"/>
        </w:rPr>
        <w:t>Во исполнение задач, предусмотренных Планом, исполнительными органами государственной власти Томской области реализованы следующие основные мероприятия.</w:t>
      </w:r>
    </w:p>
    <w:p w:rsidR="007E27CB" w:rsidRDefault="008F141F">
      <w:pPr>
        <w:pStyle w:val="ConsPlusNormal"/>
        <w:tabs>
          <w:tab w:val="left" w:pos="4962"/>
        </w:tabs>
        <w:ind w:firstLine="567"/>
        <w:jc w:val="both"/>
        <w:outlineLvl w:val="0"/>
        <w:rPr>
          <w:b w:val="0"/>
          <w:sz w:val="24"/>
          <w:szCs w:val="24"/>
        </w:rPr>
      </w:pPr>
      <w:r>
        <w:rPr>
          <w:b w:val="0"/>
          <w:sz w:val="24"/>
          <w:szCs w:val="24"/>
        </w:rPr>
        <w:t xml:space="preserve">Обеспечено действенное функционирование комиссий государственных органов Томской области по соблюдению требований к служебному поведению и урегулированию конфликта интересов государственных гражданских служащих Томской области. </w:t>
      </w:r>
    </w:p>
    <w:p w:rsidR="007E27CB" w:rsidRDefault="008F141F">
      <w:pPr>
        <w:pStyle w:val="ConsPlusNormal"/>
        <w:tabs>
          <w:tab w:val="left" w:pos="4962"/>
        </w:tabs>
        <w:ind w:firstLine="567"/>
        <w:jc w:val="both"/>
        <w:outlineLvl w:val="0"/>
        <w:rPr>
          <w:b w:val="0"/>
          <w:sz w:val="24"/>
          <w:szCs w:val="24"/>
        </w:rPr>
      </w:pPr>
      <w:r>
        <w:rPr>
          <w:b w:val="0"/>
          <w:sz w:val="24"/>
          <w:szCs w:val="24"/>
        </w:rPr>
        <w:t xml:space="preserve">В 2019 году состоялось 135 заседаний данных комиссий (в аналогичном периоде прошлого года </w:t>
      </w:r>
      <w:r>
        <w:rPr>
          <w:rFonts w:eastAsia="Calibri"/>
          <w:sz w:val="24"/>
          <w:szCs w:val="24"/>
        </w:rPr>
        <w:t>–</w:t>
      </w:r>
      <w:r>
        <w:rPr>
          <w:b w:val="0"/>
          <w:sz w:val="24"/>
          <w:szCs w:val="24"/>
        </w:rPr>
        <w:t xml:space="preserve"> 126), в ходе которых рассмотрены вопросы организации деятельности и исполнения государственными органами Томской области мероприятий по профилактике коррупционных правонарушений, вопросы выполнения государственными гражданскими служащими Томской области ограничений, запретов и обязанностей, установленных антикоррупционным законодательством, иные вопросы, относящиеся к компетенции данных комиссий.</w:t>
      </w:r>
    </w:p>
    <w:p w:rsidR="007E27CB" w:rsidRDefault="008F141F">
      <w:pPr>
        <w:pStyle w:val="af6"/>
        <w:shd w:val="clear" w:color="auto" w:fill="FFFFFF"/>
        <w:tabs>
          <w:tab w:val="left" w:pos="4962"/>
        </w:tabs>
        <w:spacing w:before="0" w:beforeAutospacing="0" w:after="0" w:afterAutospacing="0"/>
        <w:ind w:firstLine="567"/>
        <w:textAlignment w:val="baseline"/>
        <w:rPr>
          <w:lang w:eastAsia="en-US"/>
        </w:rPr>
      </w:pPr>
      <w:r>
        <w:rPr>
          <w:lang w:eastAsia="en-US"/>
        </w:rPr>
        <w:t>Органами государственной власти Томской области на постоянной основе проводится анализ соблюдения гражданскими служащими ограничений и запретов, требований о предотвращении или об урегулировании конфликта интересов и исполнения обязанностей, установленных в целях противодействия коррупции.</w:t>
      </w:r>
    </w:p>
    <w:p w:rsidR="007E27CB" w:rsidRDefault="008F141F">
      <w:pPr>
        <w:tabs>
          <w:tab w:val="left" w:pos="4962"/>
        </w:tabs>
        <w:spacing w:after="0" w:line="240" w:lineRule="auto"/>
        <w:ind w:firstLine="567"/>
        <w:jc w:val="both"/>
        <w:rPr>
          <w:sz w:val="24"/>
          <w:szCs w:val="24"/>
        </w:rPr>
      </w:pPr>
      <w:r>
        <w:rPr>
          <w:sz w:val="24"/>
          <w:szCs w:val="24"/>
        </w:rPr>
        <w:t xml:space="preserve">В целях формирования антикоррупционной компетентности служащих в 2019 году организовано повышение квалификации служащих Томской области на базе Томского филиала РАНХиГС по программе «Профилактика коррупционных и иных правонарушений на государственной гражданской службе», ОГБУ «Томский региональный ресурсный центр». В 2019 году общее количество обучившихся </w:t>
      </w:r>
      <w:r>
        <w:rPr>
          <w:rFonts w:eastAsia="Calibri"/>
          <w:sz w:val="24"/>
          <w:szCs w:val="24"/>
        </w:rPr>
        <w:t>–</w:t>
      </w:r>
      <w:r>
        <w:rPr>
          <w:sz w:val="24"/>
          <w:szCs w:val="24"/>
        </w:rPr>
        <w:t xml:space="preserve"> 75 человек.</w:t>
      </w:r>
    </w:p>
    <w:p w:rsidR="007E27CB" w:rsidRDefault="008F141F">
      <w:pPr>
        <w:tabs>
          <w:tab w:val="left" w:pos="4962"/>
        </w:tabs>
        <w:spacing w:after="0" w:line="240" w:lineRule="auto"/>
        <w:ind w:firstLine="567"/>
        <w:jc w:val="both"/>
        <w:rPr>
          <w:sz w:val="24"/>
          <w:szCs w:val="24"/>
        </w:rPr>
      </w:pPr>
      <w:r>
        <w:rPr>
          <w:sz w:val="24"/>
          <w:szCs w:val="24"/>
        </w:rPr>
        <w:t xml:space="preserve">На официальных интернет-сайтах государственных органов Томской области размещается актуальная информация о принятых правовых актах, организована работа раздела «Противодействие коррупции», посредством которого граждане могут сообщить информацию об известных им фактах злоупотребления и должностных правонарушениях, допущенных должностными лицами органов местного самоуправления, осуществляется организация и проведение прямых линий для населения. </w:t>
      </w:r>
    </w:p>
    <w:p w:rsidR="007E27CB" w:rsidRDefault="008F141F">
      <w:pPr>
        <w:tabs>
          <w:tab w:val="left" w:pos="4962"/>
        </w:tabs>
        <w:spacing w:after="0" w:line="240" w:lineRule="auto"/>
        <w:ind w:firstLine="567"/>
        <w:jc w:val="both"/>
        <w:rPr>
          <w:sz w:val="24"/>
          <w:szCs w:val="24"/>
        </w:rPr>
      </w:pPr>
      <w:r>
        <w:rPr>
          <w:sz w:val="24"/>
          <w:szCs w:val="24"/>
        </w:rPr>
        <w:t>Проводится мониторинг исполнения должностных обязанностей гражданскими служащими, занимающими должности, связанные с коррупционными рисками.</w:t>
      </w:r>
    </w:p>
    <w:p w:rsidR="007E27CB" w:rsidRDefault="008F141F">
      <w:pPr>
        <w:tabs>
          <w:tab w:val="left" w:pos="4962"/>
        </w:tabs>
        <w:spacing w:after="0" w:line="240" w:lineRule="auto"/>
        <w:ind w:firstLine="567"/>
        <w:jc w:val="both"/>
        <w:rPr>
          <w:sz w:val="24"/>
          <w:szCs w:val="24"/>
        </w:rPr>
      </w:pPr>
      <w:r>
        <w:rPr>
          <w:sz w:val="24"/>
          <w:szCs w:val="24"/>
        </w:rPr>
        <w:t xml:space="preserve">На постоянной основе проводится методическая работа с подведомственными учреждениями по организации мероприятий по противодействию коррупции и урегулированию конфликта интересов. </w:t>
      </w:r>
    </w:p>
    <w:p w:rsidR="007E27CB" w:rsidRDefault="008F141F">
      <w:pPr>
        <w:tabs>
          <w:tab w:val="left" w:pos="4962"/>
        </w:tabs>
        <w:spacing w:after="0" w:line="240" w:lineRule="auto"/>
        <w:ind w:firstLine="567"/>
        <w:jc w:val="both"/>
        <w:rPr>
          <w:sz w:val="24"/>
          <w:szCs w:val="24"/>
        </w:rPr>
      </w:pPr>
      <w:r>
        <w:rPr>
          <w:sz w:val="24"/>
          <w:szCs w:val="24"/>
        </w:rPr>
        <w:t xml:space="preserve">В целях выявления возможного конфликта интересов анализируются сведения (о родственниках и свойственниках), содержащиеся в анкетах, представляемых при назначении на государственные должности, должности государственной гражданской службы Томской области </w:t>
      </w:r>
    </w:p>
    <w:p w:rsidR="007E27CB" w:rsidRDefault="008F141F">
      <w:pPr>
        <w:tabs>
          <w:tab w:val="left" w:pos="4962"/>
        </w:tabs>
        <w:spacing w:after="0" w:line="240" w:lineRule="auto"/>
        <w:ind w:firstLine="567"/>
        <w:jc w:val="both"/>
        <w:rPr>
          <w:rFonts w:eastAsia="Calibri"/>
          <w:sz w:val="24"/>
          <w:szCs w:val="24"/>
        </w:rPr>
      </w:pPr>
      <w:r>
        <w:rPr>
          <w:rFonts w:eastAsia="Calibri"/>
          <w:sz w:val="24"/>
          <w:szCs w:val="24"/>
        </w:rPr>
        <w:t>В целях оказания консультативной и методической помощи Департаментом</w:t>
      </w:r>
      <w:r>
        <w:rPr>
          <w:sz w:val="24"/>
          <w:szCs w:val="24"/>
        </w:rPr>
        <w:t xml:space="preserve"> по профилактике коррупционных и иных правонарушений Администрации Томской области</w:t>
      </w:r>
      <w:r>
        <w:rPr>
          <w:rFonts w:eastAsia="Calibri"/>
          <w:sz w:val="24"/>
          <w:szCs w:val="24"/>
        </w:rPr>
        <w:t xml:space="preserve"> на постоянной основе в адрес государственных органов Томской области направляются методические материалы, памятки, разъяснительные письма, презентации по вопросам противодействия коррупции, в том числе:</w:t>
      </w:r>
    </w:p>
    <w:p w:rsidR="007E27CB" w:rsidRDefault="008F141F">
      <w:pPr>
        <w:pStyle w:val="a6"/>
        <w:numPr>
          <w:ilvl w:val="0"/>
          <w:numId w:val="30"/>
        </w:numPr>
        <w:tabs>
          <w:tab w:val="left" w:pos="993"/>
          <w:tab w:val="left" w:pos="4962"/>
        </w:tabs>
        <w:spacing w:after="0" w:line="240" w:lineRule="auto"/>
        <w:ind w:left="0" w:firstLine="567"/>
        <w:jc w:val="both"/>
        <w:rPr>
          <w:rFonts w:ascii="Times New Roman" w:hAnsi="Times New Roman"/>
          <w:sz w:val="24"/>
          <w:szCs w:val="24"/>
        </w:rPr>
      </w:pPr>
      <w:r>
        <w:rPr>
          <w:rFonts w:ascii="Times New Roman" w:hAnsi="Times New Roman"/>
          <w:sz w:val="24"/>
          <w:szCs w:val="24"/>
        </w:rPr>
        <w:t>проводятся семинары со служащими по разъяснению порядка и правил заполнения справок о доходах, расходах, об имуществе и обязательствах имущественного характера; по вопросам возникновения ситуаций конфликта интересов и их предотвращения;</w:t>
      </w:r>
    </w:p>
    <w:p w:rsidR="007E27CB" w:rsidRDefault="008F141F">
      <w:pPr>
        <w:pStyle w:val="ConsPlusNormal"/>
        <w:numPr>
          <w:ilvl w:val="0"/>
          <w:numId w:val="30"/>
        </w:numPr>
        <w:tabs>
          <w:tab w:val="left" w:pos="993"/>
          <w:tab w:val="left" w:pos="4962"/>
        </w:tabs>
        <w:ind w:left="0" w:firstLine="567"/>
        <w:jc w:val="both"/>
        <w:outlineLvl w:val="0"/>
        <w:rPr>
          <w:rFonts w:eastAsia="Calibri"/>
          <w:b w:val="0"/>
          <w:sz w:val="24"/>
          <w:szCs w:val="24"/>
        </w:rPr>
      </w:pPr>
      <w:r>
        <w:rPr>
          <w:rFonts w:eastAsia="Calibri"/>
          <w:b w:val="0"/>
          <w:sz w:val="24"/>
          <w:szCs w:val="24"/>
        </w:rPr>
        <w:t>направляются разъяснения, способствующие формированию у служащих негативного отношения к коррупционным проявлениям.</w:t>
      </w:r>
    </w:p>
    <w:p w:rsidR="007E27CB" w:rsidRDefault="008F141F">
      <w:pPr>
        <w:pStyle w:val="ConsPlusNormal"/>
        <w:tabs>
          <w:tab w:val="left" w:pos="4962"/>
        </w:tabs>
        <w:ind w:firstLine="567"/>
        <w:jc w:val="both"/>
        <w:outlineLvl w:val="0"/>
        <w:rPr>
          <w:rFonts w:eastAsia="Calibri"/>
          <w:b w:val="0"/>
          <w:sz w:val="24"/>
          <w:szCs w:val="24"/>
        </w:rPr>
      </w:pPr>
      <w:r>
        <w:rPr>
          <w:rFonts w:eastAsia="Calibri"/>
          <w:b w:val="0"/>
          <w:sz w:val="24"/>
          <w:szCs w:val="24"/>
        </w:rPr>
        <w:t xml:space="preserve">Проведенные </w:t>
      </w:r>
      <w:r>
        <w:rPr>
          <w:b w:val="0"/>
          <w:sz w:val="24"/>
          <w:szCs w:val="24"/>
        </w:rPr>
        <w:t>органами государственной власти Томской области</w:t>
      </w:r>
      <w:r>
        <w:rPr>
          <w:rFonts w:eastAsia="Calibri"/>
          <w:b w:val="0"/>
          <w:sz w:val="24"/>
          <w:szCs w:val="24"/>
        </w:rPr>
        <w:t xml:space="preserve"> мероприятия в первую очередь направлены на </w:t>
      </w:r>
      <w:r>
        <w:rPr>
          <w:b w:val="0"/>
          <w:sz w:val="24"/>
          <w:szCs w:val="24"/>
        </w:rPr>
        <w:t>устранение причин и условий коррупционных правонарушений,</w:t>
      </w:r>
      <w:r>
        <w:rPr>
          <w:rFonts w:eastAsia="Calibri"/>
          <w:b w:val="0"/>
          <w:sz w:val="24"/>
          <w:szCs w:val="24"/>
        </w:rPr>
        <w:t xml:space="preserve"> позволяют повысить антикоррупционное правосознание гражданских служащих и предотвратить появление коррупционных нарушений в дальнейшей деятельности органов государственной власти Томской области.</w:t>
      </w:r>
    </w:p>
    <w:p w:rsidR="007E27CB" w:rsidRDefault="008F141F">
      <w:pPr>
        <w:tabs>
          <w:tab w:val="left" w:pos="4962"/>
        </w:tabs>
        <w:spacing w:after="0" w:line="240" w:lineRule="auto"/>
        <w:jc w:val="both"/>
        <w:rPr>
          <w:i/>
          <w:sz w:val="24"/>
          <w:szCs w:val="24"/>
        </w:rPr>
      </w:pPr>
      <w:r>
        <w:rPr>
          <w:i/>
          <w:sz w:val="24"/>
          <w:szCs w:val="24"/>
        </w:rPr>
        <w:tab/>
      </w:r>
      <w:r>
        <w:rPr>
          <w:i/>
          <w:sz w:val="24"/>
          <w:szCs w:val="24"/>
        </w:rPr>
        <w:br w:type="page"/>
      </w:r>
    </w:p>
    <w:p w:rsidR="007E27CB" w:rsidRDefault="008F141F">
      <w:pPr>
        <w:tabs>
          <w:tab w:val="left" w:pos="4962"/>
        </w:tabs>
        <w:spacing w:after="0" w:line="240" w:lineRule="auto"/>
        <w:jc w:val="center"/>
        <w:rPr>
          <w:b/>
          <w:sz w:val="24"/>
          <w:szCs w:val="24"/>
        </w:rPr>
      </w:pPr>
      <w:bookmarkStart w:id="6" w:name="P39"/>
      <w:bookmarkEnd w:id="6"/>
      <w:r>
        <w:rPr>
          <w:rFonts w:eastAsia="Calibri"/>
          <w:b/>
          <w:sz w:val="24"/>
          <w:szCs w:val="24"/>
        </w:rPr>
        <w:t xml:space="preserve">Приложение № 10. </w:t>
      </w:r>
      <w:r>
        <w:rPr>
          <w:b/>
          <w:sz w:val="24"/>
          <w:szCs w:val="24"/>
        </w:rPr>
        <w:t xml:space="preserve">Обязательный публичный отчет </w:t>
      </w:r>
    </w:p>
    <w:p w:rsidR="007E27CB" w:rsidRDefault="008F141F">
      <w:pPr>
        <w:tabs>
          <w:tab w:val="left" w:pos="4962"/>
        </w:tabs>
        <w:spacing w:after="0" w:line="240" w:lineRule="auto"/>
        <w:jc w:val="center"/>
        <w:rPr>
          <w:b/>
          <w:sz w:val="24"/>
          <w:szCs w:val="24"/>
        </w:rPr>
      </w:pPr>
      <w:r>
        <w:rPr>
          <w:b/>
          <w:sz w:val="24"/>
          <w:szCs w:val="24"/>
        </w:rPr>
        <w:t>Губернатора Томской области С.А. Жвачкина,</w:t>
      </w:r>
    </w:p>
    <w:p w:rsidR="007E27CB" w:rsidRDefault="008F141F">
      <w:pPr>
        <w:tabs>
          <w:tab w:val="left" w:pos="4962"/>
        </w:tabs>
        <w:spacing w:after="0" w:line="240" w:lineRule="auto"/>
        <w:jc w:val="center"/>
        <w:rPr>
          <w:b/>
          <w:sz w:val="24"/>
          <w:szCs w:val="24"/>
        </w:rPr>
      </w:pPr>
      <w:r>
        <w:rPr>
          <w:b/>
          <w:sz w:val="24"/>
          <w:szCs w:val="24"/>
        </w:rPr>
        <w:t>о результатах независимой оценки качества условий оказания услуг организациями в сфере культуры, охраны здоровья, образования, социального обслуживания, которые расположены на территории Томской области,</w:t>
      </w:r>
    </w:p>
    <w:p w:rsidR="007E27CB" w:rsidRDefault="008F141F">
      <w:pPr>
        <w:pStyle w:val="ConsPlusNonformat"/>
        <w:jc w:val="center"/>
        <w:rPr>
          <w:rFonts w:ascii="Times New Roman" w:hAnsi="Times New Roman"/>
          <w:b/>
          <w:sz w:val="24"/>
          <w:szCs w:val="24"/>
        </w:rPr>
      </w:pPr>
      <w:r>
        <w:rPr>
          <w:rFonts w:ascii="Times New Roman" w:hAnsi="Times New Roman"/>
          <w:b/>
          <w:sz w:val="24"/>
          <w:szCs w:val="24"/>
        </w:rPr>
        <w:t>с 01.01.2019 по 31.12 2019</w:t>
      </w:r>
    </w:p>
    <w:p w:rsidR="007E27CB" w:rsidRDefault="007E27CB">
      <w:pPr>
        <w:pStyle w:val="ConsPlusNonformat"/>
        <w:rPr>
          <w:rFonts w:ascii="Times New Roman" w:hAnsi="Times New Roman"/>
          <w:sz w:val="24"/>
          <w:szCs w:val="24"/>
        </w:rPr>
      </w:pPr>
    </w:p>
    <w:p w:rsidR="007E27CB" w:rsidRDefault="008F141F">
      <w:pPr>
        <w:pStyle w:val="ConsPlusNonformat"/>
        <w:ind w:firstLine="567"/>
        <w:rPr>
          <w:rFonts w:ascii="Times New Roman" w:hAnsi="Times New Roman"/>
          <w:b/>
          <w:sz w:val="24"/>
          <w:szCs w:val="24"/>
        </w:rPr>
      </w:pPr>
      <w:r>
        <w:rPr>
          <w:rFonts w:ascii="Times New Roman" w:hAnsi="Times New Roman"/>
          <w:b/>
          <w:sz w:val="24"/>
          <w:szCs w:val="24"/>
        </w:rPr>
        <w:t>1. Нормативные правовые акты субъектов Российской Федерации, определяющие проведение независимой оценки качества условий оказания услуг организациями в сфере культуры, охраны здоровья, образования, социального обслуживания (далее соответственно - независимая оценка качества, организации социальной сферы, отрасли социальной сферы):</w:t>
      </w:r>
    </w:p>
    <w:p w:rsidR="007E27CB" w:rsidRDefault="008F141F">
      <w:pPr>
        <w:pStyle w:val="a6"/>
        <w:numPr>
          <w:ilvl w:val="0"/>
          <w:numId w:val="78"/>
        </w:numPr>
        <w:tabs>
          <w:tab w:val="left" w:pos="993"/>
        </w:tabs>
        <w:autoSpaceDE w:val="0"/>
        <w:autoSpaceDN w:val="0"/>
        <w:adjustRightInd w:val="0"/>
        <w:spacing w:after="0" w:line="240" w:lineRule="auto"/>
        <w:ind w:left="0" w:firstLine="567"/>
        <w:jc w:val="both"/>
        <w:outlineLvl w:val="0"/>
        <w:rPr>
          <w:rFonts w:ascii="Times New Roman" w:hAnsi="Times New Roman"/>
          <w:sz w:val="24"/>
          <w:szCs w:val="24"/>
        </w:rPr>
      </w:pPr>
      <w:r>
        <w:rPr>
          <w:rFonts w:ascii="Times New Roman" w:hAnsi="Times New Roman"/>
          <w:sz w:val="24"/>
          <w:szCs w:val="24"/>
        </w:rPr>
        <w:t>Закон Томской области от 15.12.2014 № 179-ОЗ «Об отдельных вопросах проведения независимой оценки качества оказания услуг организациями в сфере культуры, социального обслуживания, охраны здоровья и образования»;</w:t>
      </w:r>
    </w:p>
    <w:p w:rsidR="007E27CB" w:rsidRDefault="008F141F">
      <w:pPr>
        <w:pStyle w:val="a6"/>
        <w:numPr>
          <w:ilvl w:val="0"/>
          <w:numId w:val="78"/>
        </w:numPr>
        <w:tabs>
          <w:tab w:val="left" w:pos="993"/>
        </w:tabs>
        <w:autoSpaceDE w:val="0"/>
        <w:autoSpaceDN w:val="0"/>
        <w:adjustRightInd w:val="0"/>
        <w:spacing w:after="0" w:line="240" w:lineRule="auto"/>
        <w:ind w:left="0" w:firstLine="567"/>
        <w:jc w:val="both"/>
        <w:rPr>
          <w:rFonts w:ascii="Times New Roman" w:hAnsi="Times New Roman"/>
          <w:sz w:val="24"/>
          <w:szCs w:val="24"/>
        </w:rPr>
      </w:pPr>
      <w:r>
        <w:rPr>
          <w:rFonts w:ascii="Times New Roman" w:hAnsi="Times New Roman"/>
          <w:sz w:val="24"/>
          <w:szCs w:val="24"/>
        </w:rPr>
        <w:t>Закон Томской области от 13 апреля 2016 года № 25-ОЗ «Об отдельных вопросах организации и осуществления общественного контроля на территории Томской области»;</w:t>
      </w:r>
    </w:p>
    <w:p w:rsidR="007E27CB" w:rsidRDefault="008F141F">
      <w:pPr>
        <w:pStyle w:val="a6"/>
        <w:numPr>
          <w:ilvl w:val="0"/>
          <w:numId w:val="78"/>
        </w:numPr>
        <w:tabs>
          <w:tab w:val="left" w:pos="993"/>
        </w:tabs>
        <w:autoSpaceDE w:val="0"/>
        <w:autoSpaceDN w:val="0"/>
        <w:adjustRightInd w:val="0"/>
        <w:spacing w:after="0" w:line="240" w:lineRule="auto"/>
        <w:ind w:left="0" w:firstLine="567"/>
        <w:jc w:val="both"/>
        <w:rPr>
          <w:rFonts w:ascii="Times New Roman" w:hAnsi="Times New Roman"/>
          <w:sz w:val="24"/>
          <w:szCs w:val="24"/>
        </w:rPr>
      </w:pPr>
      <w:r>
        <w:rPr>
          <w:rFonts w:ascii="Times New Roman" w:hAnsi="Times New Roman"/>
          <w:sz w:val="24"/>
          <w:szCs w:val="24"/>
        </w:rPr>
        <w:t>Закон Томской области от 09.06.2017 № 52-03 «Об Общественной палате Томской области»;</w:t>
      </w:r>
    </w:p>
    <w:p w:rsidR="007E27CB" w:rsidRDefault="008F141F">
      <w:pPr>
        <w:pStyle w:val="a6"/>
        <w:numPr>
          <w:ilvl w:val="0"/>
          <w:numId w:val="78"/>
        </w:numPr>
        <w:tabs>
          <w:tab w:val="left" w:pos="993"/>
        </w:tabs>
        <w:autoSpaceDE w:val="0"/>
        <w:autoSpaceDN w:val="0"/>
        <w:adjustRightInd w:val="0"/>
        <w:spacing w:after="0" w:line="240" w:lineRule="auto"/>
        <w:ind w:left="0" w:firstLine="567"/>
        <w:jc w:val="both"/>
        <w:rPr>
          <w:rFonts w:ascii="Times New Roman" w:hAnsi="Times New Roman"/>
          <w:sz w:val="24"/>
          <w:szCs w:val="24"/>
        </w:rPr>
      </w:pPr>
      <w:r>
        <w:rPr>
          <w:rFonts w:ascii="Times New Roman" w:hAnsi="Times New Roman"/>
          <w:sz w:val="24"/>
          <w:szCs w:val="24"/>
        </w:rPr>
        <w:t>Закон Томской области от 08.10.2014 № 127-ОЗ «Об организации социального обслуживания граждан в Томской области»;</w:t>
      </w:r>
    </w:p>
    <w:p w:rsidR="007E27CB" w:rsidRDefault="008F141F">
      <w:pPr>
        <w:pStyle w:val="Default"/>
        <w:numPr>
          <w:ilvl w:val="0"/>
          <w:numId w:val="78"/>
        </w:numPr>
        <w:tabs>
          <w:tab w:val="left" w:pos="993"/>
        </w:tabs>
        <w:ind w:left="0" w:firstLine="567"/>
        <w:jc w:val="both"/>
      </w:pPr>
      <w:r>
        <w:t>распоряжение Губернатора Томской области от 03.12.2014 № 294-р «О создании рабочей группы по организации работы по проведению в Томской области независимой оценки качества условий оказания услуг организациями в сфере культуры, охраны здоровья, образования, социального обслуживания»;</w:t>
      </w:r>
    </w:p>
    <w:p w:rsidR="007E27CB" w:rsidRDefault="008F141F">
      <w:pPr>
        <w:pStyle w:val="Default"/>
        <w:numPr>
          <w:ilvl w:val="0"/>
          <w:numId w:val="78"/>
        </w:numPr>
        <w:tabs>
          <w:tab w:val="left" w:pos="993"/>
        </w:tabs>
        <w:ind w:left="0" w:firstLine="567"/>
        <w:jc w:val="both"/>
      </w:pPr>
      <w:r>
        <w:t>распоряжение Губернатора Томской области от 06.06.2016 № 147-р «Об утверждении Типового положения об общественном совете при исполнительном органе государственной власти Томской области».</w:t>
      </w:r>
    </w:p>
    <w:p w:rsidR="007E27CB" w:rsidRDefault="007E27CB">
      <w:pPr>
        <w:pStyle w:val="ConsPlusNonformat"/>
        <w:ind w:firstLine="567"/>
        <w:rPr>
          <w:rFonts w:ascii="Times New Roman" w:hAnsi="Times New Roman"/>
          <w:sz w:val="24"/>
          <w:szCs w:val="24"/>
        </w:rPr>
      </w:pPr>
    </w:p>
    <w:p w:rsidR="007E27CB" w:rsidRDefault="008F141F">
      <w:pPr>
        <w:pStyle w:val="ConsPlusNonformat"/>
        <w:ind w:firstLine="567"/>
        <w:rPr>
          <w:rFonts w:ascii="Times New Roman" w:hAnsi="Times New Roman"/>
          <w:b/>
          <w:sz w:val="24"/>
          <w:szCs w:val="24"/>
        </w:rPr>
      </w:pPr>
      <w:r>
        <w:rPr>
          <w:rFonts w:ascii="Times New Roman" w:hAnsi="Times New Roman"/>
          <w:b/>
          <w:sz w:val="24"/>
          <w:szCs w:val="24"/>
        </w:rPr>
        <w:t>2. Информация об общественном совете (общественных советах) по проведению независимой оценки качества условий</w:t>
      </w:r>
      <w:r>
        <w:rPr>
          <w:rFonts w:ascii="Times New Roman" w:hAnsi="Times New Roman"/>
          <w:sz w:val="24"/>
          <w:szCs w:val="24"/>
        </w:rPr>
        <w:t xml:space="preserve"> </w:t>
      </w:r>
      <w:r>
        <w:rPr>
          <w:rFonts w:ascii="Times New Roman" w:hAnsi="Times New Roman"/>
          <w:b/>
          <w:sz w:val="24"/>
          <w:szCs w:val="24"/>
        </w:rPr>
        <w:t>оказания услуг:</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2.1. Общественный совет осуществляет следующие функции при проведении независимой оценки качества условий оказания услуг:</w:t>
      </w:r>
    </w:p>
    <w:p w:rsidR="007E27CB" w:rsidRDefault="008F141F">
      <w:pPr>
        <w:pStyle w:val="a6"/>
        <w:numPr>
          <w:ilvl w:val="0"/>
          <w:numId w:val="79"/>
        </w:numPr>
        <w:tabs>
          <w:tab w:val="left" w:pos="993"/>
        </w:tabs>
        <w:spacing w:after="0" w:line="240" w:lineRule="auto"/>
        <w:ind w:left="0"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определяет перечни организаций социальной сферы, в отношении которых проводится независимая оценка;</w:t>
      </w:r>
      <w:bookmarkStart w:id="7" w:name="dst100027"/>
      <w:bookmarkEnd w:id="7"/>
    </w:p>
    <w:p w:rsidR="007E27CB" w:rsidRDefault="008F141F">
      <w:pPr>
        <w:pStyle w:val="a6"/>
        <w:numPr>
          <w:ilvl w:val="0"/>
          <w:numId w:val="79"/>
        </w:numPr>
        <w:tabs>
          <w:tab w:val="left" w:pos="993"/>
        </w:tabs>
        <w:spacing w:after="0" w:line="240" w:lineRule="auto"/>
        <w:ind w:left="0"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ус</w:t>
      </w:r>
      <w:r>
        <w:rPr>
          <w:rFonts w:ascii="Times New Roman" w:hAnsi="Times New Roman"/>
          <w:sz w:val="24"/>
          <w:szCs w:val="24"/>
        </w:rPr>
        <w:t>танавливает при необходимости критерии оценки качества условий оказания услуг организациями социальной сферы;</w:t>
      </w:r>
    </w:p>
    <w:p w:rsidR="007E27CB" w:rsidRDefault="008F141F">
      <w:pPr>
        <w:pStyle w:val="a6"/>
        <w:numPr>
          <w:ilvl w:val="0"/>
          <w:numId w:val="79"/>
        </w:numPr>
        <w:tabs>
          <w:tab w:val="left" w:pos="993"/>
        </w:tabs>
        <w:autoSpaceDE w:val="0"/>
        <w:autoSpaceDN w:val="0"/>
        <w:adjustRightInd w:val="0"/>
        <w:spacing w:after="0" w:line="240" w:lineRule="auto"/>
        <w:ind w:left="0" w:firstLine="567"/>
        <w:jc w:val="both"/>
        <w:rPr>
          <w:rFonts w:ascii="Times New Roman" w:eastAsia="Times New Roman" w:hAnsi="Times New Roman"/>
          <w:sz w:val="24"/>
          <w:szCs w:val="24"/>
          <w:lang w:eastAsia="ru-RU"/>
        </w:rPr>
      </w:pPr>
      <w:bookmarkStart w:id="8" w:name="dst2"/>
      <w:bookmarkStart w:id="9" w:name="dst100029"/>
      <w:bookmarkEnd w:id="8"/>
      <w:bookmarkEnd w:id="9"/>
      <w:r>
        <w:rPr>
          <w:rFonts w:ascii="Times New Roman" w:eastAsia="Times New Roman" w:hAnsi="Times New Roman"/>
          <w:sz w:val="24"/>
          <w:szCs w:val="24"/>
          <w:lang w:eastAsia="ru-RU"/>
        </w:rPr>
        <w:t xml:space="preserve">осуществляет независимую оценку качества условий оказания услуг организациями социальной сферы </w:t>
      </w:r>
      <w:r>
        <w:rPr>
          <w:rFonts w:ascii="Times New Roman" w:hAnsi="Times New Roman"/>
          <w:sz w:val="24"/>
          <w:szCs w:val="24"/>
        </w:rPr>
        <w:t>с учетом информации, представленной оператором</w:t>
      </w:r>
      <w:r>
        <w:rPr>
          <w:rFonts w:ascii="Times New Roman" w:eastAsia="Times New Roman" w:hAnsi="Times New Roman"/>
          <w:sz w:val="24"/>
          <w:szCs w:val="24"/>
          <w:lang w:eastAsia="ru-RU"/>
        </w:rPr>
        <w:t>;</w:t>
      </w:r>
    </w:p>
    <w:p w:rsidR="007E27CB" w:rsidRDefault="008F141F">
      <w:pPr>
        <w:pStyle w:val="a6"/>
        <w:numPr>
          <w:ilvl w:val="0"/>
          <w:numId w:val="79"/>
        </w:numPr>
        <w:tabs>
          <w:tab w:val="left" w:pos="993"/>
        </w:tabs>
        <w:spacing w:after="0" w:line="240" w:lineRule="auto"/>
        <w:ind w:left="0" w:firstLine="567"/>
        <w:jc w:val="both"/>
        <w:rPr>
          <w:rFonts w:ascii="Times New Roman" w:hAnsi="Times New Roman"/>
          <w:color w:val="333333"/>
          <w:sz w:val="24"/>
          <w:szCs w:val="24"/>
        </w:rPr>
      </w:pPr>
      <w:bookmarkStart w:id="10" w:name="dst100030"/>
      <w:bookmarkEnd w:id="10"/>
      <w:r>
        <w:rPr>
          <w:rFonts w:ascii="Times New Roman" w:eastAsia="Times New Roman" w:hAnsi="Times New Roman"/>
          <w:sz w:val="24"/>
          <w:szCs w:val="24"/>
          <w:lang w:eastAsia="ru-RU"/>
        </w:rPr>
        <w:t>представляет соответственно в орган государственной власти субъекта Российской Федерации, органы местного самоуправления результаты независимой оценки качества условий оказания услуг организациями социальной сферы, а также предложения об улучшении качества их деятельности</w:t>
      </w:r>
      <w:r>
        <w:rPr>
          <w:rFonts w:ascii="Times New Roman" w:hAnsi="Times New Roman"/>
          <w:color w:val="333333"/>
          <w:sz w:val="24"/>
          <w:szCs w:val="24"/>
        </w:rPr>
        <w:t>.</w:t>
      </w:r>
    </w:p>
    <w:p w:rsidR="007E27CB" w:rsidRDefault="008F141F">
      <w:pPr>
        <w:pStyle w:val="ConsPlusNonformat"/>
        <w:ind w:firstLine="567"/>
        <w:rPr>
          <w:rFonts w:ascii="Times New Roman" w:hAnsi="Times New Roman"/>
          <w:bCs/>
          <w:sz w:val="24"/>
          <w:szCs w:val="24"/>
        </w:rPr>
      </w:pPr>
      <w:r>
        <w:rPr>
          <w:rFonts w:ascii="Times New Roman" w:hAnsi="Times New Roman"/>
          <w:bCs/>
          <w:sz w:val="24"/>
          <w:szCs w:val="24"/>
        </w:rPr>
        <w:t>2.2. Общественные советы формирует Общественная палата Томской области (</w:t>
      </w:r>
      <w:hyperlink r:id="rId37" w:history="1">
        <w:r>
          <w:rPr>
            <w:rFonts w:ascii="Times New Roman" w:hAnsi="Times New Roman"/>
            <w:bCs/>
            <w:sz w:val="24"/>
            <w:szCs w:val="24"/>
          </w:rPr>
          <w:t>часть 7 статьи 9</w:t>
        </w:r>
      </w:hyperlink>
      <w:r>
        <w:rPr>
          <w:rFonts w:ascii="Times New Roman" w:hAnsi="Times New Roman"/>
          <w:bCs/>
          <w:sz w:val="24"/>
          <w:szCs w:val="24"/>
        </w:rPr>
        <w:t xml:space="preserve"> Закона Томской области от 09.06.2017 № 52-ОЗ «Об Общественной палате Томской области»).</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1)  в сфере образования Общественный совет сформирован:</w:t>
      </w:r>
    </w:p>
    <w:p w:rsidR="007E27CB" w:rsidRDefault="008F141F">
      <w:pPr>
        <w:pStyle w:val="ConsPlusNonformat"/>
        <w:numPr>
          <w:ilvl w:val="0"/>
          <w:numId w:val="80"/>
        </w:numPr>
        <w:tabs>
          <w:tab w:val="left" w:pos="993"/>
        </w:tabs>
        <w:ind w:left="0" w:firstLine="567"/>
        <w:rPr>
          <w:rFonts w:ascii="Times New Roman" w:hAnsi="Times New Roman"/>
          <w:sz w:val="24"/>
          <w:szCs w:val="24"/>
        </w:rPr>
      </w:pPr>
      <w:r>
        <w:rPr>
          <w:rFonts w:ascii="Times New Roman" w:hAnsi="Times New Roman"/>
          <w:sz w:val="24"/>
          <w:szCs w:val="24"/>
        </w:rPr>
        <w:t>при Департаменте общего образования Томской области решением Общественной палаты Томской области от 18.05.2018 (состоит из 5 членов);</w:t>
      </w:r>
    </w:p>
    <w:p w:rsidR="007E27CB" w:rsidRDefault="008F141F">
      <w:pPr>
        <w:pStyle w:val="ConsPlusNonformat"/>
        <w:numPr>
          <w:ilvl w:val="0"/>
          <w:numId w:val="80"/>
        </w:numPr>
        <w:tabs>
          <w:tab w:val="left" w:pos="993"/>
        </w:tabs>
        <w:ind w:left="0" w:firstLine="567"/>
        <w:rPr>
          <w:rFonts w:ascii="Times New Roman" w:hAnsi="Times New Roman"/>
          <w:sz w:val="24"/>
          <w:szCs w:val="24"/>
        </w:rPr>
      </w:pPr>
      <w:r>
        <w:rPr>
          <w:rFonts w:ascii="Times New Roman" w:hAnsi="Times New Roman"/>
          <w:sz w:val="24"/>
          <w:szCs w:val="24"/>
        </w:rPr>
        <w:t>при Департаменте по молодежной политике, физической культуре и спорту Томской области решением Общественной палаты Томской области от 23.07.2018 (состоит из 5 членов);</w:t>
      </w:r>
    </w:p>
    <w:p w:rsidR="007E27CB" w:rsidRDefault="008F141F">
      <w:pPr>
        <w:pStyle w:val="ConsPlusNonformat"/>
        <w:numPr>
          <w:ilvl w:val="0"/>
          <w:numId w:val="80"/>
        </w:numPr>
        <w:tabs>
          <w:tab w:val="left" w:pos="993"/>
        </w:tabs>
        <w:ind w:left="0" w:firstLine="567"/>
        <w:rPr>
          <w:rFonts w:ascii="Times New Roman" w:hAnsi="Times New Roman"/>
          <w:sz w:val="24"/>
          <w:szCs w:val="24"/>
        </w:rPr>
      </w:pPr>
      <w:r>
        <w:rPr>
          <w:rFonts w:ascii="Times New Roman" w:hAnsi="Times New Roman"/>
          <w:sz w:val="24"/>
          <w:szCs w:val="24"/>
        </w:rPr>
        <w:t>при Департаменте профессионального образования Томской области решением Общественной палаты Томской области от 09.06.2018 (состоит из 7 членов);</w:t>
      </w:r>
    </w:p>
    <w:p w:rsidR="007E27CB" w:rsidRDefault="008F141F">
      <w:pPr>
        <w:pStyle w:val="ConsPlusNonformat"/>
        <w:tabs>
          <w:tab w:val="left" w:pos="993"/>
        </w:tabs>
        <w:ind w:firstLine="567"/>
        <w:rPr>
          <w:rFonts w:ascii="Times New Roman" w:hAnsi="Times New Roman"/>
          <w:sz w:val="24"/>
          <w:szCs w:val="24"/>
        </w:rPr>
      </w:pPr>
      <w:r>
        <w:rPr>
          <w:rFonts w:ascii="Times New Roman" w:hAnsi="Times New Roman"/>
          <w:sz w:val="24"/>
          <w:szCs w:val="24"/>
        </w:rPr>
        <w:t>2) в сфере социального обслуживания Общественный совет сформирован:</w:t>
      </w:r>
    </w:p>
    <w:p w:rsidR="007E27CB" w:rsidRDefault="008F141F">
      <w:pPr>
        <w:pStyle w:val="ConsPlusNonformat"/>
        <w:numPr>
          <w:ilvl w:val="0"/>
          <w:numId w:val="81"/>
        </w:numPr>
        <w:tabs>
          <w:tab w:val="left" w:pos="993"/>
        </w:tabs>
        <w:ind w:left="0" w:firstLine="567"/>
        <w:rPr>
          <w:rFonts w:ascii="Times New Roman" w:hAnsi="Times New Roman"/>
          <w:sz w:val="24"/>
          <w:szCs w:val="24"/>
        </w:rPr>
      </w:pPr>
      <w:r>
        <w:rPr>
          <w:rFonts w:ascii="Times New Roman" w:hAnsi="Times New Roman"/>
          <w:sz w:val="24"/>
          <w:szCs w:val="24"/>
        </w:rPr>
        <w:t>при Департаменте по вопросу семьи и детей Томской области решением Общественной палаты Томской области от 26.03.2018 (состоит из 5 членов);</w:t>
      </w:r>
    </w:p>
    <w:p w:rsidR="007E27CB" w:rsidRDefault="008F141F">
      <w:pPr>
        <w:pStyle w:val="ConsPlusNonformat"/>
        <w:numPr>
          <w:ilvl w:val="0"/>
          <w:numId w:val="81"/>
        </w:numPr>
        <w:tabs>
          <w:tab w:val="left" w:pos="993"/>
        </w:tabs>
        <w:ind w:left="0" w:firstLine="567"/>
        <w:rPr>
          <w:rFonts w:ascii="Times New Roman" w:hAnsi="Times New Roman"/>
          <w:sz w:val="24"/>
          <w:szCs w:val="24"/>
        </w:rPr>
      </w:pPr>
      <w:r>
        <w:rPr>
          <w:rFonts w:ascii="Times New Roman" w:hAnsi="Times New Roman"/>
          <w:sz w:val="24"/>
          <w:szCs w:val="24"/>
        </w:rPr>
        <w:t>при Департаменте социальной защиты населения Томской области решением Общественной палаты Томской области от 30.03.2018 (состоит из 5 членов);</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3) в сфере охраны здоровья Общественный совет сформирован:</w:t>
      </w:r>
    </w:p>
    <w:p w:rsidR="007E27CB" w:rsidRDefault="008F141F">
      <w:pPr>
        <w:pStyle w:val="ConsPlusNonformat"/>
        <w:numPr>
          <w:ilvl w:val="0"/>
          <w:numId w:val="82"/>
        </w:numPr>
        <w:tabs>
          <w:tab w:val="left" w:pos="993"/>
        </w:tabs>
        <w:ind w:left="0" w:firstLine="567"/>
        <w:rPr>
          <w:rFonts w:ascii="Times New Roman" w:hAnsi="Times New Roman"/>
          <w:sz w:val="24"/>
          <w:szCs w:val="24"/>
        </w:rPr>
      </w:pPr>
      <w:r>
        <w:rPr>
          <w:rFonts w:ascii="Times New Roman" w:hAnsi="Times New Roman"/>
          <w:sz w:val="24"/>
          <w:szCs w:val="24"/>
        </w:rPr>
        <w:t>при Департаменте здравоохранения Томской области решением Общественной палаты Томской области от 11.05.2018 (состоит из 6 членов);</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4)  в сфере культуры Общественный совет сформирован:</w:t>
      </w:r>
    </w:p>
    <w:p w:rsidR="007E27CB" w:rsidRDefault="008F141F">
      <w:pPr>
        <w:pStyle w:val="ConsPlusNonformat"/>
        <w:numPr>
          <w:ilvl w:val="0"/>
          <w:numId w:val="83"/>
        </w:numPr>
        <w:tabs>
          <w:tab w:val="left" w:pos="993"/>
        </w:tabs>
        <w:ind w:left="0" w:firstLine="567"/>
        <w:rPr>
          <w:rFonts w:ascii="Times New Roman" w:hAnsi="Times New Roman"/>
          <w:sz w:val="24"/>
          <w:szCs w:val="24"/>
        </w:rPr>
      </w:pPr>
      <w:r>
        <w:rPr>
          <w:rFonts w:ascii="Times New Roman" w:hAnsi="Times New Roman"/>
          <w:sz w:val="24"/>
          <w:szCs w:val="24"/>
        </w:rPr>
        <w:t>при Департаменте по культуре и туризму Томской области решением Общественной палаты Томской области от 24.07.2018 (состоит из 5 членов).</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 xml:space="preserve">Сведения о составах Общественных советов размещены на сайтах исполнительных органов государственной власти Томской области и сайте </w:t>
      </w:r>
      <w:hyperlink r:id="rId38" w:history="1">
        <w:r>
          <w:rPr>
            <w:rStyle w:val="a9"/>
            <w:rFonts w:ascii="Times New Roman" w:hAnsi="Times New Roman"/>
            <w:sz w:val="24"/>
            <w:szCs w:val="24"/>
          </w:rPr>
          <w:t>bus.gov.ru</w:t>
        </w:r>
      </w:hyperlink>
      <w:r>
        <w:rPr>
          <w:rStyle w:val="a9"/>
          <w:rFonts w:ascii="Times New Roman" w:hAnsi="Times New Roman"/>
          <w:sz w:val="24"/>
          <w:szCs w:val="24"/>
        </w:rPr>
        <w:t>.</w:t>
      </w:r>
      <w:r>
        <w:rPr>
          <w:rFonts w:ascii="Times New Roman" w:hAnsi="Times New Roman"/>
          <w:sz w:val="24"/>
          <w:szCs w:val="24"/>
        </w:rPr>
        <w:t xml:space="preserve"> </w:t>
      </w:r>
    </w:p>
    <w:p w:rsidR="007E27CB" w:rsidRDefault="007E27CB">
      <w:pPr>
        <w:pStyle w:val="ConsPlusNonformat"/>
        <w:ind w:firstLine="567"/>
        <w:rPr>
          <w:rFonts w:ascii="Times New Roman" w:hAnsi="Times New Roman"/>
          <w:bCs/>
          <w:sz w:val="24"/>
          <w:szCs w:val="24"/>
        </w:rPr>
      </w:pPr>
    </w:p>
    <w:p w:rsidR="007E27CB" w:rsidRDefault="008F141F">
      <w:pPr>
        <w:pStyle w:val="ConsPlusNonformat"/>
        <w:ind w:firstLine="567"/>
        <w:rPr>
          <w:rFonts w:ascii="Times New Roman" w:hAnsi="Times New Roman"/>
          <w:b/>
          <w:sz w:val="24"/>
          <w:szCs w:val="24"/>
        </w:rPr>
      </w:pPr>
      <w:r>
        <w:rPr>
          <w:rFonts w:ascii="Times New Roman" w:hAnsi="Times New Roman"/>
          <w:b/>
          <w:sz w:val="24"/>
          <w:szCs w:val="24"/>
        </w:rPr>
        <w:t xml:space="preserve">3. Сведения об организациях, осуществляющих сбор и обобщение информации о качестве условий оказания услуг организациями социальной сферы (далее </w:t>
      </w:r>
      <w:r>
        <w:rPr>
          <w:sz w:val="24"/>
          <w:szCs w:val="24"/>
        </w:rPr>
        <w:t>–</w:t>
      </w:r>
      <w:r>
        <w:rPr>
          <w:rFonts w:ascii="Times New Roman" w:hAnsi="Times New Roman"/>
          <w:b/>
          <w:sz w:val="24"/>
          <w:szCs w:val="24"/>
        </w:rPr>
        <w:t xml:space="preserve"> операторы):</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В 2019 году в целях проведения независимой оценки исполнительными органами государственной власти Томской области заключено с операторами 7 государственных контрактов на общую сумму 1 185,2 тыс. рублей:</w:t>
      </w:r>
    </w:p>
    <w:p w:rsidR="007E27CB" w:rsidRDefault="008F141F">
      <w:pPr>
        <w:pStyle w:val="ConsPlusNonformat"/>
        <w:numPr>
          <w:ilvl w:val="0"/>
          <w:numId w:val="84"/>
        </w:numPr>
        <w:tabs>
          <w:tab w:val="left" w:pos="851"/>
        </w:tabs>
        <w:ind w:left="0" w:firstLine="567"/>
        <w:rPr>
          <w:rFonts w:ascii="Times New Roman" w:hAnsi="Times New Roman"/>
          <w:sz w:val="24"/>
          <w:szCs w:val="24"/>
        </w:rPr>
      </w:pPr>
      <w:r>
        <w:rPr>
          <w:rFonts w:ascii="Times New Roman" w:hAnsi="Times New Roman"/>
          <w:sz w:val="24"/>
          <w:szCs w:val="24"/>
        </w:rPr>
        <w:t>в сфере образования:</w:t>
      </w:r>
    </w:p>
    <w:p w:rsidR="007E27CB" w:rsidRDefault="008F141F">
      <w:pPr>
        <w:pStyle w:val="ConsPlusNonformat"/>
        <w:numPr>
          <w:ilvl w:val="0"/>
          <w:numId w:val="85"/>
        </w:numPr>
        <w:tabs>
          <w:tab w:val="left" w:pos="993"/>
        </w:tabs>
        <w:ind w:left="0" w:firstLine="567"/>
        <w:rPr>
          <w:rFonts w:ascii="Times New Roman" w:hAnsi="Times New Roman"/>
          <w:sz w:val="24"/>
          <w:szCs w:val="24"/>
        </w:rPr>
      </w:pPr>
      <w:r>
        <w:rPr>
          <w:rFonts w:ascii="Times New Roman" w:hAnsi="Times New Roman"/>
          <w:sz w:val="24"/>
          <w:szCs w:val="24"/>
        </w:rPr>
        <w:t>ООО «Демиург» (от 08.07.2019 г.  № 08652000003190007660001) на сумму 279 тыс. рублей;</w:t>
      </w:r>
    </w:p>
    <w:p w:rsidR="007E27CB" w:rsidRDefault="008F141F">
      <w:pPr>
        <w:pStyle w:val="ConsPlusNonformat"/>
        <w:numPr>
          <w:ilvl w:val="0"/>
          <w:numId w:val="85"/>
        </w:numPr>
        <w:tabs>
          <w:tab w:val="left" w:pos="993"/>
        </w:tabs>
        <w:ind w:left="0" w:firstLine="567"/>
        <w:rPr>
          <w:rFonts w:ascii="Times New Roman" w:hAnsi="Times New Roman"/>
          <w:sz w:val="24"/>
          <w:szCs w:val="24"/>
        </w:rPr>
      </w:pPr>
      <w:r>
        <w:rPr>
          <w:rFonts w:ascii="Times New Roman" w:hAnsi="Times New Roman"/>
          <w:sz w:val="24"/>
          <w:szCs w:val="24"/>
        </w:rPr>
        <w:t>ООО «АБВ» (ГК 1-АЭФ от 03.06.2019) на сумму 20 тыс. рублей;</w:t>
      </w:r>
    </w:p>
    <w:p w:rsidR="007E27CB" w:rsidRDefault="008F141F">
      <w:pPr>
        <w:pStyle w:val="ConsPlusNonformat"/>
        <w:numPr>
          <w:ilvl w:val="0"/>
          <w:numId w:val="85"/>
        </w:numPr>
        <w:tabs>
          <w:tab w:val="left" w:pos="993"/>
        </w:tabs>
        <w:ind w:left="0" w:firstLine="567"/>
        <w:rPr>
          <w:rFonts w:ascii="Times New Roman" w:hAnsi="Times New Roman"/>
          <w:sz w:val="24"/>
          <w:szCs w:val="24"/>
        </w:rPr>
      </w:pPr>
      <w:r>
        <w:rPr>
          <w:rFonts w:ascii="Times New Roman" w:hAnsi="Times New Roman"/>
          <w:sz w:val="24"/>
          <w:szCs w:val="24"/>
        </w:rPr>
        <w:t>ОГАУ «Центр спортивной подготовки сборных команд Томской области» (ГК № 78 от 27.05.2019) на сумму 50 тыс. рублей;</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2) в сфере социального обслуживания:</w:t>
      </w:r>
    </w:p>
    <w:p w:rsidR="007E27CB" w:rsidRDefault="008F141F">
      <w:pPr>
        <w:pStyle w:val="ConsPlusNonformat"/>
        <w:numPr>
          <w:ilvl w:val="0"/>
          <w:numId w:val="86"/>
        </w:numPr>
        <w:tabs>
          <w:tab w:val="left" w:pos="993"/>
        </w:tabs>
        <w:ind w:left="0" w:firstLine="567"/>
        <w:rPr>
          <w:rFonts w:ascii="Times New Roman" w:hAnsi="Times New Roman"/>
          <w:sz w:val="24"/>
          <w:szCs w:val="24"/>
        </w:rPr>
      </w:pPr>
      <w:r>
        <w:rPr>
          <w:rFonts w:ascii="Times New Roman" w:hAnsi="Times New Roman"/>
          <w:sz w:val="24"/>
          <w:szCs w:val="24"/>
        </w:rPr>
        <w:t>ООО «Финансовый консалтинг» (ГК № 0865200000319001023 от 01.07.2019) на сумму 47,2 тыс. рублей;</w:t>
      </w:r>
    </w:p>
    <w:p w:rsidR="007E27CB" w:rsidRDefault="008F141F">
      <w:pPr>
        <w:pStyle w:val="ConsPlusNonformat"/>
        <w:numPr>
          <w:ilvl w:val="0"/>
          <w:numId w:val="86"/>
        </w:numPr>
        <w:tabs>
          <w:tab w:val="left" w:pos="993"/>
        </w:tabs>
        <w:ind w:left="0" w:firstLine="567"/>
        <w:rPr>
          <w:rFonts w:ascii="Times New Roman" w:hAnsi="Times New Roman"/>
          <w:sz w:val="24"/>
          <w:szCs w:val="24"/>
        </w:rPr>
      </w:pPr>
      <w:r>
        <w:rPr>
          <w:rFonts w:ascii="Times New Roman" w:hAnsi="Times New Roman"/>
          <w:sz w:val="24"/>
          <w:szCs w:val="24"/>
        </w:rPr>
        <w:t>ООО «Финансовый консалтинг» № 29/19-Д от 05.04.2019г. на сумму 90 тыс. рублей;</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3) в сфере охраны здоровья:</w:t>
      </w:r>
    </w:p>
    <w:p w:rsidR="007E27CB" w:rsidRDefault="008F141F">
      <w:pPr>
        <w:pStyle w:val="ConsPlusNonformat"/>
        <w:numPr>
          <w:ilvl w:val="0"/>
          <w:numId w:val="87"/>
        </w:numPr>
        <w:tabs>
          <w:tab w:val="left" w:pos="993"/>
        </w:tabs>
        <w:ind w:left="0" w:firstLine="567"/>
        <w:rPr>
          <w:rFonts w:ascii="Times New Roman" w:hAnsi="Times New Roman"/>
          <w:sz w:val="24"/>
          <w:szCs w:val="24"/>
        </w:rPr>
      </w:pPr>
      <w:r>
        <w:rPr>
          <w:rFonts w:ascii="Times New Roman" w:hAnsi="Times New Roman"/>
          <w:sz w:val="24"/>
          <w:szCs w:val="24"/>
        </w:rPr>
        <w:t>ООО Демиург» (ГК № 83-ДЗ-19 от 10.07.2019) на сумму 570 тыс. рублей;</w:t>
      </w:r>
    </w:p>
    <w:p w:rsidR="007E27CB" w:rsidRDefault="008F141F">
      <w:pPr>
        <w:pStyle w:val="ConsPlusNonformat"/>
        <w:tabs>
          <w:tab w:val="left" w:pos="993"/>
        </w:tabs>
        <w:ind w:firstLine="567"/>
        <w:rPr>
          <w:rFonts w:ascii="Times New Roman" w:hAnsi="Times New Roman"/>
          <w:sz w:val="24"/>
          <w:szCs w:val="24"/>
        </w:rPr>
      </w:pPr>
      <w:r>
        <w:rPr>
          <w:rFonts w:ascii="Times New Roman" w:hAnsi="Times New Roman"/>
          <w:sz w:val="24"/>
          <w:szCs w:val="24"/>
        </w:rPr>
        <w:t>4) в сфере культуры:</w:t>
      </w:r>
    </w:p>
    <w:p w:rsidR="007E27CB" w:rsidRDefault="008F141F">
      <w:pPr>
        <w:pStyle w:val="ConsPlusNonformat"/>
        <w:numPr>
          <w:ilvl w:val="0"/>
          <w:numId w:val="88"/>
        </w:numPr>
        <w:tabs>
          <w:tab w:val="left" w:pos="993"/>
        </w:tabs>
        <w:ind w:left="0" w:firstLine="567"/>
        <w:rPr>
          <w:rFonts w:ascii="Times New Roman" w:hAnsi="Times New Roman"/>
          <w:sz w:val="24"/>
          <w:szCs w:val="24"/>
        </w:rPr>
      </w:pPr>
      <w:r>
        <w:rPr>
          <w:rFonts w:ascii="Times New Roman" w:hAnsi="Times New Roman"/>
          <w:sz w:val="24"/>
          <w:szCs w:val="24"/>
        </w:rPr>
        <w:t>ООО «579» ГК № 137 от 21.08.2019 на сумму129 тыс. рублей.</w:t>
      </w:r>
    </w:p>
    <w:p w:rsidR="007E27CB" w:rsidRDefault="007E27CB">
      <w:pPr>
        <w:pStyle w:val="ConsPlusNonformat"/>
        <w:ind w:firstLine="567"/>
        <w:rPr>
          <w:rFonts w:ascii="Times New Roman" w:hAnsi="Times New Roman"/>
          <w:b/>
          <w:sz w:val="24"/>
          <w:szCs w:val="24"/>
        </w:rPr>
      </w:pPr>
    </w:p>
    <w:p w:rsidR="007E27CB" w:rsidRDefault="008F141F">
      <w:pPr>
        <w:pStyle w:val="ConsPlusNonformat"/>
        <w:ind w:firstLine="567"/>
        <w:rPr>
          <w:rFonts w:ascii="Times New Roman" w:hAnsi="Times New Roman"/>
          <w:b/>
          <w:sz w:val="24"/>
          <w:szCs w:val="24"/>
        </w:rPr>
      </w:pPr>
      <w:r>
        <w:rPr>
          <w:rFonts w:ascii="Times New Roman" w:hAnsi="Times New Roman"/>
          <w:b/>
          <w:sz w:val="24"/>
          <w:szCs w:val="24"/>
        </w:rPr>
        <w:t>4. Информация об организациях социальной сферы, подлежащих независимой оценке качества:</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4.1. Общее количество организаций социальной сферы, охваченных независимой оценкой качества условий</w:t>
      </w:r>
      <w:r>
        <w:rPr>
          <w:rFonts w:ascii="Times New Roman" w:hAnsi="Times New Roman"/>
          <w:b/>
          <w:sz w:val="24"/>
          <w:szCs w:val="24"/>
        </w:rPr>
        <w:t xml:space="preserve"> </w:t>
      </w:r>
      <w:r>
        <w:rPr>
          <w:rFonts w:ascii="Times New Roman" w:hAnsi="Times New Roman"/>
          <w:sz w:val="24"/>
          <w:szCs w:val="24"/>
        </w:rPr>
        <w:t>оказания услуг</w:t>
      </w:r>
      <w:r>
        <w:rPr>
          <w:rFonts w:ascii="Times New Roman" w:hAnsi="Times New Roman"/>
          <w:b/>
          <w:sz w:val="24"/>
          <w:szCs w:val="24"/>
        </w:rPr>
        <w:t xml:space="preserve"> в 2019 году</w:t>
      </w:r>
      <w:r>
        <w:rPr>
          <w:rFonts w:ascii="Times New Roman" w:hAnsi="Times New Roman"/>
          <w:sz w:val="24"/>
          <w:szCs w:val="24"/>
        </w:rPr>
        <w:t>, и их удельный вес от общего числа организаций социальной сферы, подлежащих независимой оценке качества условий оказания услуг составило:</w:t>
      </w:r>
    </w:p>
    <w:p w:rsidR="007E27CB" w:rsidRDefault="008F141F">
      <w:pPr>
        <w:pStyle w:val="ConsPlusNonformat"/>
        <w:numPr>
          <w:ilvl w:val="0"/>
          <w:numId w:val="89"/>
        </w:numPr>
        <w:tabs>
          <w:tab w:val="left" w:pos="993"/>
        </w:tabs>
        <w:ind w:left="0" w:firstLine="567"/>
        <w:rPr>
          <w:rFonts w:ascii="Times New Roman" w:hAnsi="Times New Roman"/>
          <w:sz w:val="24"/>
          <w:szCs w:val="24"/>
        </w:rPr>
      </w:pPr>
      <w:r>
        <w:rPr>
          <w:rFonts w:ascii="Times New Roman" w:hAnsi="Times New Roman"/>
          <w:sz w:val="24"/>
          <w:szCs w:val="24"/>
        </w:rPr>
        <w:t xml:space="preserve">в сфере образования всего 130 организаций (19,37 % общего числа организаций в сфере образования, подлежащих независимой оценке качества условий оказания услуг </w:t>
      </w:r>
      <w:r>
        <w:rPr>
          <w:rFonts w:ascii="Times New Roman" w:hAnsi="Times New Roman"/>
          <w:sz w:val="24"/>
          <w:szCs w:val="24"/>
        </w:rPr>
        <w:br/>
        <w:t>(в 2019 г. 671 организация)), из них:</w:t>
      </w:r>
    </w:p>
    <w:p w:rsidR="007E27CB" w:rsidRDefault="008F141F">
      <w:pPr>
        <w:pStyle w:val="ConsPlusNonformat"/>
        <w:tabs>
          <w:tab w:val="left" w:pos="993"/>
        </w:tabs>
        <w:ind w:firstLine="567"/>
        <w:rPr>
          <w:rFonts w:ascii="Times New Roman" w:hAnsi="Times New Roman"/>
          <w:sz w:val="24"/>
          <w:szCs w:val="24"/>
        </w:rPr>
      </w:pPr>
      <w:r>
        <w:rPr>
          <w:rFonts w:ascii="Times New Roman" w:hAnsi="Times New Roman"/>
          <w:sz w:val="24"/>
          <w:szCs w:val="24"/>
        </w:rPr>
        <w:t xml:space="preserve">организации общего образования </w:t>
      </w:r>
      <w:r>
        <w:rPr>
          <w:sz w:val="24"/>
          <w:szCs w:val="24"/>
        </w:rPr>
        <w:t>–</w:t>
      </w:r>
      <w:r>
        <w:rPr>
          <w:rFonts w:ascii="Times New Roman" w:hAnsi="Times New Roman"/>
          <w:sz w:val="24"/>
          <w:szCs w:val="24"/>
        </w:rPr>
        <w:t xml:space="preserve"> 112 единиц (86,15 %) (из них 82 образовательные организации, курируемые Департаментом общего образования Томской области, 30 образовательных организации, курируемых Департаментом по культуре Томской области);</w:t>
      </w:r>
    </w:p>
    <w:p w:rsidR="007E27CB" w:rsidRDefault="008F141F">
      <w:pPr>
        <w:pStyle w:val="ConsPlusNonformat"/>
        <w:tabs>
          <w:tab w:val="left" w:pos="993"/>
        </w:tabs>
        <w:ind w:firstLine="567"/>
        <w:rPr>
          <w:rFonts w:ascii="Times New Roman" w:hAnsi="Times New Roman"/>
          <w:sz w:val="24"/>
          <w:szCs w:val="24"/>
        </w:rPr>
      </w:pPr>
      <w:r>
        <w:rPr>
          <w:rFonts w:ascii="Times New Roman" w:hAnsi="Times New Roman"/>
          <w:sz w:val="24"/>
          <w:szCs w:val="24"/>
        </w:rPr>
        <w:t xml:space="preserve">организации физической культуры и спорта </w:t>
      </w:r>
      <w:r>
        <w:rPr>
          <w:sz w:val="24"/>
          <w:szCs w:val="24"/>
        </w:rPr>
        <w:t>–</w:t>
      </w:r>
      <w:r>
        <w:rPr>
          <w:rFonts w:ascii="Times New Roman" w:hAnsi="Times New Roman"/>
          <w:sz w:val="24"/>
          <w:szCs w:val="24"/>
        </w:rPr>
        <w:t xml:space="preserve"> 8 единиц (6,15 %);</w:t>
      </w:r>
    </w:p>
    <w:p w:rsidR="007E27CB" w:rsidRDefault="008F141F">
      <w:pPr>
        <w:pStyle w:val="ConsPlusNonformat"/>
        <w:tabs>
          <w:tab w:val="left" w:pos="993"/>
        </w:tabs>
        <w:ind w:firstLine="567"/>
        <w:rPr>
          <w:rFonts w:ascii="Times New Roman" w:hAnsi="Times New Roman"/>
          <w:sz w:val="24"/>
          <w:szCs w:val="24"/>
        </w:rPr>
      </w:pPr>
      <w:r>
        <w:rPr>
          <w:rFonts w:ascii="Times New Roman" w:hAnsi="Times New Roman"/>
          <w:sz w:val="24"/>
          <w:szCs w:val="24"/>
        </w:rPr>
        <w:t xml:space="preserve">организации профессионального образования </w:t>
      </w:r>
      <w:r>
        <w:rPr>
          <w:sz w:val="24"/>
          <w:szCs w:val="24"/>
        </w:rPr>
        <w:t>–</w:t>
      </w:r>
      <w:r>
        <w:rPr>
          <w:rFonts w:ascii="Times New Roman" w:hAnsi="Times New Roman"/>
          <w:sz w:val="24"/>
          <w:szCs w:val="24"/>
        </w:rPr>
        <w:t xml:space="preserve"> 10 единиц (7,7%);</w:t>
      </w:r>
    </w:p>
    <w:p w:rsidR="007E27CB" w:rsidRDefault="008F141F">
      <w:pPr>
        <w:pStyle w:val="ConsPlusNonformat"/>
        <w:numPr>
          <w:ilvl w:val="0"/>
          <w:numId w:val="89"/>
        </w:numPr>
        <w:tabs>
          <w:tab w:val="left" w:pos="993"/>
        </w:tabs>
        <w:ind w:left="0" w:firstLine="567"/>
        <w:rPr>
          <w:rFonts w:ascii="Times New Roman" w:hAnsi="Times New Roman"/>
          <w:sz w:val="24"/>
          <w:szCs w:val="24"/>
          <w:u w:val="single"/>
        </w:rPr>
      </w:pPr>
      <w:r>
        <w:rPr>
          <w:rFonts w:ascii="Times New Roman" w:hAnsi="Times New Roman"/>
          <w:sz w:val="24"/>
          <w:szCs w:val="24"/>
        </w:rPr>
        <w:t>в сфере социального обслуживания всего 19 организаций (33,3 %), из них:</w:t>
      </w:r>
    </w:p>
    <w:p w:rsidR="007E27CB" w:rsidRDefault="008F141F">
      <w:pPr>
        <w:pStyle w:val="ConsPlusNonformat"/>
        <w:tabs>
          <w:tab w:val="left" w:pos="993"/>
        </w:tabs>
        <w:ind w:firstLine="567"/>
        <w:rPr>
          <w:rFonts w:ascii="Times New Roman" w:hAnsi="Times New Roman"/>
          <w:sz w:val="24"/>
          <w:szCs w:val="24"/>
        </w:rPr>
      </w:pPr>
      <w:r>
        <w:rPr>
          <w:rFonts w:ascii="Times New Roman" w:hAnsi="Times New Roman"/>
          <w:sz w:val="24"/>
          <w:szCs w:val="24"/>
        </w:rPr>
        <w:t xml:space="preserve">организации по направлению «семья и дети» </w:t>
      </w:r>
      <w:r>
        <w:rPr>
          <w:sz w:val="24"/>
          <w:szCs w:val="24"/>
        </w:rPr>
        <w:t>–</w:t>
      </w:r>
      <w:r>
        <w:rPr>
          <w:rFonts w:ascii="Times New Roman" w:hAnsi="Times New Roman"/>
          <w:sz w:val="24"/>
          <w:szCs w:val="24"/>
        </w:rPr>
        <w:t xml:space="preserve"> 9 единиц (36%);</w:t>
      </w:r>
    </w:p>
    <w:p w:rsidR="007E27CB" w:rsidRDefault="008F141F">
      <w:pPr>
        <w:pStyle w:val="ConsPlusNonformat"/>
        <w:tabs>
          <w:tab w:val="left" w:pos="993"/>
        </w:tabs>
        <w:ind w:firstLine="567"/>
        <w:rPr>
          <w:rFonts w:ascii="Times New Roman" w:hAnsi="Times New Roman"/>
          <w:sz w:val="24"/>
          <w:szCs w:val="24"/>
        </w:rPr>
      </w:pPr>
      <w:r>
        <w:rPr>
          <w:rFonts w:ascii="Times New Roman" w:hAnsi="Times New Roman"/>
          <w:sz w:val="24"/>
          <w:szCs w:val="24"/>
        </w:rPr>
        <w:t xml:space="preserve">организации социальной защиты </w:t>
      </w:r>
      <w:r>
        <w:rPr>
          <w:sz w:val="24"/>
          <w:szCs w:val="24"/>
        </w:rPr>
        <w:t>–</w:t>
      </w:r>
      <w:r>
        <w:rPr>
          <w:rFonts w:ascii="Times New Roman" w:hAnsi="Times New Roman"/>
          <w:sz w:val="24"/>
          <w:szCs w:val="24"/>
        </w:rPr>
        <w:t xml:space="preserve"> 10 единиц (31,25%);</w:t>
      </w:r>
    </w:p>
    <w:p w:rsidR="007E27CB" w:rsidRDefault="008F141F">
      <w:pPr>
        <w:pStyle w:val="ConsPlusNonformat"/>
        <w:numPr>
          <w:ilvl w:val="0"/>
          <w:numId w:val="89"/>
        </w:numPr>
        <w:tabs>
          <w:tab w:val="left" w:pos="993"/>
        </w:tabs>
        <w:ind w:left="0" w:firstLine="567"/>
        <w:rPr>
          <w:rFonts w:ascii="Times New Roman" w:hAnsi="Times New Roman"/>
          <w:sz w:val="24"/>
          <w:szCs w:val="24"/>
        </w:rPr>
      </w:pPr>
      <w:r>
        <w:rPr>
          <w:rFonts w:ascii="Times New Roman" w:hAnsi="Times New Roman"/>
          <w:sz w:val="24"/>
          <w:szCs w:val="24"/>
        </w:rPr>
        <w:t>в сфере охраны здоровья независимая оценка качества условий оказания услуг проведена в 28 организациях (21,5%);</w:t>
      </w:r>
    </w:p>
    <w:p w:rsidR="007E27CB" w:rsidRDefault="008F141F">
      <w:pPr>
        <w:pStyle w:val="ConsPlusNonformat"/>
        <w:numPr>
          <w:ilvl w:val="0"/>
          <w:numId w:val="89"/>
        </w:numPr>
        <w:tabs>
          <w:tab w:val="left" w:pos="993"/>
        </w:tabs>
        <w:ind w:left="0" w:firstLine="567"/>
        <w:rPr>
          <w:rFonts w:ascii="Times New Roman" w:hAnsi="Times New Roman"/>
          <w:sz w:val="24"/>
          <w:szCs w:val="24"/>
        </w:rPr>
      </w:pPr>
      <w:r>
        <w:rPr>
          <w:rFonts w:ascii="Times New Roman" w:hAnsi="Times New Roman"/>
          <w:sz w:val="24"/>
          <w:szCs w:val="24"/>
        </w:rPr>
        <w:t>в сфере культуры 35 организаций охвачены независимой оценкой качества условий оказания услуг (34,3%).</w:t>
      </w:r>
    </w:p>
    <w:p w:rsidR="007E27CB" w:rsidRDefault="007E27CB">
      <w:pPr>
        <w:pStyle w:val="ConsPlusNonformat"/>
        <w:ind w:firstLine="567"/>
        <w:rPr>
          <w:rFonts w:ascii="Times New Roman" w:hAnsi="Times New Roman"/>
          <w:sz w:val="24"/>
          <w:szCs w:val="24"/>
        </w:rPr>
      </w:pPr>
    </w:p>
    <w:p w:rsidR="007E27CB" w:rsidRDefault="008F141F">
      <w:pPr>
        <w:pStyle w:val="ConsPlusNonformat"/>
        <w:ind w:firstLine="567"/>
        <w:rPr>
          <w:rFonts w:ascii="Times New Roman" w:hAnsi="Times New Roman"/>
          <w:b/>
          <w:sz w:val="24"/>
          <w:szCs w:val="24"/>
        </w:rPr>
      </w:pPr>
      <w:r>
        <w:rPr>
          <w:rFonts w:ascii="Times New Roman" w:hAnsi="Times New Roman"/>
          <w:b/>
          <w:sz w:val="24"/>
          <w:szCs w:val="24"/>
        </w:rPr>
        <w:t>Планируемый охват организаций социальной сферы независимой оценкой качества в 2020 году:</w:t>
      </w:r>
    </w:p>
    <w:p w:rsidR="007E27CB" w:rsidRDefault="008F141F">
      <w:pPr>
        <w:pStyle w:val="ConsPlusNonformat"/>
        <w:numPr>
          <w:ilvl w:val="0"/>
          <w:numId w:val="89"/>
        </w:numPr>
        <w:tabs>
          <w:tab w:val="left" w:pos="993"/>
        </w:tabs>
        <w:ind w:left="0" w:firstLine="567"/>
        <w:rPr>
          <w:rFonts w:ascii="Times New Roman" w:hAnsi="Times New Roman"/>
          <w:sz w:val="24"/>
          <w:szCs w:val="24"/>
        </w:rPr>
      </w:pPr>
      <w:r>
        <w:rPr>
          <w:rFonts w:ascii="Times New Roman" w:hAnsi="Times New Roman"/>
          <w:sz w:val="24"/>
          <w:szCs w:val="24"/>
        </w:rPr>
        <w:t xml:space="preserve">в сфере образования </w:t>
      </w:r>
      <w:r>
        <w:rPr>
          <w:rFonts w:ascii="Times New Roman" w:hAnsi="Times New Roman"/>
          <w:sz w:val="24"/>
          <w:szCs w:val="24"/>
          <w:u w:val="single"/>
        </w:rPr>
        <w:t>всего 320</w:t>
      </w:r>
      <w:r>
        <w:rPr>
          <w:rFonts w:ascii="Times New Roman" w:hAnsi="Times New Roman"/>
          <w:sz w:val="24"/>
          <w:szCs w:val="24"/>
        </w:rPr>
        <w:t xml:space="preserve"> организации, из них:</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 xml:space="preserve">организации общее образования </w:t>
      </w:r>
      <w:r>
        <w:rPr>
          <w:sz w:val="24"/>
          <w:szCs w:val="24"/>
        </w:rPr>
        <w:t>–</w:t>
      </w:r>
      <w:r>
        <w:rPr>
          <w:rFonts w:ascii="Times New Roman" w:hAnsi="Times New Roman"/>
          <w:sz w:val="24"/>
          <w:szCs w:val="24"/>
        </w:rPr>
        <w:t xml:space="preserve"> 302 единицы;</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 xml:space="preserve">организации физической культуры и спорта </w:t>
      </w:r>
      <w:r>
        <w:rPr>
          <w:sz w:val="24"/>
          <w:szCs w:val="24"/>
        </w:rPr>
        <w:t xml:space="preserve">– </w:t>
      </w:r>
      <w:r>
        <w:rPr>
          <w:rFonts w:ascii="Times New Roman" w:hAnsi="Times New Roman"/>
          <w:sz w:val="24"/>
          <w:szCs w:val="24"/>
        </w:rPr>
        <w:t>8 единиц;</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 xml:space="preserve">организации профессионального образования </w:t>
      </w:r>
      <w:r>
        <w:rPr>
          <w:sz w:val="24"/>
          <w:szCs w:val="24"/>
        </w:rPr>
        <w:t>–</w:t>
      </w:r>
      <w:r>
        <w:rPr>
          <w:rFonts w:ascii="Times New Roman" w:hAnsi="Times New Roman"/>
          <w:sz w:val="24"/>
          <w:szCs w:val="24"/>
        </w:rPr>
        <w:t xml:space="preserve"> 10 единиц;</w:t>
      </w:r>
    </w:p>
    <w:p w:rsidR="007E27CB" w:rsidRDefault="008F141F">
      <w:pPr>
        <w:pStyle w:val="ConsPlusNonformat"/>
        <w:numPr>
          <w:ilvl w:val="0"/>
          <w:numId w:val="89"/>
        </w:numPr>
        <w:tabs>
          <w:tab w:val="left" w:pos="993"/>
        </w:tabs>
        <w:ind w:left="0" w:firstLine="567"/>
        <w:rPr>
          <w:rFonts w:ascii="Times New Roman" w:hAnsi="Times New Roman"/>
          <w:sz w:val="24"/>
          <w:szCs w:val="24"/>
        </w:rPr>
      </w:pPr>
      <w:r>
        <w:rPr>
          <w:rFonts w:ascii="Times New Roman" w:hAnsi="Times New Roman"/>
          <w:sz w:val="24"/>
          <w:szCs w:val="24"/>
        </w:rPr>
        <w:t xml:space="preserve">в сфере социального обслуживания всего </w:t>
      </w:r>
      <w:r>
        <w:rPr>
          <w:rFonts w:ascii="Times New Roman" w:hAnsi="Times New Roman"/>
          <w:sz w:val="24"/>
          <w:szCs w:val="24"/>
          <w:u w:val="single"/>
        </w:rPr>
        <w:t>16</w:t>
      </w:r>
      <w:r>
        <w:rPr>
          <w:rFonts w:ascii="Times New Roman" w:hAnsi="Times New Roman"/>
          <w:sz w:val="24"/>
          <w:szCs w:val="24"/>
        </w:rPr>
        <w:t xml:space="preserve"> организаций, их них:</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организации по направлению «семья и дети» – 6 единиц;</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 xml:space="preserve">организации социальной защиты </w:t>
      </w:r>
      <w:r>
        <w:rPr>
          <w:sz w:val="24"/>
          <w:szCs w:val="24"/>
        </w:rPr>
        <w:t>–</w:t>
      </w:r>
      <w:r>
        <w:rPr>
          <w:rFonts w:ascii="Times New Roman" w:hAnsi="Times New Roman"/>
          <w:sz w:val="24"/>
          <w:szCs w:val="24"/>
        </w:rPr>
        <w:t xml:space="preserve"> 10 единиц.</w:t>
      </w:r>
    </w:p>
    <w:p w:rsidR="007E27CB" w:rsidRDefault="008F141F">
      <w:pPr>
        <w:pStyle w:val="ConsPlusNonformat"/>
        <w:numPr>
          <w:ilvl w:val="0"/>
          <w:numId w:val="90"/>
        </w:numPr>
        <w:tabs>
          <w:tab w:val="left" w:pos="993"/>
        </w:tabs>
        <w:ind w:left="0" w:firstLine="567"/>
        <w:rPr>
          <w:rFonts w:ascii="Times New Roman" w:hAnsi="Times New Roman"/>
          <w:sz w:val="24"/>
          <w:szCs w:val="24"/>
        </w:rPr>
      </w:pPr>
      <w:r>
        <w:rPr>
          <w:rFonts w:ascii="Times New Roman" w:hAnsi="Times New Roman"/>
          <w:sz w:val="24"/>
          <w:szCs w:val="24"/>
        </w:rPr>
        <w:t xml:space="preserve">в сфере охраны здоровья </w:t>
      </w:r>
      <w:r>
        <w:rPr>
          <w:rFonts w:ascii="Times New Roman" w:hAnsi="Times New Roman"/>
          <w:sz w:val="24"/>
          <w:szCs w:val="24"/>
          <w:u w:val="single"/>
        </w:rPr>
        <w:t>32</w:t>
      </w:r>
      <w:r>
        <w:rPr>
          <w:rFonts w:ascii="Times New Roman" w:hAnsi="Times New Roman"/>
          <w:sz w:val="24"/>
          <w:szCs w:val="24"/>
        </w:rPr>
        <w:t xml:space="preserve"> организации;</w:t>
      </w:r>
    </w:p>
    <w:p w:rsidR="007E27CB" w:rsidRDefault="008F141F">
      <w:pPr>
        <w:pStyle w:val="ConsPlusNonformat"/>
        <w:numPr>
          <w:ilvl w:val="0"/>
          <w:numId w:val="90"/>
        </w:numPr>
        <w:tabs>
          <w:tab w:val="left" w:pos="993"/>
        </w:tabs>
        <w:ind w:left="0" w:firstLine="567"/>
        <w:rPr>
          <w:rFonts w:ascii="Times New Roman" w:hAnsi="Times New Roman"/>
          <w:sz w:val="24"/>
          <w:szCs w:val="24"/>
        </w:rPr>
      </w:pPr>
      <w:r>
        <w:rPr>
          <w:rFonts w:ascii="Times New Roman" w:hAnsi="Times New Roman"/>
          <w:sz w:val="24"/>
          <w:szCs w:val="24"/>
        </w:rPr>
        <w:t xml:space="preserve">в сфере культуры </w:t>
      </w:r>
      <w:r>
        <w:rPr>
          <w:rFonts w:ascii="Times New Roman" w:hAnsi="Times New Roman"/>
          <w:sz w:val="24"/>
          <w:szCs w:val="24"/>
          <w:u w:val="single"/>
        </w:rPr>
        <w:t>38</w:t>
      </w:r>
      <w:r>
        <w:rPr>
          <w:rFonts w:ascii="Times New Roman" w:hAnsi="Times New Roman"/>
          <w:sz w:val="24"/>
          <w:szCs w:val="24"/>
        </w:rPr>
        <w:t xml:space="preserve"> организаций.</w:t>
      </w:r>
    </w:p>
    <w:p w:rsidR="007E27CB" w:rsidRDefault="007E27CB">
      <w:pPr>
        <w:pStyle w:val="ConsPlusNonformat"/>
        <w:ind w:firstLine="567"/>
        <w:rPr>
          <w:rFonts w:ascii="Times New Roman" w:hAnsi="Times New Roman"/>
          <w:sz w:val="24"/>
          <w:szCs w:val="24"/>
        </w:rPr>
      </w:pP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 xml:space="preserve">4.2. Наименование пяти организаций социальной сферы, которые набрали </w:t>
      </w:r>
      <w:r>
        <w:rPr>
          <w:rFonts w:ascii="Times New Roman" w:hAnsi="Times New Roman"/>
          <w:b/>
          <w:sz w:val="24"/>
          <w:szCs w:val="24"/>
        </w:rPr>
        <w:t xml:space="preserve">наибольшее количество баллов </w:t>
      </w:r>
      <w:r>
        <w:rPr>
          <w:rFonts w:ascii="Times New Roman" w:hAnsi="Times New Roman"/>
          <w:sz w:val="24"/>
          <w:szCs w:val="24"/>
        </w:rPr>
        <w:t>(максимальное количество баллов - 100), по отраслям социальной сферы:</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1) в сфере образования:</w:t>
      </w:r>
    </w:p>
    <w:p w:rsidR="007E27CB" w:rsidRDefault="008F141F">
      <w:pPr>
        <w:pStyle w:val="ConsPlusNonformat"/>
        <w:numPr>
          <w:ilvl w:val="0"/>
          <w:numId w:val="91"/>
        </w:numPr>
        <w:tabs>
          <w:tab w:val="left" w:pos="993"/>
        </w:tabs>
        <w:ind w:left="0" w:firstLine="567"/>
        <w:rPr>
          <w:rFonts w:ascii="Times New Roman" w:hAnsi="Times New Roman"/>
          <w:sz w:val="24"/>
          <w:szCs w:val="24"/>
        </w:rPr>
      </w:pPr>
      <w:r>
        <w:rPr>
          <w:rFonts w:ascii="Times New Roman" w:hAnsi="Times New Roman"/>
          <w:sz w:val="24"/>
          <w:szCs w:val="24"/>
        </w:rPr>
        <w:t>МАУ ДО «Детско – юношеская спортивная школа № 16 г. Томска (100 баллов);</w:t>
      </w:r>
    </w:p>
    <w:p w:rsidR="007E27CB" w:rsidRDefault="008F141F">
      <w:pPr>
        <w:pStyle w:val="ConsPlusNonformat"/>
        <w:numPr>
          <w:ilvl w:val="0"/>
          <w:numId w:val="91"/>
        </w:numPr>
        <w:tabs>
          <w:tab w:val="left" w:pos="993"/>
        </w:tabs>
        <w:ind w:left="0" w:firstLine="567"/>
        <w:rPr>
          <w:rFonts w:ascii="Times New Roman" w:hAnsi="Times New Roman"/>
          <w:sz w:val="24"/>
          <w:szCs w:val="24"/>
        </w:rPr>
      </w:pPr>
      <w:r>
        <w:rPr>
          <w:rFonts w:ascii="Times New Roman" w:hAnsi="Times New Roman"/>
          <w:sz w:val="24"/>
          <w:szCs w:val="24"/>
        </w:rPr>
        <w:t>МАОУ ЦДО «Планирование карьеры» г. Томска (98,58 балла);</w:t>
      </w:r>
    </w:p>
    <w:p w:rsidR="007E27CB" w:rsidRDefault="008F141F">
      <w:pPr>
        <w:pStyle w:val="ConsPlusNonformat"/>
        <w:numPr>
          <w:ilvl w:val="0"/>
          <w:numId w:val="91"/>
        </w:numPr>
        <w:tabs>
          <w:tab w:val="left" w:pos="993"/>
        </w:tabs>
        <w:ind w:left="0" w:firstLine="567"/>
        <w:rPr>
          <w:rFonts w:ascii="Times New Roman" w:hAnsi="Times New Roman"/>
          <w:sz w:val="24"/>
          <w:szCs w:val="24"/>
        </w:rPr>
      </w:pPr>
      <w:r>
        <w:rPr>
          <w:rFonts w:ascii="Times New Roman" w:hAnsi="Times New Roman"/>
          <w:sz w:val="24"/>
          <w:szCs w:val="24"/>
        </w:rPr>
        <w:t>ОГБПОУ «Томский техникум социальных технологий» (79,4 балла);</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2) в сфере социального обслуживания:</w:t>
      </w:r>
    </w:p>
    <w:p w:rsidR="007E27CB" w:rsidRDefault="008F141F">
      <w:pPr>
        <w:pStyle w:val="ConsPlusNonformat"/>
        <w:numPr>
          <w:ilvl w:val="0"/>
          <w:numId w:val="92"/>
        </w:numPr>
        <w:tabs>
          <w:tab w:val="left" w:pos="993"/>
        </w:tabs>
        <w:ind w:left="0" w:firstLine="567"/>
        <w:rPr>
          <w:rFonts w:ascii="Times New Roman" w:hAnsi="Times New Roman"/>
          <w:sz w:val="24"/>
          <w:szCs w:val="24"/>
        </w:rPr>
      </w:pPr>
      <w:r>
        <w:rPr>
          <w:rFonts w:ascii="Times New Roman" w:hAnsi="Times New Roman"/>
          <w:sz w:val="24"/>
          <w:szCs w:val="24"/>
        </w:rPr>
        <w:t>ОГКУ для детей с ОВЗ «Центр помощи детям, оставшимся без попечения родителей, «Росток» (100 баллов);</w:t>
      </w:r>
    </w:p>
    <w:p w:rsidR="007E27CB" w:rsidRDefault="008F141F">
      <w:pPr>
        <w:pStyle w:val="ConsPlusNonformat"/>
        <w:numPr>
          <w:ilvl w:val="0"/>
          <w:numId w:val="92"/>
        </w:numPr>
        <w:tabs>
          <w:tab w:val="left" w:pos="993"/>
        </w:tabs>
        <w:ind w:left="0" w:firstLine="567"/>
        <w:rPr>
          <w:rFonts w:ascii="Times New Roman" w:hAnsi="Times New Roman"/>
          <w:sz w:val="24"/>
          <w:szCs w:val="24"/>
        </w:rPr>
      </w:pPr>
      <w:r>
        <w:rPr>
          <w:rFonts w:ascii="Times New Roman" w:hAnsi="Times New Roman"/>
          <w:sz w:val="24"/>
          <w:szCs w:val="24"/>
        </w:rPr>
        <w:t>ОГКУ «Центр социальной поддержки населения Чаинского района» (98,74 балла);</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3) в сфере охраны здоровья:</w:t>
      </w:r>
    </w:p>
    <w:p w:rsidR="007E27CB" w:rsidRDefault="008F141F">
      <w:pPr>
        <w:pStyle w:val="ConsPlusNonformat"/>
        <w:numPr>
          <w:ilvl w:val="0"/>
          <w:numId w:val="93"/>
        </w:numPr>
        <w:tabs>
          <w:tab w:val="left" w:pos="993"/>
        </w:tabs>
        <w:ind w:left="0" w:firstLine="567"/>
        <w:rPr>
          <w:rFonts w:ascii="Times New Roman" w:hAnsi="Times New Roman"/>
          <w:sz w:val="24"/>
          <w:szCs w:val="24"/>
        </w:rPr>
      </w:pPr>
      <w:r>
        <w:rPr>
          <w:rFonts w:ascii="Times New Roman" w:hAnsi="Times New Roman"/>
          <w:sz w:val="24"/>
          <w:szCs w:val="24"/>
        </w:rPr>
        <w:t>ОГАУЗ «Колпашевская районная больница» (99,08 балла);</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4) в сфере культуры:</w:t>
      </w:r>
    </w:p>
    <w:p w:rsidR="007E27CB" w:rsidRDefault="008F141F">
      <w:pPr>
        <w:pStyle w:val="ConsPlusNonformat"/>
        <w:numPr>
          <w:ilvl w:val="0"/>
          <w:numId w:val="94"/>
        </w:numPr>
        <w:tabs>
          <w:tab w:val="left" w:pos="993"/>
        </w:tabs>
        <w:ind w:left="0" w:firstLine="567"/>
        <w:rPr>
          <w:rFonts w:ascii="Times New Roman" w:hAnsi="Times New Roman"/>
          <w:sz w:val="24"/>
          <w:szCs w:val="24"/>
        </w:rPr>
      </w:pPr>
      <w:r>
        <w:rPr>
          <w:rFonts w:ascii="Times New Roman" w:hAnsi="Times New Roman"/>
          <w:sz w:val="24"/>
          <w:szCs w:val="24"/>
        </w:rPr>
        <w:t>ОГАУК «Томская областная детско-юношеская библиотека» (98,44 балла).</w:t>
      </w:r>
    </w:p>
    <w:p w:rsidR="007E27CB" w:rsidRDefault="007E27CB">
      <w:pPr>
        <w:pStyle w:val="ConsPlusNonformat"/>
        <w:ind w:firstLine="567"/>
        <w:rPr>
          <w:rFonts w:ascii="Times New Roman" w:hAnsi="Times New Roman"/>
          <w:sz w:val="24"/>
          <w:szCs w:val="24"/>
        </w:rPr>
      </w:pP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4.3. По результатам независимой оценки качества менее 50 баллов из 100 возможных набрали организации социальной сферы:</w:t>
      </w:r>
    </w:p>
    <w:p w:rsidR="007E27CB" w:rsidRDefault="008F141F">
      <w:pPr>
        <w:pStyle w:val="ConsPlusNonformat"/>
        <w:numPr>
          <w:ilvl w:val="0"/>
          <w:numId w:val="95"/>
        </w:numPr>
        <w:tabs>
          <w:tab w:val="left" w:pos="993"/>
        </w:tabs>
        <w:ind w:left="0" w:firstLine="567"/>
        <w:rPr>
          <w:rFonts w:ascii="Times New Roman" w:hAnsi="Times New Roman"/>
          <w:sz w:val="24"/>
          <w:szCs w:val="24"/>
        </w:rPr>
      </w:pPr>
      <w:r>
        <w:rPr>
          <w:rFonts w:ascii="Times New Roman" w:hAnsi="Times New Roman"/>
          <w:sz w:val="24"/>
          <w:szCs w:val="24"/>
        </w:rPr>
        <w:t>ОГПБУ «Томский индустриальный техникум» (45,12 балла);</w:t>
      </w:r>
    </w:p>
    <w:p w:rsidR="007E27CB" w:rsidRDefault="008F141F">
      <w:pPr>
        <w:pStyle w:val="ConsPlusNonformat"/>
        <w:numPr>
          <w:ilvl w:val="0"/>
          <w:numId w:val="95"/>
        </w:numPr>
        <w:tabs>
          <w:tab w:val="left" w:pos="993"/>
        </w:tabs>
        <w:ind w:left="0" w:firstLine="567"/>
        <w:rPr>
          <w:rFonts w:ascii="Times New Roman" w:hAnsi="Times New Roman"/>
          <w:sz w:val="24"/>
          <w:szCs w:val="24"/>
        </w:rPr>
      </w:pPr>
      <w:r>
        <w:rPr>
          <w:rFonts w:ascii="Times New Roman" w:hAnsi="Times New Roman"/>
          <w:sz w:val="24"/>
          <w:szCs w:val="24"/>
        </w:rPr>
        <w:t>МБУ ДО «Детско-юношеская спортивная школа № 7 города Томска по шахматам» (45,20 балла);</w:t>
      </w:r>
    </w:p>
    <w:p w:rsidR="007E27CB" w:rsidRDefault="008F141F">
      <w:pPr>
        <w:pStyle w:val="ConsPlusNonformat"/>
        <w:numPr>
          <w:ilvl w:val="0"/>
          <w:numId w:val="95"/>
        </w:numPr>
        <w:tabs>
          <w:tab w:val="left" w:pos="993"/>
        </w:tabs>
        <w:ind w:left="0" w:firstLine="567"/>
        <w:rPr>
          <w:rFonts w:ascii="Times New Roman" w:hAnsi="Times New Roman"/>
          <w:sz w:val="24"/>
          <w:szCs w:val="24"/>
        </w:rPr>
      </w:pPr>
      <w:r>
        <w:rPr>
          <w:rFonts w:ascii="Times New Roman" w:hAnsi="Times New Roman"/>
          <w:sz w:val="24"/>
          <w:szCs w:val="24"/>
        </w:rPr>
        <w:t>ОГБУЗ «Лоскутовская районная поликлиника» (48,38 балла).</w:t>
      </w:r>
    </w:p>
    <w:p w:rsidR="007E27CB" w:rsidRDefault="007E27CB">
      <w:pPr>
        <w:pStyle w:val="ConsPlusNonformat"/>
        <w:ind w:firstLine="567"/>
        <w:rPr>
          <w:rFonts w:ascii="Times New Roman" w:hAnsi="Times New Roman"/>
          <w:sz w:val="24"/>
          <w:szCs w:val="24"/>
        </w:rPr>
      </w:pPr>
    </w:p>
    <w:p w:rsidR="007E27CB" w:rsidRDefault="008F141F">
      <w:pPr>
        <w:pStyle w:val="ConsPlusNonformat"/>
        <w:ind w:firstLine="567"/>
        <w:rPr>
          <w:rFonts w:ascii="Times New Roman" w:hAnsi="Times New Roman"/>
          <w:b/>
          <w:sz w:val="24"/>
          <w:szCs w:val="24"/>
        </w:rPr>
      </w:pPr>
      <w:r>
        <w:rPr>
          <w:rFonts w:ascii="Times New Roman" w:hAnsi="Times New Roman"/>
          <w:b/>
          <w:sz w:val="24"/>
          <w:szCs w:val="24"/>
        </w:rPr>
        <w:t>5. Результаты независимой оценки качества условий оказания услуг организациями социальной сферы:</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5.1. Основные результаты независимой оценки качества условий оказания услуг утверждены Общественными советами:</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1) в сфере образования:</w:t>
      </w:r>
    </w:p>
    <w:p w:rsidR="007E27CB" w:rsidRDefault="008F141F">
      <w:pPr>
        <w:pStyle w:val="ConsPlusNonformat"/>
        <w:numPr>
          <w:ilvl w:val="0"/>
          <w:numId w:val="96"/>
        </w:numPr>
        <w:tabs>
          <w:tab w:val="left" w:pos="851"/>
        </w:tabs>
        <w:ind w:left="0" w:firstLine="567"/>
        <w:rPr>
          <w:rFonts w:ascii="Times New Roman" w:hAnsi="Times New Roman"/>
          <w:sz w:val="24"/>
          <w:szCs w:val="24"/>
        </w:rPr>
      </w:pPr>
      <w:r>
        <w:rPr>
          <w:rFonts w:ascii="Times New Roman" w:hAnsi="Times New Roman"/>
          <w:sz w:val="24"/>
          <w:szCs w:val="24"/>
        </w:rPr>
        <w:t xml:space="preserve">по организациям общего образования </w:t>
      </w:r>
      <w:r>
        <w:rPr>
          <w:sz w:val="24"/>
          <w:szCs w:val="24"/>
        </w:rPr>
        <w:t>–</w:t>
      </w:r>
      <w:r>
        <w:rPr>
          <w:rFonts w:ascii="Times New Roman" w:hAnsi="Times New Roman"/>
          <w:sz w:val="24"/>
          <w:szCs w:val="24"/>
        </w:rPr>
        <w:t xml:space="preserve"> протокол от 14.11.2019 № 2;</w:t>
      </w:r>
    </w:p>
    <w:p w:rsidR="007E27CB" w:rsidRDefault="008F141F">
      <w:pPr>
        <w:pStyle w:val="ConsPlusNonformat"/>
        <w:numPr>
          <w:ilvl w:val="0"/>
          <w:numId w:val="96"/>
        </w:numPr>
        <w:tabs>
          <w:tab w:val="left" w:pos="851"/>
        </w:tabs>
        <w:ind w:left="0" w:firstLine="567"/>
        <w:rPr>
          <w:rFonts w:ascii="Times New Roman" w:hAnsi="Times New Roman"/>
          <w:sz w:val="24"/>
          <w:szCs w:val="24"/>
        </w:rPr>
      </w:pPr>
      <w:r>
        <w:rPr>
          <w:rFonts w:ascii="Times New Roman" w:hAnsi="Times New Roman"/>
          <w:sz w:val="24"/>
          <w:szCs w:val="24"/>
        </w:rPr>
        <w:t xml:space="preserve">по организациям физической культуры и спорта </w:t>
      </w:r>
      <w:r>
        <w:rPr>
          <w:sz w:val="24"/>
          <w:szCs w:val="24"/>
        </w:rPr>
        <w:t xml:space="preserve">– </w:t>
      </w:r>
      <w:r>
        <w:rPr>
          <w:rFonts w:ascii="Times New Roman" w:hAnsi="Times New Roman"/>
          <w:sz w:val="24"/>
          <w:szCs w:val="24"/>
        </w:rPr>
        <w:t>протокол от 19.09.2019 № 2;</w:t>
      </w:r>
    </w:p>
    <w:p w:rsidR="007E27CB" w:rsidRDefault="008F141F">
      <w:pPr>
        <w:pStyle w:val="ConsPlusNonformat"/>
        <w:numPr>
          <w:ilvl w:val="0"/>
          <w:numId w:val="96"/>
        </w:numPr>
        <w:tabs>
          <w:tab w:val="left" w:pos="851"/>
        </w:tabs>
        <w:ind w:left="0" w:firstLine="567"/>
        <w:rPr>
          <w:rFonts w:ascii="Times New Roman" w:hAnsi="Times New Roman"/>
          <w:sz w:val="24"/>
          <w:szCs w:val="24"/>
        </w:rPr>
      </w:pPr>
      <w:r>
        <w:rPr>
          <w:rFonts w:ascii="Times New Roman" w:hAnsi="Times New Roman"/>
          <w:sz w:val="24"/>
          <w:szCs w:val="24"/>
        </w:rPr>
        <w:t xml:space="preserve">по организациям профессионального образования </w:t>
      </w:r>
      <w:r>
        <w:rPr>
          <w:sz w:val="24"/>
          <w:szCs w:val="24"/>
        </w:rPr>
        <w:t xml:space="preserve">– </w:t>
      </w:r>
      <w:r>
        <w:rPr>
          <w:rFonts w:ascii="Times New Roman" w:hAnsi="Times New Roman"/>
          <w:sz w:val="24"/>
          <w:szCs w:val="24"/>
        </w:rPr>
        <w:t>протокол 04.12.2019            № ОС 19-3.</w:t>
      </w:r>
    </w:p>
    <w:p w:rsidR="007E27CB" w:rsidRDefault="008F141F">
      <w:pPr>
        <w:pStyle w:val="ConsPlusNonformat"/>
        <w:numPr>
          <w:ilvl w:val="0"/>
          <w:numId w:val="84"/>
        </w:numPr>
        <w:tabs>
          <w:tab w:val="left" w:pos="851"/>
        </w:tabs>
        <w:ind w:left="0" w:firstLine="567"/>
        <w:rPr>
          <w:rFonts w:ascii="Times New Roman" w:hAnsi="Times New Roman"/>
          <w:sz w:val="24"/>
          <w:szCs w:val="24"/>
        </w:rPr>
      </w:pPr>
      <w:r>
        <w:rPr>
          <w:rFonts w:ascii="Times New Roman" w:hAnsi="Times New Roman"/>
          <w:sz w:val="24"/>
          <w:szCs w:val="24"/>
        </w:rPr>
        <w:t>в сфере социального обслуживания:</w:t>
      </w:r>
    </w:p>
    <w:p w:rsidR="007E27CB" w:rsidRDefault="008F141F">
      <w:pPr>
        <w:pStyle w:val="ConsPlusNonformat"/>
        <w:numPr>
          <w:ilvl w:val="0"/>
          <w:numId w:val="97"/>
        </w:numPr>
        <w:tabs>
          <w:tab w:val="left" w:pos="993"/>
        </w:tabs>
        <w:ind w:left="0" w:firstLine="567"/>
        <w:rPr>
          <w:rFonts w:ascii="Times New Roman" w:hAnsi="Times New Roman"/>
          <w:sz w:val="24"/>
          <w:szCs w:val="24"/>
        </w:rPr>
      </w:pPr>
      <w:r>
        <w:rPr>
          <w:rFonts w:ascii="Times New Roman" w:hAnsi="Times New Roman"/>
          <w:sz w:val="24"/>
          <w:szCs w:val="24"/>
        </w:rPr>
        <w:t xml:space="preserve">по организациям, оказывающим услуги по направлению «семья и дети», </w:t>
      </w:r>
      <w:r>
        <w:rPr>
          <w:sz w:val="24"/>
          <w:szCs w:val="24"/>
        </w:rPr>
        <w:t>–</w:t>
      </w:r>
      <w:r>
        <w:rPr>
          <w:rFonts w:ascii="Times New Roman" w:hAnsi="Times New Roman"/>
          <w:sz w:val="24"/>
          <w:szCs w:val="24"/>
        </w:rPr>
        <w:t xml:space="preserve"> протокол от 04.10.2019 № 4;</w:t>
      </w:r>
    </w:p>
    <w:p w:rsidR="007E27CB" w:rsidRDefault="008F141F">
      <w:pPr>
        <w:pStyle w:val="ConsPlusNonformat"/>
        <w:numPr>
          <w:ilvl w:val="0"/>
          <w:numId w:val="97"/>
        </w:numPr>
        <w:tabs>
          <w:tab w:val="left" w:pos="993"/>
        </w:tabs>
        <w:ind w:left="0" w:firstLine="567"/>
        <w:rPr>
          <w:rFonts w:ascii="Times New Roman" w:hAnsi="Times New Roman"/>
          <w:sz w:val="24"/>
          <w:szCs w:val="24"/>
        </w:rPr>
      </w:pPr>
      <w:r>
        <w:rPr>
          <w:rFonts w:ascii="Times New Roman" w:hAnsi="Times New Roman"/>
          <w:sz w:val="24"/>
          <w:szCs w:val="24"/>
        </w:rPr>
        <w:t xml:space="preserve">по организациям социальной защиты </w:t>
      </w:r>
      <w:r>
        <w:rPr>
          <w:sz w:val="24"/>
          <w:szCs w:val="24"/>
        </w:rPr>
        <w:t xml:space="preserve">– </w:t>
      </w:r>
      <w:r>
        <w:rPr>
          <w:rFonts w:ascii="Times New Roman" w:hAnsi="Times New Roman"/>
          <w:sz w:val="24"/>
          <w:szCs w:val="24"/>
        </w:rPr>
        <w:t>протокол от 03.10.2019 № 2;</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 xml:space="preserve">3) в сфере охраны здоровья </w:t>
      </w:r>
      <w:r>
        <w:rPr>
          <w:sz w:val="24"/>
          <w:szCs w:val="24"/>
        </w:rPr>
        <w:t xml:space="preserve">– </w:t>
      </w:r>
      <w:r>
        <w:rPr>
          <w:rFonts w:ascii="Times New Roman" w:hAnsi="Times New Roman"/>
          <w:sz w:val="24"/>
          <w:szCs w:val="24"/>
        </w:rPr>
        <w:t>протокол от 10.12.2019 № 10;</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 xml:space="preserve">4) в сфере культуры </w:t>
      </w:r>
      <w:r>
        <w:rPr>
          <w:sz w:val="24"/>
          <w:szCs w:val="24"/>
        </w:rPr>
        <w:t xml:space="preserve">– </w:t>
      </w:r>
      <w:r>
        <w:rPr>
          <w:rFonts w:ascii="Times New Roman" w:hAnsi="Times New Roman"/>
          <w:sz w:val="24"/>
          <w:szCs w:val="24"/>
        </w:rPr>
        <w:t>протокол от 28.11.2019 № 8.</w:t>
      </w:r>
    </w:p>
    <w:p w:rsidR="007E27CB" w:rsidRDefault="007E27CB">
      <w:pPr>
        <w:pStyle w:val="ConsPlusNonformat"/>
        <w:ind w:firstLine="567"/>
        <w:rPr>
          <w:rFonts w:ascii="Times New Roman" w:hAnsi="Times New Roman"/>
          <w:sz w:val="24"/>
          <w:szCs w:val="24"/>
        </w:rPr>
      </w:pP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5.2. Численность респондентов, участвовавших в анкетировании, социологических опросах:</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 xml:space="preserve">1) в сфере образования </w:t>
      </w:r>
      <w:r>
        <w:rPr>
          <w:sz w:val="24"/>
          <w:szCs w:val="24"/>
        </w:rPr>
        <w:t xml:space="preserve">– </w:t>
      </w:r>
      <w:r>
        <w:rPr>
          <w:rFonts w:ascii="Times New Roman" w:hAnsi="Times New Roman"/>
          <w:sz w:val="24"/>
          <w:szCs w:val="24"/>
        </w:rPr>
        <w:t>45 487 респондентов, из них:</w:t>
      </w:r>
    </w:p>
    <w:p w:rsidR="007E27CB" w:rsidRDefault="008F141F">
      <w:pPr>
        <w:pStyle w:val="ConsPlusNonformat"/>
        <w:numPr>
          <w:ilvl w:val="0"/>
          <w:numId w:val="96"/>
        </w:numPr>
        <w:tabs>
          <w:tab w:val="left" w:pos="993"/>
        </w:tabs>
        <w:ind w:left="0" w:firstLine="567"/>
        <w:rPr>
          <w:rFonts w:ascii="Times New Roman" w:hAnsi="Times New Roman"/>
          <w:sz w:val="24"/>
          <w:szCs w:val="24"/>
        </w:rPr>
      </w:pPr>
      <w:r>
        <w:rPr>
          <w:rFonts w:ascii="Times New Roman" w:hAnsi="Times New Roman"/>
          <w:sz w:val="24"/>
          <w:szCs w:val="24"/>
        </w:rPr>
        <w:t xml:space="preserve">по организациям общего образования  </w:t>
      </w:r>
      <w:r>
        <w:rPr>
          <w:sz w:val="24"/>
          <w:szCs w:val="24"/>
        </w:rPr>
        <w:t>–</w:t>
      </w:r>
      <w:r>
        <w:rPr>
          <w:rFonts w:ascii="Times New Roman" w:hAnsi="Times New Roman"/>
          <w:sz w:val="24"/>
          <w:szCs w:val="24"/>
        </w:rPr>
        <w:t xml:space="preserve"> 42 907 респондентов;</w:t>
      </w:r>
    </w:p>
    <w:p w:rsidR="007E27CB" w:rsidRDefault="008F141F">
      <w:pPr>
        <w:pStyle w:val="ConsPlusNonformat"/>
        <w:numPr>
          <w:ilvl w:val="0"/>
          <w:numId w:val="96"/>
        </w:numPr>
        <w:tabs>
          <w:tab w:val="left" w:pos="993"/>
        </w:tabs>
        <w:ind w:left="0" w:firstLine="567"/>
        <w:rPr>
          <w:rFonts w:ascii="Times New Roman" w:hAnsi="Times New Roman"/>
          <w:sz w:val="24"/>
          <w:szCs w:val="24"/>
        </w:rPr>
      </w:pPr>
      <w:r>
        <w:rPr>
          <w:rFonts w:ascii="Times New Roman" w:hAnsi="Times New Roman"/>
          <w:sz w:val="24"/>
          <w:szCs w:val="24"/>
        </w:rPr>
        <w:t xml:space="preserve">по организациям профессионального образования </w:t>
      </w:r>
      <w:r>
        <w:rPr>
          <w:sz w:val="24"/>
          <w:szCs w:val="24"/>
        </w:rPr>
        <w:t>–</w:t>
      </w:r>
      <w:r>
        <w:rPr>
          <w:rFonts w:ascii="Times New Roman" w:hAnsi="Times New Roman"/>
          <w:sz w:val="24"/>
          <w:szCs w:val="24"/>
        </w:rPr>
        <w:t xml:space="preserve"> 2 127 респондентов;</w:t>
      </w:r>
    </w:p>
    <w:p w:rsidR="007E27CB" w:rsidRDefault="008F141F">
      <w:pPr>
        <w:pStyle w:val="ConsPlusNonformat"/>
        <w:numPr>
          <w:ilvl w:val="0"/>
          <w:numId w:val="96"/>
        </w:numPr>
        <w:tabs>
          <w:tab w:val="left" w:pos="993"/>
        </w:tabs>
        <w:ind w:left="0" w:firstLine="567"/>
        <w:rPr>
          <w:rFonts w:ascii="Times New Roman" w:hAnsi="Times New Roman"/>
          <w:sz w:val="24"/>
          <w:szCs w:val="24"/>
        </w:rPr>
      </w:pPr>
      <w:r>
        <w:rPr>
          <w:rFonts w:ascii="Times New Roman" w:hAnsi="Times New Roman"/>
          <w:sz w:val="24"/>
          <w:szCs w:val="24"/>
        </w:rPr>
        <w:t xml:space="preserve">по организациям физической культуры и спорта </w:t>
      </w:r>
      <w:r>
        <w:rPr>
          <w:sz w:val="24"/>
          <w:szCs w:val="24"/>
        </w:rPr>
        <w:t>–</w:t>
      </w:r>
      <w:r>
        <w:rPr>
          <w:rFonts w:ascii="Times New Roman" w:hAnsi="Times New Roman"/>
          <w:sz w:val="24"/>
          <w:szCs w:val="24"/>
        </w:rPr>
        <w:t xml:space="preserve"> 453 респондента;</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 xml:space="preserve">2) в сфере социального обслуживания </w:t>
      </w:r>
      <w:r>
        <w:rPr>
          <w:sz w:val="24"/>
          <w:szCs w:val="24"/>
        </w:rPr>
        <w:t xml:space="preserve">– </w:t>
      </w:r>
      <w:r>
        <w:rPr>
          <w:rFonts w:ascii="Times New Roman" w:hAnsi="Times New Roman"/>
          <w:sz w:val="24"/>
          <w:szCs w:val="24"/>
        </w:rPr>
        <w:t>827 респондентов, из них:</w:t>
      </w:r>
    </w:p>
    <w:p w:rsidR="007E27CB" w:rsidRDefault="008F141F">
      <w:pPr>
        <w:pStyle w:val="ConsPlusNonformat"/>
        <w:numPr>
          <w:ilvl w:val="0"/>
          <w:numId w:val="96"/>
        </w:numPr>
        <w:tabs>
          <w:tab w:val="left" w:pos="993"/>
        </w:tabs>
        <w:ind w:left="0" w:firstLine="567"/>
        <w:rPr>
          <w:rFonts w:ascii="Times New Roman" w:hAnsi="Times New Roman"/>
          <w:sz w:val="24"/>
          <w:szCs w:val="24"/>
        </w:rPr>
      </w:pPr>
      <w:r>
        <w:rPr>
          <w:rFonts w:ascii="Times New Roman" w:hAnsi="Times New Roman"/>
          <w:sz w:val="24"/>
          <w:szCs w:val="24"/>
        </w:rPr>
        <w:t>по организации по направлению «семья и дети» - 313 респондентов;</w:t>
      </w:r>
    </w:p>
    <w:p w:rsidR="007E27CB" w:rsidRDefault="008F141F">
      <w:pPr>
        <w:pStyle w:val="ConsPlusNonformat"/>
        <w:numPr>
          <w:ilvl w:val="0"/>
          <w:numId w:val="96"/>
        </w:numPr>
        <w:tabs>
          <w:tab w:val="left" w:pos="993"/>
        </w:tabs>
        <w:ind w:left="0" w:firstLine="567"/>
        <w:rPr>
          <w:rFonts w:ascii="Times New Roman" w:hAnsi="Times New Roman"/>
          <w:sz w:val="24"/>
          <w:szCs w:val="24"/>
        </w:rPr>
      </w:pPr>
      <w:r>
        <w:rPr>
          <w:rFonts w:ascii="Times New Roman" w:hAnsi="Times New Roman"/>
          <w:sz w:val="24"/>
          <w:szCs w:val="24"/>
        </w:rPr>
        <w:t>по организациям социальной защиты – 514 респондентов;</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3) в сфере охраны здоровья  – 15 021 респондент;</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4) в сфере культуры 13 108 респондентов.</w:t>
      </w:r>
    </w:p>
    <w:p w:rsidR="007E27CB" w:rsidRDefault="007E27CB">
      <w:pPr>
        <w:pStyle w:val="ConsPlusNonformat"/>
        <w:ind w:firstLine="567"/>
        <w:rPr>
          <w:rFonts w:ascii="Times New Roman" w:hAnsi="Times New Roman"/>
          <w:sz w:val="24"/>
          <w:szCs w:val="24"/>
        </w:rPr>
      </w:pP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 xml:space="preserve">5.3. Основные </w:t>
      </w:r>
      <w:r>
        <w:rPr>
          <w:rFonts w:ascii="Times New Roman" w:hAnsi="Times New Roman"/>
          <w:b/>
          <w:sz w:val="24"/>
          <w:szCs w:val="24"/>
        </w:rPr>
        <w:t>недостатки</w:t>
      </w:r>
      <w:r>
        <w:rPr>
          <w:rFonts w:ascii="Times New Roman" w:hAnsi="Times New Roman"/>
          <w:sz w:val="24"/>
          <w:szCs w:val="24"/>
        </w:rPr>
        <w:t>, выявленные в ходе проведения независимой оценки качества условий оказания услуг:</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1) в ряде учреждений и на прилегающей к ним территории отсутствуют условия, обеспечивающие доступность получения услуг для инвалидов: отсутствуют специально оборудованные санитарно-гигиенические помещения, сменные кресла-коляски, выделенные стоянки для автотранспортных средств инвалидов. Входные группы не оборудованы пандусами (подъемными платформами). Отсутствует дублирование надписей, знаков и иной текстовой и графической информации знаками, выполненными рельефно-точечным шрифтом Брайля, поручни, расширенные дверные проемы;</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2) на официальном сайте ряда учреждений отсутствует информация о количестве свободных мест для приема получателей социальных услуг. Отсутствуют раздел «Часто задаваемые вопросы» и электронный сервис «Обратной связи» (в виде анкеты для опроса граждан), а также не отработана удобная система навигации и корректного отображения содержания;</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3) на информационном стенде ряда учреждений частично отсутствует информация о финансово-хозяйственной деятельности организации и ее лицензии на осуществление деятельности, об объеме предоставляемых социальных услуг, о наличии предписаний органов, осуществляющих государственный контроль в сфере социального обслуживания, отчетов об исполнении указанных предписаний, о проведении независимой оценки качества оказания услуг организациями социального обслуживания;</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4) в сфере охраны здоровья выявлены следующие недостатки: отсутствует доступ к питьевой воде в поликлинике, большая длительность ожидания записи на прием к врачу и исследованиям. Отмечается недостаточное количество свободных мест для ожидания в поликлинике, а также недостаточная вежливость и доброжелательность работников медицинских организаций.</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 xml:space="preserve">Проведенная независимая оценка качества условий оказания услуг организациями культуры Томской области показала, что среди основных проблем качества условий оказания услуг организациями культуры следует отметить следующие: </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1. Оформление информации о деятельности организации, размещенной на официальном сайте организации в сети «Интернет», не в соответствии с порядком размещения информации на официальном сайте поставщика услуг в сети «Интернет» согласно требованиям приказа Министерства культуры Российской Федерации от 20 февраля 2015 г. № 277 «Об утверждении требований к содержанию и форме предоставления информации о деятельности организаций культуры, размещенной на официальных сайтах уполномоченного федерального органа исполнительной власти, органов государственной власти субъектов Российской Федерации, органов местного самоуправления и организаций культуры в сети «Интернет».</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2. Несоответствующее оформление информации о деятельности организации культуры, размещенной на информационных стендах в помещениях организаций.</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3. Несвоевременное обновление информации на сайтах организаций культуры.</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4. Отсутствие на официальных сайтах организации культуры информации о части дистанционных способов взаимодействия с получателями услуг.</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5. Недостаточное обеспечение в организации условий доступности, позволяющих инвалидам получать услуги наравне с другими.</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6. Недостаточное оборудование помещений организаций культуры и прилегающих к ним территорий с учетом доступности для инвалидов.</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7. Отсутствие возможности приобретения электронных билетов в ряд учреждений.</w:t>
      </w:r>
    </w:p>
    <w:p w:rsidR="007E27CB" w:rsidRDefault="007E27CB">
      <w:pPr>
        <w:pStyle w:val="ConsPlusNonformat"/>
        <w:ind w:firstLine="567"/>
        <w:rPr>
          <w:rFonts w:ascii="Times New Roman" w:hAnsi="Times New Roman"/>
          <w:sz w:val="24"/>
          <w:szCs w:val="24"/>
        </w:rPr>
      </w:pP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 xml:space="preserve">5.4. </w:t>
      </w:r>
      <w:r>
        <w:rPr>
          <w:rFonts w:ascii="Times New Roman" w:hAnsi="Times New Roman"/>
          <w:b/>
          <w:sz w:val="24"/>
          <w:szCs w:val="24"/>
        </w:rPr>
        <w:t>Предложения</w:t>
      </w:r>
      <w:r>
        <w:rPr>
          <w:rFonts w:ascii="Times New Roman" w:hAnsi="Times New Roman"/>
          <w:sz w:val="24"/>
          <w:szCs w:val="24"/>
        </w:rPr>
        <w:t xml:space="preserve"> общественных советов по улучшению деятельности организаций социальной сферы:</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В части сферы образования:</w:t>
      </w:r>
    </w:p>
    <w:p w:rsidR="007E27CB" w:rsidRDefault="008F141F">
      <w:pPr>
        <w:pStyle w:val="ConsPlusNonformat"/>
        <w:numPr>
          <w:ilvl w:val="0"/>
          <w:numId w:val="77"/>
        </w:numPr>
        <w:tabs>
          <w:tab w:val="left" w:pos="993"/>
        </w:tabs>
        <w:autoSpaceDE w:val="0"/>
        <w:autoSpaceDN w:val="0"/>
        <w:ind w:left="0" w:firstLine="567"/>
        <w:rPr>
          <w:rFonts w:ascii="Times New Roman" w:hAnsi="Times New Roman"/>
          <w:sz w:val="24"/>
          <w:szCs w:val="24"/>
        </w:rPr>
      </w:pPr>
      <w:r>
        <w:rPr>
          <w:rFonts w:ascii="Times New Roman" w:hAnsi="Times New Roman"/>
          <w:sz w:val="24"/>
          <w:szCs w:val="24"/>
        </w:rPr>
        <w:t>образовательным организациям предстоит направить свои усилия на насыщение информационного поля содержательными материалами;</w:t>
      </w:r>
    </w:p>
    <w:p w:rsidR="007E27CB" w:rsidRDefault="008F141F">
      <w:pPr>
        <w:pStyle w:val="ConsPlusNonformat"/>
        <w:tabs>
          <w:tab w:val="left" w:pos="993"/>
        </w:tabs>
        <w:ind w:firstLine="567"/>
        <w:rPr>
          <w:rFonts w:ascii="Times New Roman" w:hAnsi="Times New Roman"/>
          <w:sz w:val="24"/>
          <w:szCs w:val="24"/>
        </w:rPr>
      </w:pPr>
      <w:r>
        <w:rPr>
          <w:rFonts w:ascii="Times New Roman" w:hAnsi="Times New Roman"/>
          <w:sz w:val="24"/>
          <w:szCs w:val="24"/>
        </w:rPr>
        <w:t>2)</w:t>
      </w:r>
      <w:r>
        <w:rPr>
          <w:rFonts w:ascii="Times New Roman" w:hAnsi="Times New Roman"/>
          <w:sz w:val="24"/>
          <w:szCs w:val="24"/>
        </w:rPr>
        <w:tab/>
        <w:t>актуализировать содержание сайта в соответствии с нормативными требованиями к периодичности обновления информации на официальном сайте, информационными запросами родителей (законных представителей), обучающихся;</w:t>
      </w:r>
    </w:p>
    <w:p w:rsidR="007E27CB" w:rsidRDefault="008F141F">
      <w:pPr>
        <w:pStyle w:val="ConsPlusNonformat"/>
        <w:tabs>
          <w:tab w:val="left" w:pos="993"/>
        </w:tabs>
        <w:ind w:firstLine="567"/>
        <w:rPr>
          <w:rFonts w:ascii="Times New Roman" w:hAnsi="Times New Roman"/>
          <w:sz w:val="24"/>
          <w:szCs w:val="24"/>
        </w:rPr>
      </w:pPr>
      <w:r>
        <w:rPr>
          <w:rFonts w:ascii="Times New Roman" w:hAnsi="Times New Roman"/>
          <w:sz w:val="24"/>
          <w:szCs w:val="24"/>
        </w:rPr>
        <w:t>3)</w:t>
      </w:r>
      <w:r>
        <w:rPr>
          <w:rFonts w:ascii="Times New Roman" w:hAnsi="Times New Roman"/>
          <w:sz w:val="24"/>
          <w:szCs w:val="24"/>
        </w:rPr>
        <w:tab/>
        <w:t xml:space="preserve">обеспечить оперативную и эффективную обратную связь по электронной почте; обеспечить контроль рассмотрения предложений об улучшении работы, внесенных через сайт, электронную почту, опросы;  </w:t>
      </w:r>
    </w:p>
    <w:p w:rsidR="007E27CB" w:rsidRDefault="008F141F">
      <w:pPr>
        <w:pStyle w:val="ConsPlusNonformat"/>
        <w:tabs>
          <w:tab w:val="left" w:pos="993"/>
        </w:tabs>
        <w:ind w:firstLine="567"/>
        <w:rPr>
          <w:rFonts w:ascii="Times New Roman" w:hAnsi="Times New Roman"/>
          <w:sz w:val="24"/>
          <w:szCs w:val="24"/>
        </w:rPr>
      </w:pPr>
      <w:r>
        <w:rPr>
          <w:rFonts w:ascii="Times New Roman" w:hAnsi="Times New Roman"/>
          <w:sz w:val="24"/>
          <w:szCs w:val="24"/>
        </w:rPr>
        <w:t>4)</w:t>
      </w:r>
      <w:r>
        <w:rPr>
          <w:rFonts w:ascii="Times New Roman" w:hAnsi="Times New Roman"/>
          <w:sz w:val="24"/>
          <w:szCs w:val="24"/>
        </w:rPr>
        <w:tab/>
        <w:t>систематически обновлять и корректировать дополнительные образовательные программы, разрабатывать программы по не охваченным направлениям дополнительного образования, в том числе для разных категорий учащихся;</w:t>
      </w:r>
    </w:p>
    <w:p w:rsidR="007E27CB" w:rsidRDefault="008F141F">
      <w:pPr>
        <w:pStyle w:val="ConsPlusNonformat"/>
        <w:tabs>
          <w:tab w:val="left" w:pos="993"/>
        </w:tabs>
        <w:ind w:firstLine="567"/>
        <w:rPr>
          <w:rFonts w:ascii="Times New Roman" w:hAnsi="Times New Roman"/>
          <w:sz w:val="24"/>
          <w:szCs w:val="24"/>
        </w:rPr>
      </w:pPr>
      <w:r>
        <w:rPr>
          <w:rFonts w:ascii="Times New Roman" w:hAnsi="Times New Roman"/>
          <w:sz w:val="24"/>
          <w:szCs w:val="24"/>
        </w:rPr>
        <w:t>5)</w:t>
      </w:r>
      <w:r>
        <w:rPr>
          <w:rFonts w:ascii="Times New Roman" w:hAnsi="Times New Roman"/>
          <w:sz w:val="24"/>
          <w:szCs w:val="24"/>
        </w:rPr>
        <w:tab/>
        <w:t>особо пристальное внимание следует уделить оборудованию помещений образовательных организаций и прилегающих к ним территорий с учетом доступности для инвалидов и обеспечению условий доступности, позволяющих инвалидам получать услуги наравне с другими.</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В части сферы здравоохранения:</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1) для повышения открытости и доступности информации об организации социального обслуживания рекомендовано ряду организаций актуализировать содержание сайта в соответствии с нормативными требованиями к периодичности обновления информации на официальном сайте, информационными запросами:</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 xml:space="preserve"> о численности получателей социальных услуг по формам социального обслуживания и видам социальных услуг за счет бюджетных ассигнований бюджета субъекта Российской Федерации и в соответствии с договорами за счет средств физических лиц и (или) юридических лиц;</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об объеме предоставляемых социальных услуг за счет бюджетных ассигнований бюджета субъекта Российской Федерации и в соответствии с договорами за счет средств физических лиц и (или) юридических лиц;</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о материально-техническом обеспечении предоставления социальных услуг (наличие оборудованных помещений для предоставления социальных услуг, в том числе библиотек, объектов спорта, наличие средств обучения и воспитания, условия питания и обеспечение охраны здоровья получателей социальных услуг, доступ к информационным системам в сфере социального обслуживания и сети «Интернет»).</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Также рекомендовано на официальном сайте добавить раздел «Часто задаваемые вопросы» и разместить на информационных стендах учреждений  недостающую информацию;</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2) для повышения комфортности условий предоставления социальных услуг и доступности их получения необходимо предусмотреть наличие в организациях условия, позволяющего инвалидам получать услуги наравне с другими, а именно: дублирование для инвалидов по слуху и зрению звуковой и зрительной информации, дублирование надписей, знаков и иной текстовой и графической информации знаками, выполненными рельефно-точечным шрифтом Брайля. Кроме того, оборудовать помещения организаций и прилегающую территорию входных групп пандусами (подъемными платформами), выделить стоянки для инвалидов и др;</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3) рекомендовано принять комплексные меры по сокращению времени ожидания записи на прием к врачу и по увеличению количества мест для ожидания в поликлинике и повышению комфортности ожидания услуг;</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4) необходимо провести работу с персоналом для обеспечения доброжелательного и вежливого отношения к пациентам;</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5) в сфере охраны здоровья рекомендовано предусмотреть доступ к питьевой воде в поликлинических подразделениях, в том числе установить кулеры.</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В части сферы культуры:</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1) оборудовать помещения организаций культуры и прилегающих к ним территорий с учетом доступности для инвалидов, в частности:</w:t>
      </w:r>
    </w:p>
    <w:p w:rsidR="007E27CB" w:rsidRDefault="008F141F">
      <w:pPr>
        <w:pStyle w:val="ConsPlusNonformat"/>
        <w:numPr>
          <w:ilvl w:val="0"/>
          <w:numId w:val="98"/>
        </w:numPr>
        <w:tabs>
          <w:tab w:val="left" w:pos="993"/>
        </w:tabs>
        <w:ind w:left="0" w:firstLine="567"/>
        <w:rPr>
          <w:rFonts w:ascii="Times New Roman" w:hAnsi="Times New Roman"/>
          <w:sz w:val="24"/>
          <w:szCs w:val="24"/>
        </w:rPr>
      </w:pPr>
      <w:r>
        <w:rPr>
          <w:rFonts w:ascii="Times New Roman" w:hAnsi="Times New Roman"/>
          <w:sz w:val="24"/>
          <w:szCs w:val="24"/>
        </w:rPr>
        <w:t>входные группы пандусами (подъемными платформами);</w:t>
      </w:r>
    </w:p>
    <w:p w:rsidR="007E27CB" w:rsidRDefault="008F141F">
      <w:pPr>
        <w:pStyle w:val="ConsPlusNonformat"/>
        <w:numPr>
          <w:ilvl w:val="0"/>
          <w:numId w:val="98"/>
        </w:numPr>
        <w:tabs>
          <w:tab w:val="left" w:pos="993"/>
        </w:tabs>
        <w:ind w:left="0" w:firstLine="567"/>
        <w:rPr>
          <w:rFonts w:ascii="Times New Roman" w:hAnsi="Times New Roman"/>
          <w:sz w:val="24"/>
          <w:szCs w:val="24"/>
        </w:rPr>
      </w:pPr>
      <w:r>
        <w:rPr>
          <w:rFonts w:ascii="Times New Roman" w:hAnsi="Times New Roman"/>
          <w:sz w:val="24"/>
          <w:szCs w:val="24"/>
        </w:rPr>
        <w:t>адаптированными лифтами, поручнями, расширенными дверными проемами;</w:t>
      </w:r>
    </w:p>
    <w:p w:rsidR="007E27CB" w:rsidRDefault="008F141F">
      <w:pPr>
        <w:pStyle w:val="ConsPlusNonformat"/>
        <w:numPr>
          <w:ilvl w:val="0"/>
          <w:numId w:val="98"/>
        </w:numPr>
        <w:tabs>
          <w:tab w:val="left" w:pos="993"/>
        </w:tabs>
        <w:ind w:left="0" w:firstLine="567"/>
        <w:rPr>
          <w:rFonts w:ascii="Times New Roman" w:hAnsi="Times New Roman"/>
          <w:sz w:val="24"/>
          <w:szCs w:val="24"/>
        </w:rPr>
      </w:pPr>
      <w:r>
        <w:rPr>
          <w:rFonts w:ascii="Times New Roman" w:hAnsi="Times New Roman"/>
          <w:sz w:val="24"/>
          <w:szCs w:val="24"/>
        </w:rPr>
        <w:t>специальными креслами-колясками;</w:t>
      </w:r>
    </w:p>
    <w:p w:rsidR="007E27CB" w:rsidRDefault="008F141F">
      <w:pPr>
        <w:pStyle w:val="ConsPlusNonformat"/>
        <w:numPr>
          <w:ilvl w:val="0"/>
          <w:numId w:val="98"/>
        </w:numPr>
        <w:tabs>
          <w:tab w:val="left" w:pos="993"/>
        </w:tabs>
        <w:ind w:left="0" w:firstLine="567"/>
        <w:rPr>
          <w:rFonts w:ascii="Times New Roman" w:hAnsi="Times New Roman"/>
          <w:sz w:val="24"/>
          <w:szCs w:val="24"/>
        </w:rPr>
      </w:pPr>
      <w:r>
        <w:rPr>
          <w:rFonts w:ascii="Times New Roman" w:hAnsi="Times New Roman"/>
          <w:sz w:val="24"/>
          <w:szCs w:val="24"/>
        </w:rPr>
        <w:t>специально оборудованными санитарно-гигиеническими помещениями в организации;</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2) обеспечить в организации условия доступности, позволяющие инвалидам получать услуги наравне с другими, в частности:</w:t>
      </w:r>
    </w:p>
    <w:p w:rsidR="007E27CB" w:rsidRDefault="008F141F">
      <w:pPr>
        <w:pStyle w:val="ConsPlusNonformat"/>
        <w:numPr>
          <w:ilvl w:val="0"/>
          <w:numId w:val="99"/>
        </w:numPr>
        <w:tabs>
          <w:tab w:val="left" w:pos="993"/>
        </w:tabs>
        <w:ind w:left="0" w:firstLine="567"/>
        <w:rPr>
          <w:rFonts w:ascii="Times New Roman" w:hAnsi="Times New Roman"/>
          <w:sz w:val="24"/>
          <w:szCs w:val="24"/>
        </w:rPr>
      </w:pPr>
      <w:r>
        <w:rPr>
          <w:rFonts w:ascii="Times New Roman" w:hAnsi="Times New Roman"/>
          <w:sz w:val="24"/>
          <w:szCs w:val="24"/>
        </w:rPr>
        <w:t>дублировать для инвалидов по слуху и зрению звуковую и зрительную информацию;</w:t>
      </w:r>
    </w:p>
    <w:p w:rsidR="007E27CB" w:rsidRDefault="008F141F">
      <w:pPr>
        <w:pStyle w:val="ConsPlusNonformat"/>
        <w:numPr>
          <w:ilvl w:val="0"/>
          <w:numId w:val="99"/>
        </w:numPr>
        <w:tabs>
          <w:tab w:val="left" w:pos="993"/>
        </w:tabs>
        <w:ind w:left="0" w:firstLine="567"/>
        <w:rPr>
          <w:rFonts w:ascii="Times New Roman" w:hAnsi="Times New Roman"/>
          <w:sz w:val="24"/>
          <w:szCs w:val="24"/>
        </w:rPr>
      </w:pPr>
      <w:r>
        <w:rPr>
          <w:rFonts w:ascii="Times New Roman" w:hAnsi="Times New Roman"/>
          <w:sz w:val="24"/>
          <w:szCs w:val="24"/>
        </w:rPr>
        <w:t>дублировать надписи знаками, выполненными рельефно-точечным шрифтом Брайля;</w:t>
      </w:r>
    </w:p>
    <w:p w:rsidR="007E27CB" w:rsidRDefault="008F141F">
      <w:pPr>
        <w:pStyle w:val="ConsPlusNonformat"/>
        <w:numPr>
          <w:ilvl w:val="0"/>
          <w:numId w:val="99"/>
        </w:numPr>
        <w:tabs>
          <w:tab w:val="left" w:pos="993"/>
        </w:tabs>
        <w:ind w:left="0" w:firstLine="567"/>
        <w:rPr>
          <w:rFonts w:ascii="Times New Roman" w:hAnsi="Times New Roman"/>
          <w:sz w:val="24"/>
          <w:szCs w:val="24"/>
        </w:rPr>
      </w:pPr>
      <w:r>
        <w:rPr>
          <w:rFonts w:ascii="Times New Roman" w:hAnsi="Times New Roman"/>
          <w:sz w:val="24"/>
          <w:szCs w:val="24"/>
        </w:rPr>
        <w:t>предоставить инвалидам по слуху (слуху и зрению) услуги сурдопереводчика (тифлосурдопереводчика);</w:t>
      </w:r>
    </w:p>
    <w:p w:rsidR="007E27CB" w:rsidRDefault="008F141F">
      <w:pPr>
        <w:pStyle w:val="ConsPlusNonformat"/>
        <w:numPr>
          <w:ilvl w:val="0"/>
          <w:numId w:val="99"/>
        </w:numPr>
        <w:tabs>
          <w:tab w:val="left" w:pos="993"/>
        </w:tabs>
        <w:ind w:left="0" w:firstLine="567"/>
        <w:rPr>
          <w:rFonts w:ascii="Times New Roman" w:hAnsi="Times New Roman"/>
          <w:sz w:val="24"/>
          <w:szCs w:val="24"/>
        </w:rPr>
      </w:pPr>
      <w:r>
        <w:rPr>
          <w:rFonts w:ascii="Times New Roman" w:hAnsi="Times New Roman"/>
          <w:sz w:val="24"/>
          <w:szCs w:val="24"/>
        </w:rPr>
        <w:t>обеспечить инвалидов по зрению альтернативной версией официального сайта организации  в сети «Интернет» для инвалидов по зрению;</w:t>
      </w:r>
    </w:p>
    <w:p w:rsidR="007E27CB" w:rsidRDefault="008F141F">
      <w:pPr>
        <w:pStyle w:val="ConsPlusNonformat"/>
        <w:numPr>
          <w:ilvl w:val="0"/>
          <w:numId w:val="99"/>
        </w:numPr>
        <w:tabs>
          <w:tab w:val="left" w:pos="993"/>
        </w:tabs>
        <w:ind w:left="0" w:firstLine="567"/>
        <w:rPr>
          <w:rFonts w:ascii="Times New Roman" w:hAnsi="Times New Roman"/>
          <w:sz w:val="24"/>
          <w:szCs w:val="24"/>
        </w:rPr>
      </w:pPr>
      <w:r>
        <w:rPr>
          <w:rFonts w:ascii="Times New Roman" w:hAnsi="Times New Roman"/>
          <w:sz w:val="24"/>
          <w:szCs w:val="24"/>
        </w:rPr>
        <w:t>обеспечить сопровождение инвалидов в помещениях организаций, оказываемой работниками организации культуры, прошедшими необходимое обучение (инструктирование);</w:t>
      </w:r>
    </w:p>
    <w:p w:rsidR="007E27CB" w:rsidRDefault="008F141F">
      <w:pPr>
        <w:pStyle w:val="ConsPlusNonformat"/>
        <w:numPr>
          <w:ilvl w:val="0"/>
          <w:numId w:val="99"/>
        </w:numPr>
        <w:tabs>
          <w:tab w:val="left" w:pos="993"/>
        </w:tabs>
        <w:ind w:left="0" w:firstLine="567"/>
        <w:rPr>
          <w:rFonts w:ascii="Times New Roman" w:hAnsi="Times New Roman"/>
          <w:sz w:val="24"/>
          <w:szCs w:val="24"/>
        </w:rPr>
      </w:pPr>
      <w:r>
        <w:rPr>
          <w:rFonts w:ascii="Times New Roman" w:hAnsi="Times New Roman"/>
          <w:sz w:val="24"/>
          <w:szCs w:val="24"/>
        </w:rPr>
        <w:t>возможность предоставления услуг в дистанционном режиме или на дому.</w:t>
      </w:r>
      <w:r>
        <w:rPr>
          <w:rFonts w:ascii="Times New Roman" w:hAnsi="Times New Roman"/>
          <w:sz w:val="24"/>
          <w:szCs w:val="24"/>
        </w:rPr>
        <w:tab/>
      </w:r>
    </w:p>
    <w:p w:rsidR="007E27CB" w:rsidRDefault="007E27CB">
      <w:pPr>
        <w:pStyle w:val="ConsPlusNonformat"/>
        <w:ind w:firstLine="567"/>
        <w:rPr>
          <w:rFonts w:ascii="Times New Roman" w:hAnsi="Times New Roman"/>
          <w:b/>
          <w:sz w:val="24"/>
          <w:szCs w:val="24"/>
        </w:rPr>
      </w:pPr>
    </w:p>
    <w:p w:rsidR="007E27CB" w:rsidRDefault="008F141F">
      <w:pPr>
        <w:pStyle w:val="ConsPlusNonformat"/>
        <w:ind w:firstLine="567"/>
        <w:rPr>
          <w:rFonts w:ascii="Times New Roman" w:hAnsi="Times New Roman"/>
          <w:b/>
          <w:sz w:val="24"/>
          <w:szCs w:val="24"/>
        </w:rPr>
      </w:pPr>
      <w:r>
        <w:rPr>
          <w:rFonts w:ascii="Times New Roman" w:hAnsi="Times New Roman"/>
          <w:b/>
          <w:sz w:val="24"/>
          <w:szCs w:val="24"/>
        </w:rPr>
        <w:t xml:space="preserve">6. Меры по совершенствованию деятельности организаций социальной сферы, принимаемые по результатам независимой оценки качества </w:t>
      </w:r>
      <w:r>
        <w:rPr>
          <w:rFonts w:ascii="Times New Roman" w:hAnsi="Times New Roman"/>
          <w:sz w:val="24"/>
          <w:szCs w:val="24"/>
        </w:rPr>
        <w:t>условий оказания услуг</w:t>
      </w:r>
      <w:r>
        <w:rPr>
          <w:rFonts w:ascii="Times New Roman" w:hAnsi="Times New Roman"/>
          <w:b/>
          <w:sz w:val="24"/>
          <w:szCs w:val="24"/>
        </w:rPr>
        <w:t>.</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6.1. Информация об утверждении планов по устранению недостатков, выявленных в ходе независимой оценки качества условий оказания услуг, а также об иных проведенных мероприятиях.</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 xml:space="preserve">В </w:t>
      </w:r>
      <w:r>
        <w:rPr>
          <w:rFonts w:ascii="Times New Roman" w:hAnsi="Times New Roman"/>
          <w:sz w:val="24"/>
          <w:szCs w:val="24"/>
          <w:lang w:val="en-US"/>
        </w:rPr>
        <w:t>I</w:t>
      </w:r>
      <w:r>
        <w:rPr>
          <w:rFonts w:ascii="Times New Roman" w:hAnsi="Times New Roman"/>
          <w:sz w:val="24"/>
          <w:szCs w:val="24"/>
        </w:rPr>
        <w:t xml:space="preserve"> квартале 2020 года разработаны планы по устранению недостатков, выявленных в ходе независимой оценки качества условий оказания услуг за 2019 год.</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6.2. Организация контроля за выполнением утвержденных планов по устранению недостатков, выявленных в ходе независимой оценки качества условий оказания услуг, и принятых решений:</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 xml:space="preserve">По завершении проведения независимой оценки за 2019 год общественными советами при исполнительном органе государственной власти Томской области  рассмотрены результаты независимой оценки качества. По итогам рассмотрения составлены предложения об улучшении качества деятельности организаций. </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 xml:space="preserve">Результаты независимой оценки качества и предложения общественных советов направлены руководителям организаций, в отношении которых проводилась независимая оценка качества условий оказания услуг, для составления планов по устранению недостатков. </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Руководители организаций, в отношении которых проводилась независимая оценка качества условий оказания услуг, и органы исполнительной власти Томской области в социальной сфере будут осуществлять контроль за исполнением планов по устранению недостатков, выявленных в ходе независимой оценки качества условий оказания услуг за 2019 год.</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6.3. Принятые поощрительные меры и дисциплинарные взыскания в отношении руководителей соответствующих организаций или других уполномоченных лиц, дополнительные меры по улучшению качества условий оказания услуг:</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В качестве поощрений, принятых по итогам независимой оценки качества условий оказания услуг, руководителям отдельных организаций вручаются благодарственные письма, а также сертификаты о вхождении в число лидеров рейтинга.</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В сфере образования для организаций, набравших наибольшее количество баллов,</w:t>
      </w:r>
      <w:r>
        <w:rPr>
          <w:rFonts w:ascii="Times New Roman" w:hAnsi="Times New Roman"/>
          <w:sz w:val="24"/>
          <w:szCs w:val="24"/>
          <w:u w:val="single"/>
        </w:rPr>
        <w:t xml:space="preserve"> </w:t>
      </w:r>
      <w:r>
        <w:rPr>
          <w:rFonts w:ascii="Times New Roman" w:hAnsi="Times New Roman"/>
          <w:sz w:val="24"/>
          <w:szCs w:val="24"/>
        </w:rPr>
        <w:t>предусмотрено участие специалистов, педагогических работников, иных сотрудников на стажировочных площадках ведущих организаций с целью обмена опытом, трансляции лучших практик в свою работу.</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Руководителям организаций, набравших наименьшее количество баллов, выдаются рекомендации по устранению недостатков.</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 xml:space="preserve">В приказ Департамента по культуре и туризму Томской области от 31.03.2015 </w:t>
      </w:r>
      <w:r>
        <w:rPr>
          <w:rFonts w:ascii="Times New Roman" w:hAnsi="Times New Roman"/>
          <w:sz w:val="24"/>
          <w:szCs w:val="24"/>
        </w:rPr>
        <w:br/>
        <w:t>№ 104/01–09 «Об утверждении документов, регулирующих оплату труда руководителей, их заместителей и главных бухгалтеров областных государственных автономных и казенных учреждений подведомственных Департаменту» внесены показатели, связанные с мотивацией руководителей учреждений, культуры по выполнению планов по устранению недостатков.</w:t>
      </w:r>
    </w:p>
    <w:p w:rsidR="007E27CB" w:rsidRDefault="007E27CB">
      <w:pPr>
        <w:pStyle w:val="ConsPlusNonformat"/>
        <w:ind w:firstLine="567"/>
        <w:rPr>
          <w:rFonts w:ascii="Times New Roman" w:hAnsi="Times New Roman"/>
          <w:b/>
          <w:sz w:val="24"/>
          <w:szCs w:val="24"/>
        </w:rPr>
      </w:pPr>
    </w:p>
    <w:p w:rsidR="007E27CB" w:rsidRDefault="008F141F">
      <w:pPr>
        <w:pStyle w:val="ConsPlusNonformat"/>
        <w:ind w:firstLine="567"/>
        <w:rPr>
          <w:rFonts w:ascii="Times New Roman" w:hAnsi="Times New Roman"/>
          <w:b/>
          <w:sz w:val="24"/>
          <w:szCs w:val="24"/>
        </w:rPr>
      </w:pPr>
      <w:r>
        <w:rPr>
          <w:rFonts w:ascii="Times New Roman" w:hAnsi="Times New Roman"/>
          <w:b/>
          <w:sz w:val="24"/>
          <w:szCs w:val="24"/>
        </w:rPr>
        <w:t>7. Информационно-разъяснительная работа среди населения</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7.1. Сведения о мероприятиях по информированию граждан о возможности их участия в проведении независимой оценки качества условий оказания услуг:</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На официальном сайте bus.gov.ru исполнительными органами государственной власти Томской области в социальной сфере (далее – уполномоченный орган) размещается информация в составе и в порядке, установленными приказом Министерства финансов Российской Федерации от 07.05.2019 № 66н «О составе информации о результатах независимой оценки качества условий осуществления образовательной деятельности организациями, осуществляющими образовательную деятельность, условий оказания услуг организациями культуры, социального обслуживания, медицинскими организациями, федеральными учреждениями медико-социальной экспертизы, размещаемой на официальном сайте для размещения информации о государственных и муниципальных учреждениях в информационно-телекоммуникационной сети «Интернет», включая единые требования к такой информации, и порядке ее размещения, а также требования к качеству, удобству и простоте поиска указанной информации».</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На официальных сайтах организаций, муниципальных органов управления, на сайтах уполномоченных органов, в печатных средствах массовой информации в течение года публиковались информационные сообщения о проведении независимой оценки в 2019 году. На встречах с представителями общественных организаций доводилась информация, касающаяся вопросов независимой оценки качества условий оказания услуг, в т.ч. о возможности участия в проведении независимой оценки качества условий оказания услуг.</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7.2. Сведения о популяризации официального сайта для размещения информации о государственных и муниципальных учреждениях в информационно-телекоммуникационной сети «Интернет», на котором размещаются информация о результатах независимой оценки качества условий оказания услуг, а также отзывы граждан о качестве услуг, предоставляемых организациями социальной сферы:</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Для популяризации сайта bus.gov.ru и увеличения посещаемости сайта в 2019 году были приняты следующие меры:</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1) уполномоченными органами направлены информационные письма в муниципальные органы власти;</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2) уполномоченными органами информация о сайте bus.gov.ru доведена в ходе совещаний с руководителями муниципальных органов власти и руководителями подведомственных организаций;</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3) на сайтах уполномоченных органов и подведомственных им организаций размещены ссылки на сайт bus.gov.ru;</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4) на стендах подведомственных уполномоченным органам организаций размещена информация о независимой оценке качества условий оказания услуг и ссылка на сайт bus.gov.ru;</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5) на сайтах муниципальных органов власти  и подведомственных им организаций размещены ссылки на сайт bus.gov.ru;</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6) на стендах в образовательных организациях муниципальных образований размещена информация о независимой оценке качества и ссылка на сайт bus.gov.ru;</w:t>
      </w:r>
    </w:p>
    <w:p w:rsidR="007E27CB" w:rsidRDefault="008F141F">
      <w:pPr>
        <w:spacing w:after="0" w:line="240" w:lineRule="auto"/>
        <w:ind w:firstLine="567"/>
        <w:jc w:val="both"/>
        <w:rPr>
          <w:sz w:val="24"/>
          <w:szCs w:val="24"/>
        </w:rPr>
      </w:pPr>
      <w:r>
        <w:rPr>
          <w:sz w:val="24"/>
          <w:szCs w:val="24"/>
        </w:rPr>
        <w:t xml:space="preserve">7) по предложению Департамента социальной защиты населения Томской области в учебно-методический комплект «Цифровой гражданин» (обучение компьютерной грамотности) включен раздел о сайте </w:t>
      </w:r>
      <w:r>
        <w:rPr>
          <w:sz w:val="24"/>
          <w:szCs w:val="24"/>
          <w:lang w:val="en-US"/>
        </w:rPr>
        <w:t>bus</w:t>
      </w:r>
      <w:r>
        <w:rPr>
          <w:sz w:val="24"/>
          <w:szCs w:val="24"/>
        </w:rPr>
        <w:t>.</w:t>
      </w:r>
      <w:r>
        <w:rPr>
          <w:sz w:val="24"/>
          <w:szCs w:val="24"/>
          <w:lang w:val="en-US"/>
        </w:rPr>
        <w:t>gov</w:t>
      </w:r>
      <w:r>
        <w:rPr>
          <w:sz w:val="24"/>
          <w:szCs w:val="24"/>
        </w:rPr>
        <w:t>.</w:t>
      </w:r>
      <w:r>
        <w:rPr>
          <w:sz w:val="24"/>
          <w:szCs w:val="24"/>
          <w:lang w:val="en-US"/>
        </w:rPr>
        <w:t>ru</w:t>
      </w:r>
      <w:r>
        <w:rPr>
          <w:sz w:val="24"/>
          <w:szCs w:val="24"/>
        </w:rPr>
        <w:t>;</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 xml:space="preserve">8) на официальных страницах Департамента социальной защиты населения Томской области в социальных сетях размещена ссылка на </w:t>
      </w:r>
      <w:r>
        <w:rPr>
          <w:rFonts w:ascii="Times New Roman" w:hAnsi="Times New Roman"/>
          <w:sz w:val="24"/>
          <w:szCs w:val="24"/>
          <w:lang w:val="en-US"/>
        </w:rPr>
        <w:t>bus</w:t>
      </w:r>
      <w:r>
        <w:rPr>
          <w:rFonts w:ascii="Times New Roman" w:hAnsi="Times New Roman"/>
          <w:sz w:val="24"/>
          <w:szCs w:val="24"/>
        </w:rPr>
        <w:t>.</w:t>
      </w:r>
      <w:r>
        <w:rPr>
          <w:rFonts w:ascii="Times New Roman" w:hAnsi="Times New Roman"/>
          <w:sz w:val="24"/>
          <w:szCs w:val="24"/>
          <w:lang w:val="en-US"/>
        </w:rPr>
        <w:t>gov</w:t>
      </w:r>
      <w:r>
        <w:rPr>
          <w:rFonts w:ascii="Times New Roman" w:hAnsi="Times New Roman"/>
          <w:sz w:val="24"/>
          <w:szCs w:val="24"/>
        </w:rPr>
        <w:t>.</w:t>
      </w:r>
      <w:r>
        <w:rPr>
          <w:rFonts w:ascii="Times New Roman" w:hAnsi="Times New Roman"/>
          <w:sz w:val="24"/>
          <w:szCs w:val="24"/>
          <w:lang w:val="en-US"/>
        </w:rPr>
        <w:t>ru</w:t>
      </w:r>
      <w:r>
        <w:rPr>
          <w:rFonts w:ascii="Times New Roman" w:hAnsi="Times New Roman"/>
          <w:sz w:val="24"/>
          <w:szCs w:val="24"/>
        </w:rPr>
        <w:t>.</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7.3. Сведения о проводимой работе по устранению выявленных в результате независимой оценки качества условий оказания услуг недостатков и информировании граждан о принятых мерах:</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 xml:space="preserve">Мероприятия по устранению выявленных в результате независимой оценки качества условий оказания услуг недостатков будут осуществляться в объеме и в сроки, предусмотренные планами по устранению недостатков. </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Информация о проводимой работе по устранению выявленных в результате независимой оценки качества недостатков будет рассмотрена в конце 2020 года на заседании рабочей группы по организации работы по проведению в Томской области независимой оценки качества условий оказания услуг организациями в сфере культуры, охраны здоровья, образования, социального обслуживания.</w:t>
      </w:r>
    </w:p>
    <w:p w:rsidR="007E27CB" w:rsidRDefault="008F141F">
      <w:pPr>
        <w:pStyle w:val="ConsPlusNonformat"/>
        <w:ind w:firstLine="567"/>
        <w:rPr>
          <w:rFonts w:ascii="Times New Roman" w:hAnsi="Times New Roman"/>
          <w:sz w:val="24"/>
          <w:szCs w:val="24"/>
        </w:rPr>
      </w:pPr>
      <w:r>
        <w:rPr>
          <w:rFonts w:ascii="Times New Roman" w:hAnsi="Times New Roman"/>
          <w:sz w:val="24"/>
          <w:szCs w:val="24"/>
        </w:rPr>
        <w:t>Информация о выполнении мероприятий планов по устранению недостатков будет размещена на официальных сайтах организаций, прошедших независимую оценку качества в 2019 году.</w:t>
      </w:r>
    </w:p>
    <w:p w:rsidR="007E27CB" w:rsidRDefault="007E27CB">
      <w:pPr>
        <w:pStyle w:val="ConsPlusNonformat"/>
        <w:ind w:firstLine="567"/>
        <w:rPr>
          <w:rFonts w:ascii="Times New Roman" w:hAnsi="Times New Roman"/>
          <w:sz w:val="24"/>
          <w:szCs w:val="24"/>
        </w:rPr>
      </w:pPr>
    </w:p>
    <w:p w:rsidR="007E27CB" w:rsidRDefault="007E27CB">
      <w:pPr>
        <w:pStyle w:val="ConsPlusNonformat"/>
        <w:ind w:firstLine="567"/>
        <w:rPr>
          <w:rFonts w:ascii="Times New Roman" w:hAnsi="Times New Roman"/>
          <w:sz w:val="24"/>
          <w:szCs w:val="24"/>
        </w:rPr>
      </w:pPr>
    </w:p>
    <w:p w:rsidR="007E27CB" w:rsidRDefault="008F141F">
      <w:pPr>
        <w:pStyle w:val="ConsPlusNonformat"/>
        <w:ind w:firstLine="567"/>
        <w:jc w:val="left"/>
        <w:rPr>
          <w:rFonts w:ascii="Times New Roman" w:hAnsi="Times New Roman"/>
          <w:sz w:val="24"/>
          <w:szCs w:val="24"/>
        </w:rPr>
      </w:pPr>
      <w:r>
        <w:rPr>
          <w:rFonts w:ascii="Times New Roman" w:hAnsi="Times New Roman"/>
          <w:sz w:val="24"/>
          <w:szCs w:val="24"/>
        </w:rPr>
        <w:t>Губернатор Томской области</w:t>
      </w:r>
      <w:r>
        <w:rPr>
          <w:rFonts w:ascii="Times New Roman" w:hAnsi="Times New Roman"/>
          <w:sz w:val="24"/>
          <w:szCs w:val="24"/>
        </w:rPr>
        <w:tab/>
      </w:r>
    </w:p>
    <w:p w:rsidR="007E27CB" w:rsidRDefault="008F141F">
      <w:pPr>
        <w:pStyle w:val="ConsPlusNonformat"/>
        <w:ind w:firstLine="567"/>
        <w:jc w:val="left"/>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С.А.Жвачкин</w:t>
      </w:r>
    </w:p>
    <w:p w:rsidR="007E27CB" w:rsidRDefault="008F141F">
      <w:pPr>
        <w:pStyle w:val="ConsPlusNonformat"/>
        <w:ind w:firstLine="567"/>
        <w:jc w:val="right"/>
        <w:rPr>
          <w:rFonts w:ascii="Times New Roman" w:hAnsi="Times New Roman"/>
          <w:sz w:val="24"/>
          <w:szCs w:val="24"/>
        </w:rPr>
      </w:pPr>
      <w:r>
        <w:rPr>
          <w:rFonts w:ascii="Times New Roman" w:hAnsi="Times New Roman"/>
          <w:sz w:val="24"/>
          <w:szCs w:val="24"/>
        </w:rPr>
        <w:t>____________________</w:t>
      </w:r>
    </w:p>
    <w:p w:rsidR="007E27CB" w:rsidRDefault="008F141F">
      <w:pPr>
        <w:pStyle w:val="ConsPlusNonformat"/>
        <w:ind w:firstLine="567"/>
        <w:jc w:val="right"/>
        <w:rPr>
          <w:rFonts w:ascii="Times New Roman" w:hAnsi="Times New Roman"/>
          <w:color w:val="000000" w:themeColor="text1"/>
          <w:sz w:val="24"/>
          <w:szCs w:val="24"/>
        </w:rPr>
      </w:pPr>
      <w:r>
        <w:rPr>
          <w:rFonts w:ascii="Times New Roman" w:hAnsi="Times New Roman"/>
          <w:sz w:val="24"/>
          <w:szCs w:val="24"/>
        </w:rPr>
        <w:t>(Дата)</w:t>
      </w:r>
    </w:p>
    <w:sectPr w:rsidR="007E27CB">
      <w:pgSz w:w="11906" w:h="16838" w:code="9"/>
      <w:pgMar w:top="1134" w:right="851" w:bottom="1134" w:left="1701" w:header="709" w:footer="709"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19F85F0" w15:done="0"/>
  <w15:commentEx w15:paraId="1FFD05A5" w15:done="0"/>
  <w15:commentEx w15:paraId="1D8C544E" w15:done="0"/>
  <w15:commentEx w15:paraId="119810F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141F" w:rsidRDefault="008F141F">
      <w:pPr>
        <w:spacing w:after="0" w:line="240" w:lineRule="auto"/>
      </w:pPr>
      <w:r>
        <w:separator/>
      </w:r>
    </w:p>
  </w:endnote>
  <w:endnote w:type="continuationSeparator" w:id="0">
    <w:p w:rsidR="008F141F" w:rsidRDefault="008F1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Vrinda">
    <w:panose1 w:val="00000400000000000000"/>
    <w:charset w:val="01"/>
    <w:family w:val="roman"/>
    <w:notTrueType/>
    <w:pitch w:val="variable"/>
  </w:font>
  <w:font w:name="Cambria">
    <w:panose1 w:val="02040503050406030204"/>
    <w:charset w:val="CC"/>
    <w:family w:val="roman"/>
    <w:pitch w:val="variable"/>
    <w:sig w:usb0="E00006FF" w:usb1="420024FF" w:usb2="02000000" w:usb3="00000000" w:csb0="0000019F" w:csb1="00000000"/>
  </w:font>
  <w:font w:name="JournalC">
    <w:altName w:val="JournalC"/>
    <w:panose1 w:val="00000000000000000000"/>
    <w:charset w:val="CC"/>
    <w:family w:val="roman"/>
    <w:notTrueType/>
    <w:pitch w:val="default"/>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Octava">
    <w:altName w:val="Times New Roman"/>
    <w:panose1 w:val="00000000000000000000"/>
    <w:charset w:val="CC"/>
    <w:family w:val="roman"/>
    <w:notTrueType/>
    <w:pitch w:val="default"/>
    <w:sig w:usb0="00000001" w:usb1="00000000" w:usb2="00000000" w:usb3="00000000" w:csb0="00000005" w:csb1="00000000"/>
  </w:font>
  <w:font w:name="Arial">
    <w:panose1 w:val="020B0604020202020204"/>
    <w:charset w:val="CC"/>
    <w:family w:val="swiss"/>
    <w:pitch w:val="variable"/>
    <w:sig w:usb0="20002A87" w:usb1="00000000" w:usb2="00000000" w:usb3="00000000" w:csb0="000001FF" w:csb1="00000000"/>
  </w:font>
  <w:font w:name="Verdana">
    <w:panose1 w:val="020B0604030504040204"/>
    <w:charset w:val="CC"/>
    <w:family w:val="swiss"/>
    <w:pitch w:val="variable"/>
    <w:sig w:usb0="A00006FF" w:usb1="4000205B" w:usb2="00000010" w:usb3="00000000" w:csb0="0000019F" w:csb1="00000000"/>
  </w:font>
  <w:font w:name="Century Schoolbook">
    <w:panose1 w:val="02040604050505020304"/>
    <w:charset w:val="CC"/>
    <w:family w:val="roman"/>
    <w:pitch w:val="variable"/>
    <w:sig w:usb0="00000287" w:usb1="00000000" w:usb2="00000000" w:usb3="00000000" w:csb0="0000009F" w:csb1="00000000"/>
  </w:font>
  <w:font w:name="MS ??">
    <w:altName w:val="Arial Unicode MS"/>
    <w:panose1 w:val="00000000000000000000"/>
    <w:charset w:val="80"/>
    <w:family w:val="auto"/>
    <w:notTrueType/>
    <w:pitch w:val="variable"/>
    <w:sig w:usb0="00000001" w:usb1="08070000" w:usb2="00000010" w:usb3="00000000" w:csb0="00020000" w:csb1="00000000"/>
  </w:font>
  <w:font w:name="Consolas">
    <w:panose1 w:val="020B0609020204030204"/>
    <w:charset w:val="CC"/>
    <w:family w:val="modern"/>
    <w:pitch w:val="fixed"/>
    <w:sig w:usb0="E00006FF" w:usb1="0000FCFF" w:usb2="00000001" w:usb3="00000000" w:csb0="0000019F" w:csb1="00000000"/>
  </w:font>
  <w:font w:name="TextBookC">
    <w:altName w:val="TextBookC"/>
    <w:panose1 w:val="00000000000000000000"/>
    <w:charset w:val="CC"/>
    <w:family w:val="swiss"/>
    <w:notTrueType/>
    <w:pitch w:val="default"/>
    <w:sig w:usb0="00000201" w:usb1="00000000" w:usb2="00000000" w:usb3="00000000" w:csb0="00000004" w:csb1="00000000"/>
  </w:font>
  <w:font w:name="Arial Narrow">
    <w:panose1 w:val="020B0606020202030204"/>
    <w:charset w:val="CC"/>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mn-ea">
    <w:panose1 w:val="00000000000000000000"/>
    <w:charset w:val="00"/>
    <w:family w:val="roman"/>
    <w:notTrueType/>
    <w:pitch w:val="default"/>
  </w:font>
  <w:font w:name="+mj-ea">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9108799"/>
      <w:docPartObj>
        <w:docPartGallery w:val="Page Numbers (Bottom of Page)"/>
        <w:docPartUnique/>
      </w:docPartObj>
    </w:sdtPr>
    <w:sdtEndPr/>
    <w:sdtContent>
      <w:p w:rsidR="007E27CB" w:rsidRDefault="008F141F">
        <w:pPr>
          <w:pStyle w:val="a4"/>
          <w:jc w:val="right"/>
        </w:pPr>
        <w:r>
          <w:fldChar w:fldCharType="begin"/>
        </w:r>
        <w:r>
          <w:instrText>PAGE   \* MERGEFORMAT</w:instrText>
        </w:r>
        <w:r>
          <w:fldChar w:fldCharType="separate"/>
        </w:r>
        <w:r w:rsidR="00987900">
          <w:rPr>
            <w:noProof/>
          </w:rPr>
          <w:t>76</w:t>
        </w:r>
        <w:r>
          <w:fldChar w:fldCharType="end"/>
        </w:r>
      </w:p>
    </w:sdtContent>
  </w:sdt>
  <w:p w:rsidR="007E27CB" w:rsidRDefault="007E27C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141F" w:rsidRDefault="008F141F">
      <w:pPr>
        <w:spacing w:after="0" w:line="240" w:lineRule="auto"/>
      </w:pPr>
      <w:r>
        <w:separator/>
      </w:r>
    </w:p>
  </w:footnote>
  <w:footnote w:type="continuationSeparator" w:id="0">
    <w:p w:rsidR="008F141F" w:rsidRDefault="008F141F">
      <w:pPr>
        <w:spacing w:after="0" w:line="240" w:lineRule="auto"/>
      </w:pPr>
      <w:r>
        <w:continuationSeparator/>
      </w:r>
    </w:p>
  </w:footnote>
  <w:footnote w:id="1">
    <w:p w:rsidR="007E27CB" w:rsidRDefault="008F141F">
      <w:pPr>
        <w:pStyle w:val="af1"/>
        <w:rPr>
          <w:rFonts w:ascii="Times New Roman" w:hAnsi="Times New Roman" w:cs="Times New Roman"/>
          <w:sz w:val="18"/>
          <w:szCs w:val="18"/>
        </w:rPr>
      </w:pPr>
      <w:r>
        <w:rPr>
          <w:rStyle w:val="af3"/>
        </w:rPr>
        <w:footnoteRef/>
      </w:r>
      <w:r>
        <w:t xml:space="preserve"> </w:t>
      </w:r>
      <w:r>
        <w:rPr>
          <w:rFonts w:ascii="Times New Roman" w:hAnsi="Times New Roman" w:cs="Times New Roman"/>
          <w:sz w:val="18"/>
          <w:szCs w:val="18"/>
        </w:rPr>
        <w:t>см. Приложение № 5 «Информация о ходе реализации региональных проектов Томской области, направленных на достижение национальных целей и стратегических задач развития Российской Федерации на период до 2024 года».</w:t>
      </w:r>
    </w:p>
  </w:footnote>
  <w:footnote w:id="2">
    <w:p w:rsidR="007E27CB" w:rsidRDefault="008F141F">
      <w:pPr>
        <w:pStyle w:val="af1"/>
        <w:jc w:val="both"/>
        <w:rPr>
          <w:rFonts w:eastAsia="Times New Roman"/>
          <w:sz w:val="18"/>
          <w:szCs w:val="18"/>
          <w:lang w:eastAsia="ru-RU"/>
        </w:rPr>
      </w:pPr>
      <w:r>
        <w:rPr>
          <w:rStyle w:val="af3"/>
        </w:rPr>
        <w:footnoteRef/>
      </w:r>
      <w:r>
        <w:t xml:space="preserve"> </w:t>
      </w:r>
      <w:r>
        <w:rPr>
          <w:rFonts w:ascii="Times New Roman" w:hAnsi="Times New Roman" w:cs="Times New Roman"/>
          <w:sz w:val="18"/>
          <w:szCs w:val="18"/>
        </w:rPr>
        <w:t xml:space="preserve"> см. Приложение № 3 «Мониторинг реализации прогноза социально-экономического развития Томской области на долгосрочный и среднесрочный период».</w:t>
      </w:r>
    </w:p>
    <w:p w:rsidR="007E27CB" w:rsidRDefault="007E27CB">
      <w:pPr>
        <w:pStyle w:val="af1"/>
      </w:pPr>
    </w:p>
  </w:footnote>
  <w:footnote w:id="3">
    <w:p w:rsidR="007E27CB" w:rsidRDefault="008F141F">
      <w:pPr>
        <w:pStyle w:val="af1"/>
      </w:pPr>
      <w:r>
        <w:rPr>
          <w:rStyle w:val="af3"/>
        </w:rPr>
        <w:footnoteRef/>
      </w:r>
      <w:r>
        <w:t xml:space="preserve"> </w:t>
      </w:r>
      <w:r>
        <w:rPr>
          <w:rFonts w:ascii="Times New Roman" w:hAnsi="Times New Roman" w:cs="Times New Roman"/>
          <w:sz w:val="18"/>
          <w:szCs w:val="18"/>
        </w:rPr>
        <w:t>см. Приложение № 5 «Информация о ходе реализации региональных проектов Томской области, направленных на достижение национальных целей и стратегических задач развития Российской Федерации на период до 2024 года».</w:t>
      </w:r>
    </w:p>
  </w:footnote>
  <w:footnote w:id="4">
    <w:p w:rsidR="007E27CB" w:rsidRDefault="008F141F">
      <w:pPr>
        <w:pStyle w:val="af1"/>
      </w:pPr>
      <w:r>
        <w:rPr>
          <w:rStyle w:val="af3"/>
        </w:rPr>
        <w:footnoteRef/>
      </w:r>
      <w:r>
        <w:t xml:space="preserve"> </w:t>
      </w:r>
      <w:r>
        <w:rPr>
          <w:rFonts w:ascii="Times New Roman" w:hAnsi="Times New Roman" w:cs="Times New Roman"/>
          <w:sz w:val="18"/>
          <w:szCs w:val="18"/>
        </w:rPr>
        <w:t>см. Приложение № 5 «Информация о ходе реализации региональных проектов Томской области, направленных на достижение национальных целей и стратегических задач развития Российской Федерации на период до 2024 года».</w:t>
      </w:r>
    </w:p>
  </w:footnote>
  <w:footnote w:id="5">
    <w:p w:rsidR="007E27CB" w:rsidRDefault="008F141F">
      <w:pPr>
        <w:pStyle w:val="af1"/>
      </w:pPr>
      <w:r>
        <w:rPr>
          <w:rStyle w:val="af3"/>
        </w:rPr>
        <w:footnoteRef/>
      </w:r>
      <w:r>
        <w:t xml:space="preserve"> </w:t>
      </w:r>
      <w:r>
        <w:rPr>
          <w:rFonts w:ascii="Times New Roman" w:hAnsi="Times New Roman" w:cs="Times New Roman"/>
          <w:sz w:val="18"/>
          <w:szCs w:val="18"/>
        </w:rPr>
        <w:t>см. Приложение № 5 «Информация о ходе реализации региональных проектов Томской области, направленных на достижение национальных целей и стратегических задач развития Российской Федерации на период до 2024 года».</w:t>
      </w:r>
    </w:p>
  </w:footnote>
  <w:footnote w:id="6">
    <w:p w:rsidR="007E27CB" w:rsidRDefault="008F141F">
      <w:pPr>
        <w:pStyle w:val="af1"/>
      </w:pPr>
      <w:r>
        <w:rPr>
          <w:rStyle w:val="af3"/>
        </w:rPr>
        <w:footnoteRef/>
      </w:r>
      <w:r>
        <w:t xml:space="preserve"> </w:t>
      </w:r>
      <w:r>
        <w:rPr>
          <w:rFonts w:ascii="Times New Roman" w:hAnsi="Times New Roman" w:cs="Times New Roman"/>
          <w:sz w:val="18"/>
          <w:szCs w:val="18"/>
        </w:rPr>
        <w:t>см. Приложение № 5 «Информация о ходе реализации региональных проектов Томской области, направленных на достижение национальных целей и стратегических задач развития Российской Федерации на период до 2024 года».</w:t>
      </w:r>
    </w:p>
  </w:footnote>
  <w:footnote w:id="7">
    <w:p w:rsidR="007E27CB" w:rsidRDefault="008F141F">
      <w:pPr>
        <w:pStyle w:val="af1"/>
      </w:pPr>
      <w:r>
        <w:rPr>
          <w:rStyle w:val="af3"/>
        </w:rPr>
        <w:footnoteRef/>
      </w:r>
      <w:r>
        <w:t xml:space="preserve"> </w:t>
      </w:r>
      <w:r>
        <w:rPr>
          <w:rFonts w:ascii="Times New Roman" w:hAnsi="Times New Roman" w:cs="Times New Roman"/>
          <w:sz w:val="18"/>
          <w:szCs w:val="18"/>
        </w:rPr>
        <w:t>см. Приложение № 5 «Информация о ходе реализации региональных проектов Томской области, направленных на достижение национальных целей и стратегических задач развития Российской Федерации на период до 2024 года».</w:t>
      </w:r>
    </w:p>
  </w:footnote>
  <w:footnote w:id="8">
    <w:p w:rsidR="007E27CB" w:rsidRDefault="008F141F">
      <w:pPr>
        <w:pStyle w:val="af1"/>
      </w:pPr>
      <w:r>
        <w:rPr>
          <w:rStyle w:val="af3"/>
        </w:rPr>
        <w:footnoteRef/>
      </w:r>
      <w:r>
        <w:t xml:space="preserve"> </w:t>
      </w:r>
      <w:r>
        <w:rPr>
          <w:rFonts w:ascii="Times New Roman" w:hAnsi="Times New Roman" w:cs="Times New Roman"/>
          <w:sz w:val="18"/>
          <w:szCs w:val="18"/>
        </w:rPr>
        <w:t>см. Приложение № 5 «Информация о ходе реализации региональных проектов Томской области, направленных на достижение национальных целей и стратегических задач развития Российской Федерации на период до 2024 года».</w:t>
      </w:r>
    </w:p>
  </w:footnote>
  <w:footnote w:id="9">
    <w:p w:rsidR="007E27CB" w:rsidRDefault="008F141F">
      <w:pPr>
        <w:pStyle w:val="af1"/>
      </w:pPr>
      <w:r>
        <w:rPr>
          <w:rStyle w:val="af3"/>
        </w:rPr>
        <w:footnoteRef/>
      </w:r>
      <w:r>
        <w:t xml:space="preserve"> </w:t>
      </w:r>
      <w:r>
        <w:rPr>
          <w:rFonts w:ascii="Times New Roman" w:hAnsi="Times New Roman" w:cs="Times New Roman"/>
          <w:sz w:val="18"/>
          <w:szCs w:val="18"/>
        </w:rPr>
        <w:t>см. Приложение № 5 «Информация о ходе реализации региональных проектов Томской области, направленных на достижение национальных целей и стратегических задач развития Российской Федерации на период до 2024 года».</w:t>
      </w:r>
    </w:p>
  </w:footnote>
  <w:footnote w:id="10">
    <w:p w:rsidR="007E27CB" w:rsidRDefault="008F141F">
      <w:pPr>
        <w:pStyle w:val="af1"/>
      </w:pPr>
      <w:r>
        <w:rPr>
          <w:rStyle w:val="af3"/>
        </w:rPr>
        <w:footnoteRef/>
      </w:r>
      <w:r>
        <w:t xml:space="preserve"> </w:t>
      </w:r>
      <w:r>
        <w:rPr>
          <w:rFonts w:ascii="Times New Roman" w:hAnsi="Times New Roman" w:cs="Times New Roman"/>
          <w:sz w:val="18"/>
          <w:szCs w:val="18"/>
        </w:rPr>
        <w:t>см. Приложение № 5 «Информация о ходе реализации региональных проектов Томской области, направленных на достижение национальных целей и стратегических задач развития Российской Федерации на период до 2024 года».</w:t>
      </w:r>
    </w:p>
  </w:footnote>
  <w:footnote w:id="11">
    <w:p w:rsidR="007E27CB" w:rsidRDefault="008F141F">
      <w:pPr>
        <w:pStyle w:val="af1"/>
      </w:pPr>
      <w:r>
        <w:rPr>
          <w:rStyle w:val="af3"/>
        </w:rPr>
        <w:footnoteRef/>
      </w:r>
      <w:r>
        <w:t xml:space="preserve"> </w:t>
      </w:r>
      <w:r>
        <w:rPr>
          <w:rFonts w:ascii="Times New Roman" w:hAnsi="Times New Roman" w:cs="Times New Roman"/>
          <w:sz w:val="18"/>
          <w:szCs w:val="18"/>
        </w:rPr>
        <w:t>см. Приложение № 5 «Информация о ходе реализации региональных проектов Томской области, направленных на достижение национальных целей и стратегических задач развития Российской Федерации на период до 2024 года».</w:t>
      </w:r>
    </w:p>
  </w:footnote>
  <w:footnote w:id="12">
    <w:p w:rsidR="007E27CB" w:rsidRDefault="008F141F">
      <w:pPr>
        <w:pStyle w:val="af1"/>
      </w:pPr>
      <w:r>
        <w:rPr>
          <w:rStyle w:val="af3"/>
        </w:rPr>
        <w:footnoteRef/>
      </w:r>
      <w:r>
        <w:t xml:space="preserve"> </w:t>
      </w:r>
      <w:r>
        <w:rPr>
          <w:rFonts w:ascii="Times New Roman" w:hAnsi="Times New Roman" w:cs="Times New Roman"/>
          <w:sz w:val="18"/>
          <w:szCs w:val="18"/>
        </w:rPr>
        <w:t>см. Приложение № 5 «Информация о ходе реализации региональных проектов Томской области, направленных на достижение национальных целей и стратегических задач развития Российской Федерации на период до 2024 года».</w:t>
      </w:r>
    </w:p>
  </w:footnote>
  <w:footnote w:id="13">
    <w:p w:rsidR="007E27CB" w:rsidRDefault="008F141F">
      <w:pPr>
        <w:pStyle w:val="af1"/>
      </w:pPr>
      <w:r>
        <w:rPr>
          <w:rStyle w:val="af3"/>
        </w:rPr>
        <w:footnoteRef/>
      </w:r>
      <w:r>
        <w:t xml:space="preserve"> </w:t>
      </w:r>
      <w:r>
        <w:rPr>
          <w:rFonts w:ascii="Times New Roman" w:hAnsi="Times New Roman" w:cs="Times New Roman"/>
          <w:sz w:val="18"/>
          <w:szCs w:val="18"/>
        </w:rPr>
        <w:t>см. Приложение № 5 «Информация о ходе реализации региональных проектов Томской области, направленных на достижение национальных целей и стратегических задач развития Российской Федерации на период до 2024 года».</w:t>
      </w:r>
    </w:p>
  </w:footnote>
  <w:footnote w:id="14">
    <w:p w:rsidR="007E27CB" w:rsidRDefault="008F141F">
      <w:pPr>
        <w:pStyle w:val="af1"/>
      </w:pPr>
      <w:r>
        <w:rPr>
          <w:rStyle w:val="af3"/>
        </w:rPr>
        <w:footnoteRef/>
      </w:r>
      <w:r>
        <w:t xml:space="preserve"> </w:t>
      </w:r>
      <w:r>
        <w:rPr>
          <w:rFonts w:ascii="Times New Roman" w:hAnsi="Times New Roman" w:cs="Times New Roman"/>
          <w:sz w:val="18"/>
          <w:szCs w:val="18"/>
        </w:rPr>
        <w:t>см. Приложение № 5 «Информация о ходе реализации региональных проектов Томской области, направленных на достижение национальных целей и стратегических задач развития Российской Федерации на период до 2024 года».</w:t>
      </w:r>
    </w:p>
  </w:footnote>
  <w:footnote w:id="15">
    <w:p w:rsidR="007E27CB" w:rsidRDefault="008F141F">
      <w:pPr>
        <w:pStyle w:val="af1"/>
      </w:pPr>
      <w:r>
        <w:rPr>
          <w:rStyle w:val="af3"/>
        </w:rPr>
        <w:footnoteRef/>
      </w:r>
      <w:r>
        <w:t xml:space="preserve"> </w:t>
      </w:r>
      <w:r>
        <w:rPr>
          <w:rFonts w:ascii="Times New Roman" w:hAnsi="Times New Roman" w:cs="Times New Roman"/>
          <w:sz w:val="18"/>
          <w:szCs w:val="18"/>
        </w:rPr>
        <w:t>см. Приложение № 5 «Информация о ходе реализации региональных проектов Томской области, направленных на достижение национальных целей и стратегических задач развития Российской Федерации на период до 2024 года».</w:t>
      </w:r>
    </w:p>
  </w:footnote>
  <w:footnote w:id="16">
    <w:p w:rsidR="007E27CB" w:rsidRDefault="008F141F">
      <w:pPr>
        <w:pStyle w:val="af1"/>
      </w:pPr>
      <w:r>
        <w:rPr>
          <w:rStyle w:val="af3"/>
        </w:rPr>
        <w:footnoteRef/>
      </w:r>
      <w:r>
        <w:t xml:space="preserve"> </w:t>
      </w:r>
      <w:r>
        <w:rPr>
          <w:rFonts w:ascii="Times New Roman" w:hAnsi="Times New Roman" w:cs="Times New Roman"/>
          <w:sz w:val="18"/>
          <w:szCs w:val="18"/>
        </w:rPr>
        <w:t>см. Приложение № 5 «Информация о ходе реализации региональных проектов Томской области, направленных на достижение национальных целей и стратегических задач развития Российской Федерации на период до 2024 года».</w:t>
      </w:r>
    </w:p>
  </w:footnote>
  <w:footnote w:id="17">
    <w:p w:rsidR="007E27CB" w:rsidRDefault="008F141F">
      <w:pPr>
        <w:pStyle w:val="af1"/>
      </w:pPr>
      <w:r>
        <w:rPr>
          <w:rStyle w:val="af3"/>
        </w:rPr>
        <w:footnoteRef/>
      </w:r>
      <w:r>
        <w:t xml:space="preserve"> </w:t>
      </w:r>
      <w:r>
        <w:rPr>
          <w:rFonts w:ascii="Times New Roman" w:hAnsi="Times New Roman" w:cs="Times New Roman"/>
          <w:sz w:val="18"/>
          <w:szCs w:val="18"/>
        </w:rPr>
        <w:t>см. Приложение № 5 «Информация о ходе реализации региональных проектов Томской области, направленных на достижение национальных целей и стратегических задач развития Российской Федерации на период до 2024 года».</w:t>
      </w:r>
    </w:p>
  </w:footnote>
  <w:footnote w:id="18">
    <w:p w:rsidR="007E27CB" w:rsidRDefault="008F141F">
      <w:pPr>
        <w:pStyle w:val="af1"/>
      </w:pPr>
      <w:r>
        <w:rPr>
          <w:rStyle w:val="af3"/>
        </w:rPr>
        <w:footnoteRef/>
      </w:r>
      <w:r>
        <w:t xml:space="preserve"> </w:t>
      </w:r>
      <w:r>
        <w:rPr>
          <w:rFonts w:ascii="Times New Roman" w:hAnsi="Times New Roman" w:cs="Times New Roman"/>
          <w:sz w:val="18"/>
          <w:szCs w:val="18"/>
        </w:rPr>
        <w:t>см. Приложение № 5 «Информация о ходе реализации региональных проектов Томской области, направленных на достижение национальных целей и стратегических задач развития Российской Федерации на период до 2024 года».</w:t>
      </w:r>
    </w:p>
  </w:footnote>
  <w:footnote w:id="19">
    <w:p w:rsidR="007E27CB" w:rsidRDefault="008F141F">
      <w:pPr>
        <w:pStyle w:val="af1"/>
      </w:pPr>
      <w:r>
        <w:rPr>
          <w:rStyle w:val="af3"/>
        </w:rPr>
        <w:footnoteRef/>
      </w:r>
      <w:r>
        <w:t xml:space="preserve"> </w:t>
      </w:r>
      <w:r>
        <w:rPr>
          <w:rFonts w:ascii="Times New Roman" w:hAnsi="Times New Roman" w:cs="Times New Roman"/>
          <w:sz w:val="18"/>
          <w:szCs w:val="18"/>
        </w:rPr>
        <w:t>см. Приложение № 5 «Информация о ходе реализации региональных проектов Томской области, направленных на достижение национальных целей и стратегических задач развития Российской Федерации на период до 2024 года».</w:t>
      </w:r>
    </w:p>
  </w:footnote>
  <w:footnote w:id="20">
    <w:p w:rsidR="007E27CB" w:rsidRDefault="008F141F">
      <w:pPr>
        <w:pStyle w:val="af1"/>
      </w:pPr>
      <w:r>
        <w:rPr>
          <w:rStyle w:val="af3"/>
        </w:rPr>
        <w:footnoteRef/>
      </w:r>
      <w:r>
        <w:t xml:space="preserve"> </w:t>
      </w:r>
      <w:r>
        <w:rPr>
          <w:rFonts w:ascii="Times New Roman" w:hAnsi="Times New Roman" w:cs="Times New Roman"/>
          <w:sz w:val="18"/>
          <w:szCs w:val="18"/>
        </w:rPr>
        <w:t>см. Приложение № 5 «Информация о ходе реализации региональных проектов Томской области, направленных на достижение национальных целей и стратегических задач развития Российской Федерации на период до 2024 года».</w:t>
      </w:r>
    </w:p>
  </w:footnote>
  <w:footnote w:id="21">
    <w:p w:rsidR="007E27CB" w:rsidRDefault="008F141F">
      <w:pPr>
        <w:pStyle w:val="af1"/>
      </w:pPr>
      <w:r>
        <w:rPr>
          <w:rStyle w:val="af3"/>
        </w:rPr>
        <w:footnoteRef/>
      </w:r>
      <w:r>
        <w:t xml:space="preserve"> </w:t>
      </w:r>
      <w:r>
        <w:rPr>
          <w:rFonts w:ascii="Times New Roman" w:hAnsi="Times New Roman" w:cs="Times New Roman"/>
          <w:sz w:val="18"/>
          <w:szCs w:val="18"/>
        </w:rPr>
        <w:t>см. Приложение № 5 «Информация о ходе реализации региональных проектов Томской области, направленных на достижение национальных целей и стратегических задач развития Российской Федерации на период до 2024 года».</w:t>
      </w:r>
    </w:p>
  </w:footnote>
  <w:footnote w:id="22">
    <w:p w:rsidR="007E27CB" w:rsidRDefault="008F141F">
      <w:pPr>
        <w:pStyle w:val="af1"/>
      </w:pPr>
      <w:r>
        <w:rPr>
          <w:rStyle w:val="af3"/>
        </w:rPr>
        <w:footnoteRef/>
      </w:r>
      <w:r>
        <w:t xml:space="preserve"> </w:t>
      </w:r>
      <w:r>
        <w:rPr>
          <w:rFonts w:ascii="Times New Roman" w:hAnsi="Times New Roman" w:cs="Times New Roman"/>
          <w:sz w:val="18"/>
          <w:szCs w:val="18"/>
        </w:rPr>
        <w:t>см. Приложение № 5 «Информация о ходе реализации региональных проектов Томской области, направленных на достижение национальных целей и стратегических задач развития Российской Федерации на период до 2024 года».</w:t>
      </w:r>
    </w:p>
  </w:footnote>
  <w:footnote w:id="23">
    <w:p w:rsidR="007E27CB" w:rsidRDefault="008F141F">
      <w:pPr>
        <w:pStyle w:val="af1"/>
      </w:pPr>
      <w:r>
        <w:rPr>
          <w:rStyle w:val="af3"/>
        </w:rPr>
        <w:footnoteRef/>
      </w:r>
      <w:r>
        <w:t xml:space="preserve"> </w:t>
      </w:r>
      <w:r>
        <w:rPr>
          <w:rFonts w:ascii="Times New Roman" w:hAnsi="Times New Roman" w:cs="Times New Roman"/>
          <w:sz w:val="18"/>
          <w:szCs w:val="18"/>
        </w:rPr>
        <w:t>см. Приложение № 5 «Информация о ходе реализации региональных проектов Томской области, направленных на достижение национальных целей и стратегических задач развития Российской Федерации на период до 2024 года».</w:t>
      </w:r>
    </w:p>
  </w:footnote>
  <w:footnote w:id="24">
    <w:p w:rsidR="007E27CB" w:rsidRDefault="008F141F">
      <w:pPr>
        <w:pStyle w:val="af1"/>
      </w:pPr>
      <w:r>
        <w:rPr>
          <w:rStyle w:val="af3"/>
        </w:rPr>
        <w:footnoteRef/>
      </w:r>
      <w:r>
        <w:t xml:space="preserve"> </w:t>
      </w:r>
      <w:r>
        <w:rPr>
          <w:rFonts w:ascii="Times New Roman" w:hAnsi="Times New Roman" w:cs="Times New Roman"/>
          <w:sz w:val="18"/>
          <w:szCs w:val="18"/>
        </w:rPr>
        <w:t>см. Приложение № 5 «Информация о ходе реализации региональных проектов Томской области, направленных на достижение национальных целей и стратегических задач развития Российской Федерации на период до 2024 года».</w:t>
      </w:r>
    </w:p>
  </w:footnote>
  <w:footnote w:id="25">
    <w:p w:rsidR="007E27CB" w:rsidRDefault="008F141F">
      <w:pPr>
        <w:pStyle w:val="af1"/>
      </w:pPr>
      <w:r>
        <w:rPr>
          <w:rStyle w:val="af3"/>
        </w:rPr>
        <w:footnoteRef/>
      </w:r>
      <w:r>
        <w:t xml:space="preserve"> </w:t>
      </w:r>
      <w:r>
        <w:rPr>
          <w:rFonts w:ascii="Times New Roman" w:hAnsi="Times New Roman" w:cs="Times New Roman"/>
          <w:sz w:val="18"/>
          <w:szCs w:val="18"/>
        </w:rPr>
        <w:t>см. Приложение № 5 «Информация о ходе реализации региональных проектов Томской области, направленных на достижение национальных целей и стратегических задач развития Российской Федерации на период до 2024 года».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67FFE"/>
    <w:multiLevelType w:val="hybridMultilevel"/>
    <w:tmpl w:val="1D96553E"/>
    <w:lvl w:ilvl="0" w:tplc="B56A5706">
      <w:start w:val="1"/>
      <w:numFmt w:val="bullet"/>
      <w:lvlText w:val=""/>
      <w:lvlJc w:val="left"/>
      <w:pPr>
        <w:ind w:left="720" w:hanging="360"/>
      </w:pPr>
      <w:rPr>
        <w:rFonts w:ascii="Symbol" w:hAnsi="Symbol" w:hint="default"/>
        <w:sz w:val="12"/>
        <w:szCs w:val="1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2191657"/>
    <w:multiLevelType w:val="hybridMultilevel"/>
    <w:tmpl w:val="79B69752"/>
    <w:lvl w:ilvl="0" w:tplc="B56A5706">
      <w:start w:val="1"/>
      <w:numFmt w:val="bullet"/>
      <w:lvlText w:val=""/>
      <w:lvlJc w:val="left"/>
      <w:pPr>
        <w:ind w:left="720" w:hanging="360"/>
      </w:pPr>
      <w:rPr>
        <w:rFonts w:ascii="Symbol" w:hAnsi="Symbol" w:hint="default"/>
        <w:sz w:val="12"/>
        <w:szCs w:val="1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4630C61"/>
    <w:multiLevelType w:val="hybridMultilevel"/>
    <w:tmpl w:val="40320D58"/>
    <w:lvl w:ilvl="0" w:tplc="B56A5706">
      <w:start w:val="1"/>
      <w:numFmt w:val="bullet"/>
      <w:lvlText w:val=""/>
      <w:lvlJc w:val="left"/>
      <w:pPr>
        <w:ind w:left="1429" w:hanging="360"/>
      </w:pPr>
      <w:rPr>
        <w:rFonts w:ascii="Symbol" w:hAnsi="Symbol" w:hint="default"/>
        <w:sz w:val="12"/>
        <w:szCs w:val="1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4710447"/>
    <w:multiLevelType w:val="hybridMultilevel"/>
    <w:tmpl w:val="A50A114C"/>
    <w:lvl w:ilvl="0" w:tplc="B56A5706">
      <w:start w:val="1"/>
      <w:numFmt w:val="bullet"/>
      <w:lvlText w:val=""/>
      <w:lvlJc w:val="left"/>
      <w:pPr>
        <w:ind w:left="720" w:hanging="360"/>
      </w:pPr>
      <w:rPr>
        <w:rFonts w:ascii="Symbol" w:hAnsi="Symbol" w:hint="default"/>
        <w:sz w:val="12"/>
        <w:szCs w:val="1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70330F1"/>
    <w:multiLevelType w:val="hybridMultilevel"/>
    <w:tmpl w:val="15361E26"/>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7283D12"/>
    <w:multiLevelType w:val="hybridMultilevel"/>
    <w:tmpl w:val="42B2F3BC"/>
    <w:lvl w:ilvl="0" w:tplc="C2304072">
      <w:start w:val="1"/>
      <w:numFmt w:val="decimal"/>
      <w:lvlText w:val="%1."/>
      <w:lvlJc w:val="left"/>
      <w:pPr>
        <w:ind w:left="1069" w:hanging="360"/>
      </w:pPr>
      <w:rPr>
        <w:rFonts w:ascii="Times New Roman" w:eastAsiaTheme="minorHAnsi" w:hAnsi="Times New Roman" w:cs="Times New Roman"/>
        <w:b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
    <w:nsid w:val="072B37FE"/>
    <w:multiLevelType w:val="hybridMultilevel"/>
    <w:tmpl w:val="964ED356"/>
    <w:lvl w:ilvl="0" w:tplc="B56A5706">
      <w:start w:val="1"/>
      <w:numFmt w:val="bullet"/>
      <w:lvlText w:val=""/>
      <w:lvlJc w:val="left"/>
      <w:pPr>
        <w:ind w:left="1287" w:hanging="360"/>
      </w:pPr>
      <w:rPr>
        <w:rFonts w:ascii="Symbol" w:hAnsi="Symbol" w:hint="default"/>
        <w:sz w:val="12"/>
        <w:szCs w:val="12"/>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07365DE4"/>
    <w:multiLevelType w:val="hybridMultilevel"/>
    <w:tmpl w:val="71A8CF44"/>
    <w:lvl w:ilvl="0" w:tplc="B56A5706">
      <w:start w:val="1"/>
      <w:numFmt w:val="bullet"/>
      <w:lvlText w:val=""/>
      <w:lvlJc w:val="left"/>
      <w:pPr>
        <w:ind w:left="720" w:hanging="360"/>
      </w:pPr>
      <w:rPr>
        <w:rFonts w:ascii="Symbol" w:hAnsi="Symbol" w:hint="default"/>
        <w:sz w:val="12"/>
        <w:szCs w:val="1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7700DF4"/>
    <w:multiLevelType w:val="hybridMultilevel"/>
    <w:tmpl w:val="0E04F9E8"/>
    <w:lvl w:ilvl="0" w:tplc="9AF2BBBC">
      <w:start w:val="3"/>
      <w:numFmt w:val="bullet"/>
      <w:lvlText w:val="•"/>
      <w:lvlJc w:val="left"/>
      <w:pPr>
        <w:ind w:left="1429" w:hanging="360"/>
      </w:pPr>
      <w:rPr>
        <w:rFonts w:ascii="Times New Roman" w:eastAsia="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092D31E1"/>
    <w:multiLevelType w:val="hybridMultilevel"/>
    <w:tmpl w:val="73E82C98"/>
    <w:lvl w:ilvl="0" w:tplc="B56A5706">
      <w:start w:val="1"/>
      <w:numFmt w:val="bullet"/>
      <w:lvlText w:val=""/>
      <w:lvlJc w:val="left"/>
      <w:pPr>
        <w:ind w:left="720" w:hanging="360"/>
      </w:pPr>
      <w:rPr>
        <w:rFonts w:ascii="Symbol" w:hAnsi="Symbol" w:hint="default"/>
        <w:sz w:val="12"/>
        <w:szCs w:val="1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A8951FC"/>
    <w:multiLevelType w:val="hybridMultilevel"/>
    <w:tmpl w:val="FC20F59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0B0B5242"/>
    <w:multiLevelType w:val="hybridMultilevel"/>
    <w:tmpl w:val="883AA45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0B765F2F"/>
    <w:multiLevelType w:val="hybridMultilevel"/>
    <w:tmpl w:val="ADCABE5E"/>
    <w:lvl w:ilvl="0" w:tplc="C2304072">
      <w:start w:val="1"/>
      <w:numFmt w:val="decimal"/>
      <w:lvlText w:val="%1."/>
      <w:lvlJc w:val="left"/>
      <w:pPr>
        <w:ind w:left="1069" w:hanging="360"/>
      </w:pPr>
      <w:rPr>
        <w:rFonts w:ascii="Times New Roman" w:eastAsiaTheme="minorHAnsi" w:hAnsi="Times New Roman" w:cs="Times New Roman"/>
        <w:b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3">
    <w:nsid w:val="0C44325B"/>
    <w:multiLevelType w:val="hybridMultilevel"/>
    <w:tmpl w:val="1C764E10"/>
    <w:lvl w:ilvl="0" w:tplc="B56A5706">
      <w:start w:val="1"/>
      <w:numFmt w:val="bullet"/>
      <w:lvlText w:val=""/>
      <w:lvlJc w:val="left"/>
      <w:pPr>
        <w:ind w:left="720" w:hanging="360"/>
      </w:pPr>
      <w:rPr>
        <w:rFonts w:ascii="Symbol" w:hAnsi="Symbol" w:hint="default"/>
        <w:sz w:val="12"/>
        <w:szCs w:val="1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0C61281D"/>
    <w:multiLevelType w:val="hybridMultilevel"/>
    <w:tmpl w:val="3CF840F2"/>
    <w:lvl w:ilvl="0" w:tplc="C2304072">
      <w:start w:val="1"/>
      <w:numFmt w:val="decimal"/>
      <w:lvlText w:val="%1."/>
      <w:lvlJc w:val="left"/>
      <w:pPr>
        <w:ind w:left="720" w:hanging="360"/>
      </w:pPr>
      <w:rPr>
        <w:rFonts w:ascii="Times New Roman" w:eastAsiaTheme="minorHAnsi" w:hAnsi="Times New Roman" w:cs="Times New Roman"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C9C7C8D"/>
    <w:multiLevelType w:val="hybridMultilevel"/>
    <w:tmpl w:val="F7BEB580"/>
    <w:lvl w:ilvl="0" w:tplc="C2304072">
      <w:start w:val="1"/>
      <w:numFmt w:val="decimal"/>
      <w:lvlText w:val="%1."/>
      <w:lvlJc w:val="left"/>
      <w:pPr>
        <w:ind w:left="720" w:hanging="360"/>
      </w:pPr>
      <w:rPr>
        <w:rFonts w:ascii="Times New Roman" w:eastAsiaTheme="minorHAnsi" w:hAnsi="Times New Roman" w:cs="Times New Roman" w:hint="default"/>
        <w:b w:val="0"/>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0D720A46"/>
    <w:multiLevelType w:val="hybridMultilevel"/>
    <w:tmpl w:val="B7582CA0"/>
    <w:lvl w:ilvl="0" w:tplc="04190011">
      <w:start w:val="1"/>
      <w:numFmt w:val="decimal"/>
      <w:lvlText w:val="%1)"/>
      <w:lvlJc w:val="left"/>
      <w:pPr>
        <w:ind w:left="1287" w:hanging="360"/>
      </w:pPr>
    </w:lvl>
    <w:lvl w:ilvl="1" w:tplc="04190011">
      <w:start w:val="1"/>
      <w:numFmt w:val="decimal"/>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0DA4737C"/>
    <w:multiLevelType w:val="hybridMultilevel"/>
    <w:tmpl w:val="7D5808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0DC158D2"/>
    <w:multiLevelType w:val="hybridMultilevel"/>
    <w:tmpl w:val="6E8EA5D2"/>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0DF7788D"/>
    <w:multiLevelType w:val="hybridMultilevel"/>
    <w:tmpl w:val="026C564A"/>
    <w:lvl w:ilvl="0" w:tplc="B56A5706">
      <w:start w:val="1"/>
      <w:numFmt w:val="bullet"/>
      <w:lvlText w:val=""/>
      <w:lvlJc w:val="left"/>
      <w:pPr>
        <w:ind w:left="1287" w:hanging="360"/>
      </w:pPr>
      <w:rPr>
        <w:rFonts w:ascii="Symbol" w:hAnsi="Symbol" w:hint="default"/>
        <w:sz w:val="12"/>
        <w:szCs w:val="12"/>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0E115182"/>
    <w:multiLevelType w:val="hybridMultilevel"/>
    <w:tmpl w:val="6F245900"/>
    <w:lvl w:ilvl="0" w:tplc="C2304072">
      <w:start w:val="1"/>
      <w:numFmt w:val="decimal"/>
      <w:lvlText w:val="%1."/>
      <w:lvlJc w:val="left"/>
      <w:pPr>
        <w:ind w:left="1070" w:hanging="360"/>
      </w:pPr>
      <w:rPr>
        <w:rFonts w:ascii="Times New Roman" w:eastAsiaTheme="minorHAnsi" w:hAnsi="Times New Roman" w:cs="Times New Roman"/>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0F5850CE"/>
    <w:multiLevelType w:val="hybridMultilevel"/>
    <w:tmpl w:val="7C7AF01C"/>
    <w:lvl w:ilvl="0" w:tplc="AC70E5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0F6140BB"/>
    <w:multiLevelType w:val="hybridMultilevel"/>
    <w:tmpl w:val="F45E3E7A"/>
    <w:lvl w:ilvl="0" w:tplc="B56A5706">
      <w:start w:val="1"/>
      <w:numFmt w:val="bullet"/>
      <w:lvlText w:val=""/>
      <w:lvlJc w:val="left"/>
      <w:pPr>
        <w:ind w:left="1287" w:hanging="360"/>
      </w:pPr>
      <w:rPr>
        <w:rFonts w:ascii="Symbol" w:hAnsi="Symbol" w:hint="default"/>
        <w:sz w:val="12"/>
        <w:szCs w:val="12"/>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nsid w:val="100555E8"/>
    <w:multiLevelType w:val="hybridMultilevel"/>
    <w:tmpl w:val="C8284ECC"/>
    <w:lvl w:ilvl="0" w:tplc="C2304072">
      <w:start w:val="1"/>
      <w:numFmt w:val="decimal"/>
      <w:lvlText w:val="%1."/>
      <w:lvlJc w:val="left"/>
      <w:pPr>
        <w:ind w:left="1069" w:hanging="360"/>
      </w:pPr>
      <w:rPr>
        <w:rFonts w:ascii="Times New Roman" w:eastAsiaTheme="minorHAnsi" w:hAnsi="Times New Roman" w:cs="Times New Roman"/>
        <w:b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4">
    <w:nsid w:val="102935C2"/>
    <w:multiLevelType w:val="hybridMultilevel"/>
    <w:tmpl w:val="11B24316"/>
    <w:lvl w:ilvl="0" w:tplc="B56A5706">
      <w:start w:val="1"/>
      <w:numFmt w:val="bullet"/>
      <w:lvlText w:val=""/>
      <w:lvlJc w:val="left"/>
      <w:pPr>
        <w:ind w:left="720" w:hanging="360"/>
      </w:pPr>
      <w:rPr>
        <w:rFonts w:ascii="Symbol" w:hAnsi="Symbol" w:hint="default"/>
        <w:sz w:val="12"/>
        <w:szCs w:val="1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10FC4ADD"/>
    <w:multiLevelType w:val="hybridMultilevel"/>
    <w:tmpl w:val="54B4FA50"/>
    <w:lvl w:ilvl="0" w:tplc="A38806DA">
      <w:start w:val="1"/>
      <w:numFmt w:val="decimal"/>
      <w:lvlText w:val="%1."/>
      <w:lvlJc w:val="left"/>
      <w:pPr>
        <w:ind w:left="1062" w:hanging="705"/>
      </w:pPr>
    </w:lvl>
    <w:lvl w:ilvl="1" w:tplc="04190019">
      <w:start w:val="1"/>
      <w:numFmt w:val="lowerLetter"/>
      <w:lvlText w:val="%2."/>
      <w:lvlJc w:val="left"/>
      <w:pPr>
        <w:ind w:left="1437" w:hanging="360"/>
      </w:pPr>
    </w:lvl>
    <w:lvl w:ilvl="2" w:tplc="0419001B">
      <w:start w:val="1"/>
      <w:numFmt w:val="lowerRoman"/>
      <w:lvlText w:val="%3."/>
      <w:lvlJc w:val="right"/>
      <w:pPr>
        <w:ind w:left="2157" w:hanging="180"/>
      </w:pPr>
    </w:lvl>
    <w:lvl w:ilvl="3" w:tplc="0419000F">
      <w:start w:val="1"/>
      <w:numFmt w:val="decimal"/>
      <w:lvlText w:val="%4."/>
      <w:lvlJc w:val="left"/>
      <w:pPr>
        <w:ind w:left="2877" w:hanging="360"/>
      </w:pPr>
    </w:lvl>
    <w:lvl w:ilvl="4" w:tplc="04190019">
      <w:start w:val="1"/>
      <w:numFmt w:val="lowerLetter"/>
      <w:lvlText w:val="%5."/>
      <w:lvlJc w:val="left"/>
      <w:pPr>
        <w:ind w:left="3597" w:hanging="360"/>
      </w:pPr>
    </w:lvl>
    <w:lvl w:ilvl="5" w:tplc="0419001B">
      <w:start w:val="1"/>
      <w:numFmt w:val="lowerRoman"/>
      <w:lvlText w:val="%6."/>
      <w:lvlJc w:val="right"/>
      <w:pPr>
        <w:ind w:left="4317" w:hanging="180"/>
      </w:pPr>
    </w:lvl>
    <w:lvl w:ilvl="6" w:tplc="0419000F">
      <w:start w:val="1"/>
      <w:numFmt w:val="decimal"/>
      <w:lvlText w:val="%7."/>
      <w:lvlJc w:val="left"/>
      <w:pPr>
        <w:ind w:left="5037" w:hanging="360"/>
      </w:pPr>
    </w:lvl>
    <w:lvl w:ilvl="7" w:tplc="04190019">
      <w:start w:val="1"/>
      <w:numFmt w:val="lowerLetter"/>
      <w:lvlText w:val="%8."/>
      <w:lvlJc w:val="left"/>
      <w:pPr>
        <w:ind w:left="5757" w:hanging="360"/>
      </w:pPr>
    </w:lvl>
    <w:lvl w:ilvl="8" w:tplc="0419001B">
      <w:start w:val="1"/>
      <w:numFmt w:val="lowerRoman"/>
      <w:lvlText w:val="%9."/>
      <w:lvlJc w:val="right"/>
      <w:pPr>
        <w:ind w:left="6477" w:hanging="180"/>
      </w:pPr>
    </w:lvl>
  </w:abstractNum>
  <w:abstractNum w:abstractNumId="26">
    <w:nsid w:val="11453BC6"/>
    <w:multiLevelType w:val="hybridMultilevel"/>
    <w:tmpl w:val="C0D07954"/>
    <w:lvl w:ilvl="0" w:tplc="03C05492">
      <w:start w:val="1"/>
      <w:numFmt w:val="bullet"/>
      <w:lvlText w:val=""/>
      <w:lvlJc w:val="left"/>
      <w:pPr>
        <w:ind w:left="720" w:hanging="360"/>
      </w:pPr>
      <w:rPr>
        <w:rFonts w:ascii="Symbol" w:hAnsi="Symbol" w:hint="default"/>
        <w:color w:val="auto"/>
        <w:sz w:val="12"/>
        <w:szCs w:val="1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11772975"/>
    <w:multiLevelType w:val="hybridMultilevel"/>
    <w:tmpl w:val="65FA9CEC"/>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122B3159"/>
    <w:multiLevelType w:val="hybridMultilevel"/>
    <w:tmpl w:val="DDFEEDA0"/>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125B58CD"/>
    <w:multiLevelType w:val="hybridMultilevel"/>
    <w:tmpl w:val="EAB25BE8"/>
    <w:lvl w:ilvl="0" w:tplc="C2304072">
      <w:start w:val="1"/>
      <w:numFmt w:val="decimal"/>
      <w:lvlText w:val="%1."/>
      <w:lvlJc w:val="left"/>
      <w:pPr>
        <w:ind w:left="1069" w:hanging="360"/>
      </w:pPr>
      <w:rPr>
        <w:rFonts w:ascii="Times New Roman" w:eastAsiaTheme="minorHAnsi" w:hAnsi="Times New Roman" w:cs="Times New Roman"/>
        <w:b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0">
    <w:nsid w:val="13A13401"/>
    <w:multiLevelType w:val="hybridMultilevel"/>
    <w:tmpl w:val="AB240ED6"/>
    <w:lvl w:ilvl="0" w:tplc="ACA6C722">
      <w:start w:val="1"/>
      <w:numFmt w:val="decimal"/>
      <w:lvlText w:val="%1."/>
      <w:lvlJc w:val="left"/>
      <w:pPr>
        <w:ind w:left="927" w:hanging="360"/>
      </w:pPr>
      <w:rPr>
        <w:rFonts w:ascii="Times New Roman" w:eastAsiaTheme="minorHAnsi" w:hAnsi="Times New Roman" w:cs="Times New Roman"/>
      </w:rPr>
    </w:lvl>
    <w:lvl w:ilvl="1" w:tplc="B56A5706">
      <w:start w:val="1"/>
      <w:numFmt w:val="bullet"/>
      <w:lvlText w:val=""/>
      <w:lvlJc w:val="left"/>
      <w:pPr>
        <w:ind w:left="1647" w:hanging="360"/>
      </w:pPr>
      <w:rPr>
        <w:rFonts w:ascii="Symbol" w:hAnsi="Symbol" w:hint="default"/>
        <w:sz w:val="12"/>
        <w:szCs w:val="12"/>
      </w:rPr>
    </w:lvl>
    <w:lvl w:ilvl="2" w:tplc="A68E3C38">
      <w:start w:val="1"/>
      <w:numFmt w:val="decimal"/>
      <w:lvlText w:val="%3)"/>
      <w:lvlJc w:val="left"/>
      <w:pPr>
        <w:ind w:left="2547" w:hanging="360"/>
      </w:pPr>
      <w:rPr>
        <w:rFonts w:hint="default"/>
      </w:r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13D223DA"/>
    <w:multiLevelType w:val="hybridMultilevel"/>
    <w:tmpl w:val="18C20C74"/>
    <w:lvl w:ilvl="0" w:tplc="C2304072">
      <w:start w:val="1"/>
      <w:numFmt w:val="decimal"/>
      <w:lvlText w:val="%1."/>
      <w:lvlJc w:val="left"/>
      <w:pPr>
        <w:ind w:left="1069" w:hanging="360"/>
      </w:pPr>
      <w:rPr>
        <w:rFonts w:ascii="Times New Roman" w:eastAsiaTheme="minorHAnsi" w:hAnsi="Times New Roman" w:cs="Times New Roman"/>
        <w:b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2">
    <w:nsid w:val="1409460E"/>
    <w:multiLevelType w:val="hybridMultilevel"/>
    <w:tmpl w:val="2CA0729C"/>
    <w:lvl w:ilvl="0" w:tplc="B56A5706">
      <w:start w:val="1"/>
      <w:numFmt w:val="bullet"/>
      <w:lvlText w:val=""/>
      <w:lvlJc w:val="left"/>
      <w:pPr>
        <w:ind w:left="1429" w:hanging="360"/>
      </w:pPr>
      <w:rPr>
        <w:rFonts w:ascii="Symbol" w:hAnsi="Symbol" w:hint="default"/>
        <w:sz w:val="12"/>
        <w:szCs w:val="1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14181C46"/>
    <w:multiLevelType w:val="hybridMultilevel"/>
    <w:tmpl w:val="AA560FF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14215E79"/>
    <w:multiLevelType w:val="hybridMultilevel"/>
    <w:tmpl w:val="26F6FD02"/>
    <w:lvl w:ilvl="0" w:tplc="04190011">
      <w:start w:val="1"/>
      <w:numFmt w:val="decimal"/>
      <w:lvlText w:val="%1)"/>
      <w:lvlJc w:val="left"/>
      <w:pPr>
        <w:ind w:left="360" w:hanging="360"/>
      </w:pPr>
      <w:rPr>
        <w:rFonts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35">
    <w:nsid w:val="14A77FFD"/>
    <w:multiLevelType w:val="hybridMultilevel"/>
    <w:tmpl w:val="A51A4FEA"/>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15242AAD"/>
    <w:multiLevelType w:val="hybridMultilevel"/>
    <w:tmpl w:val="F78C6B68"/>
    <w:lvl w:ilvl="0" w:tplc="B56A5706">
      <w:start w:val="1"/>
      <w:numFmt w:val="bullet"/>
      <w:lvlText w:val=""/>
      <w:lvlJc w:val="left"/>
      <w:pPr>
        <w:ind w:left="1429" w:hanging="360"/>
      </w:pPr>
      <w:rPr>
        <w:rFonts w:ascii="Symbol" w:hAnsi="Symbol" w:hint="default"/>
        <w:sz w:val="12"/>
        <w:szCs w:val="1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15521B74"/>
    <w:multiLevelType w:val="hybridMultilevel"/>
    <w:tmpl w:val="D6EA66D8"/>
    <w:lvl w:ilvl="0" w:tplc="B56A5706">
      <w:start w:val="1"/>
      <w:numFmt w:val="bullet"/>
      <w:lvlText w:val=""/>
      <w:lvlJc w:val="left"/>
      <w:pPr>
        <w:ind w:left="1287" w:hanging="360"/>
      </w:pPr>
      <w:rPr>
        <w:rFonts w:ascii="Symbol" w:hAnsi="Symbol" w:hint="default"/>
        <w:sz w:val="12"/>
        <w:szCs w:val="12"/>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8">
    <w:nsid w:val="15B20236"/>
    <w:multiLevelType w:val="hybridMultilevel"/>
    <w:tmpl w:val="168E9B76"/>
    <w:lvl w:ilvl="0" w:tplc="C2304072">
      <w:start w:val="1"/>
      <w:numFmt w:val="decimal"/>
      <w:lvlText w:val="%1."/>
      <w:lvlJc w:val="left"/>
      <w:pPr>
        <w:ind w:left="1429" w:hanging="360"/>
      </w:pPr>
      <w:rPr>
        <w:rFonts w:ascii="Times New Roman" w:eastAsiaTheme="minorHAnsi" w:hAnsi="Times New Roman" w:cs="Times New Roman"/>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168D5945"/>
    <w:multiLevelType w:val="hybridMultilevel"/>
    <w:tmpl w:val="C8C4B228"/>
    <w:lvl w:ilvl="0" w:tplc="C2304072">
      <w:start w:val="1"/>
      <w:numFmt w:val="decimal"/>
      <w:lvlText w:val="%1."/>
      <w:lvlJc w:val="left"/>
      <w:pPr>
        <w:ind w:left="1699" w:hanging="990"/>
      </w:pPr>
      <w:rPr>
        <w:rFonts w:ascii="Times New Roman" w:eastAsiaTheme="minorHAnsi" w:hAnsi="Times New Roman" w:cs="Times New Roman"/>
        <w:b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0">
    <w:nsid w:val="16AF7787"/>
    <w:multiLevelType w:val="hybridMultilevel"/>
    <w:tmpl w:val="7340028E"/>
    <w:lvl w:ilvl="0" w:tplc="B56A5706">
      <w:start w:val="1"/>
      <w:numFmt w:val="bullet"/>
      <w:lvlText w:val=""/>
      <w:lvlJc w:val="left"/>
      <w:pPr>
        <w:ind w:left="1429" w:hanging="360"/>
      </w:pPr>
      <w:rPr>
        <w:rFonts w:ascii="Symbol" w:hAnsi="Symbol" w:hint="default"/>
        <w:sz w:val="12"/>
        <w:szCs w:val="1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16EE54B4"/>
    <w:multiLevelType w:val="hybridMultilevel"/>
    <w:tmpl w:val="A222A206"/>
    <w:lvl w:ilvl="0" w:tplc="C2304072">
      <w:start w:val="1"/>
      <w:numFmt w:val="decimal"/>
      <w:lvlText w:val="%1."/>
      <w:lvlJc w:val="left"/>
      <w:pPr>
        <w:ind w:left="1069" w:hanging="360"/>
      </w:pPr>
      <w:rPr>
        <w:rFonts w:ascii="Times New Roman" w:eastAsiaTheme="minorHAnsi" w:hAnsi="Times New Roman" w:cs="Times New Roman"/>
        <w:b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2">
    <w:nsid w:val="170D0261"/>
    <w:multiLevelType w:val="hybridMultilevel"/>
    <w:tmpl w:val="019E5666"/>
    <w:lvl w:ilvl="0" w:tplc="978EBC4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176251C4"/>
    <w:multiLevelType w:val="hybridMultilevel"/>
    <w:tmpl w:val="55483228"/>
    <w:lvl w:ilvl="0" w:tplc="B56A5706">
      <w:start w:val="1"/>
      <w:numFmt w:val="bullet"/>
      <w:lvlText w:val=""/>
      <w:lvlJc w:val="left"/>
      <w:pPr>
        <w:ind w:left="720" w:hanging="360"/>
      </w:pPr>
      <w:rPr>
        <w:rFonts w:ascii="Symbol" w:hAnsi="Symbol" w:hint="default"/>
        <w:sz w:val="12"/>
        <w:szCs w:val="1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1790344E"/>
    <w:multiLevelType w:val="hybridMultilevel"/>
    <w:tmpl w:val="09CC322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17FA79E7"/>
    <w:multiLevelType w:val="hybridMultilevel"/>
    <w:tmpl w:val="BA38AE96"/>
    <w:lvl w:ilvl="0" w:tplc="B56A5706">
      <w:start w:val="1"/>
      <w:numFmt w:val="bullet"/>
      <w:lvlText w:val=""/>
      <w:lvlJc w:val="left"/>
      <w:pPr>
        <w:ind w:left="1287" w:hanging="360"/>
      </w:pPr>
      <w:rPr>
        <w:rFonts w:ascii="Symbol" w:hAnsi="Symbol" w:hint="default"/>
        <w:sz w:val="12"/>
        <w:szCs w:val="12"/>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6">
    <w:nsid w:val="184E26F7"/>
    <w:multiLevelType w:val="hybridMultilevel"/>
    <w:tmpl w:val="1E5C11A0"/>
    <w:lvl w:ilvl="0" w:tplc="978EBC4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978EBC4A">
      <w:start w:val="1"/>
      <w:numFmt w:val="bullet"/>
      <w:lvlText w:val=""/>
      <w:lvlJc w:val="left"/>
      <w:pPr>
        <w:ind w:left="2745" w:hanging="945"/>
      </w:pPr>
      <w:rPr>
        <w:rFonts w:ascii="Symbol" w:hAnsi="Symbol" w:hint="default"/>
        <w:color w:val="auto"/>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19410A7B"/>
    <w:multiLevelType w:val="hybridMultilevel"/>
    <w:tmpl w:val="8E12EF2E"/>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19AA3D9B"/>
    <w:multiLevelType w:val="hybridMultilevel"/>
    <w:tmpl w:val="3690B29E"/>
    <w:lvl w:ilvl="0" w:tplc="2E783E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1A1A1679"/>
    <w:multiLevelType w:val="hybridMultilevel"/>
    <w:tmpl w:val="DCB0DBC6"/>
    <w:lvl w:ilvl="0" w:tplc="A442E59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0">
    <w:nsid w:val="1A3B7DA0"/>
    <w:multiLevelType w:val="hybridMultilevel"/>
    <w:tmpl w:val="650883A6"/>
    <w:lvl w:ilvl="0" w:tplc="C2304072">
      <w:start w:val="1"/>
      <w:numFmt w:val="decimal"/>
      <w:lvlText w:val="%1."/>
      <w:lvlJc w:val="left"/>
      <w:pPr>
        <w:ind w:left="1069" w:hanging="360"/>
      </w:pPr>
      <w:rPr>
        <w:rFonts w:ascii="Times New Roman" w:eastAsiaTheme="minorHAnsi" w:hAnsi="Times New Roman" w:cs="Times New Roman"/>
        <w:b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1">
    <w:nsid w:val="1A567C09"/>
    <w:multiLevelType w:val="hybridMultilevel"/>
    <w:tmpl w:val="784EDACC"/>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nsid w:val="1AA55BBB"/>
    <w:multiLevelType w:val="hybridMultilevel"/>
    <w:tmpl w:val="B89CACE2"/>
    <w:lvl w:ilvl="0" w:tplc="978EBC4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3">
    <w:nsid w:val="1B3448C6"/>
    <w:multiLevelType w:val="hybridMultilevel"/>
    <w:tmpl w:val="F7D44B48"/>
    <w:lvl w:ilvl="0" w:tplc="B56A5706">
      <w:start w:val="1"/>
      <w:numFmt w:val="bullet"/>
      <w:lvlText w:val=""/>
      <w:lvlJc w:val="left"/>
      <w:pPr>
        <w:ind w:left="1429" w:hanging="360"/>
      </w:pPr>
      <w:rPr>
        <w:rFonts w:ascii="Symbol" w:hAnsi="Symbol" w:hint="default"/>
        <w:sz w:val="12"/>
        <w:szCs w:val="1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1C0B0215"/>
    <w:multiLevelType w:val="hybridMultilevel"/>
    <w:tmpl w:val="DD5A3FB0"/>
    <w:lvl w:ilvl="0" w:tplc="A104BB00">
      <w:start w:val="1"/>
      <w:numFmt w:val="decimal"/>
      <w:lvlText w:val="%1)"/>
      <w:lvlJc w:val="left"/>
      <w:pPr>
        <w:ind w:left="1287" w:hanging="360"/>
      </w:pPr>
      <w:rPr>
        <w:rFonts w:hint="default"/>
        <w:b w:val="0"/>
        <w:sz w:val="24"/>
        <w:szCs w:val="24"/>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5">
    <w:nsid w:val="1CE36ADC"/>
    <w:multiLevelType w:val="hybridMultilevel"/>
    <w:tmpl w:val="6B44A620"/>
    <w:lvl w:ilvl="0" w:tplc="04190011">
      <w:start w:val="1"/>
      <w:numFmt w:val="decimal"/>
      <w:lvlText w:val="%1)"/>
      <w:lvlJc w:val="left"/>
      <w:pPr>
        <w:ind w:left="2007" w:hanging="360"/>
      </w:pPr>
    </w:lvl>
    <w:lvl w:ilvl="1" w:tplc="93C80B90">
      <w:start w:val="1"/>
      <w:numFmt w:val="decimal"/>
      <w:lvlText w:val="%2."/>
      <w:lvlJc w:val="left"/>
      <w:pPr>
        <w:ind w:left="2727" w:hanging="360"/>
      </w:pPr>
      <w:rPr>
        <w:rFonts w:hint="default"/>
      </w:rPr>
    </w:lvl>
    <w:lvl w:ilvl="2" w:tplc="0419001B" w:tentative="1">
      <w:start w:val="1"/>
      <w:numFmt w:val="lowerRoman"/>
      <w:lvlText w:val="%3."/>
      <w:lvlJc w:val="right"/>
      <w:pPr>
        <w:ind w:left="3447" w:hanging="180"/>
      </w:pPr>
    </w:lvl>
    <w:lvl w:ilvl="3" w:tplc="0419000F" w:tentative="1">
      <w:start w:val="1"/>
      <w:numFmt w:val="decimal"/>
      <w:lvlText w:val="%4."/>
      <w:lvlJc w:val="left"/>
      <w:pPr>
        <w:ind w:left="4167" w:hanging="360"/>
      </w:pPr>
    </w:lvl>
    <w:lvl w:ilvl="4" w:tplc="04190019" w:tentative="1">
      <w:start w:val="1"/>
      <w:numFmt w:val="lowerLetter"/>
      <w:lvlText w:val="%5."/>
      <w:lvlJc w:val="left"/>
      <w:pPr>
        <w:ind w:left="4887" w:hanging="360"/>
      </w:pPr>
    </w:lvl>
    <w:lvl w:ilvl="5" w:tplc="0419001B" w:tentative="1">
      <w:start w:val="1"/>
      <w:numFmt w:val="lowerRoman"/>
      <w:lvlText w:val="%6."/>
      <w:lvlJc w:val="right"/>
      <w:pPr>
        <w:ind w:left="5607" w:hanging="180"/>
      </w:pPr>
    </w:lvl>
    <w:lvl w:ilvl="6" w:tplc="0419000F" w:tentative="1">
      <w:start w:val="1"/>
      <w:numFmt w:val="decimal"/>
      <w:lvlText w:val="%7."/>
      <w:lvlJc w:val="left"/>
      <w:pPr>
        <w:ind w:left="6327" w:hanging="360"/>
      </w:pPr>
    </w:lvl>
    <w:lvl w:ilvl="7" w:tplc="04190019" w:tentative="1">
      <w:start w:val="1"/>
      <w:numFmt w:val="lowerLetter"/>
      <w:lvlText w:val="%8."/>
      <w:lvlJc w:val="left"/>
      <w:pPr>
        <w:ind w:left="7047" w:hanging="360"/>
      </w:pPr>
    </w:lvl>
    <w:lvl w:ilvl="8" w:tplc="0419001B" w:tentative="1">
      <w:start w:val="1"/>
      <w:numFmt w:val="lowerRoman"/>
      <w:lvlText w:val="%9."/>
      <w:lvlJc w:val="right"/>
      <w:pPr>
        <w:ind w:left="7767" w:hanging="180"/>
      </w:pPr>
    </w:lvl>
  </w:abstractNum>
  <w:abstractNum w:abstractNumId="56">
    <w:nsid w:val="1D5B58CB"/>
    <w:multiLevelType w:val="hybridMultilevel"/>
    <w:tmpl w:val="7CC877D0"/>
    <w:lvl w:ilvl="0" w:tplc="B56A5706">
      <w:start w:val="1"/>
      <w:numFmt w:val="bullet"/>
      <w:lvlText w:val=""/>
      <w:lvlJc w:val="left"/>
      <w:pPr>
        <w:ind w:left="1287" w:hanging="360"/>
      </w:pPr>
      <w:rPr>
        <w:rFonts w:ascii="Symbol" w:hAnsi="Symbol" w:hint="default"/>
        <w:sz w:val="12"/>
        <w:szCs w:val="12"/>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7">
    <w:nsid w:val="1E28093B"/>
    <w:multiLevelType w:val="hybridMultilevel"/>
    <w:tmpl w:val="9A74EE0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1F6820A3"/>
    <w:multiLevelType w:val="hybridMultilevel"/>
    <w:tmpl w:val="6E24B9DE"/>
    <w:lvl w:ilvl="0" w:tplc="04190011">
      <w:start w:val="1"/>
      <w:numFmt w:val="decimal"/>
      <w:lvlText w:val="%1)"/>
      <w:lvlJc w:val="left"/>
      <w:pPr>
        <w:ind w:left="360" w:hanging="360"/>
      </w:pPr>
      <w:rPr>
        <w:rFonts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59">
    <w:nsid w:val="20297FA8"/>
    <w:multiLevelType w:val="hybridMultilevel"/>
    <w:tmpl w:val="4810EDC4"/>
    <w:lvl w:ilvl="0" w:tplc="B56A5706">
      <w:start w:val="1"/>
      <w:numFmt w:val="bullet"/>
      <w:lvlText w:val=""/>
      <w:lvlJc w:val="left"/>
      <w:pPr>
        <w:ind w:left="1287" w:hanging="360"/>
      </w:pPr>
      <w:rPr>
        <w:rFonts w:ascii="Symbol" w:hAnsi="Symbol" w:hint="default"/>
        <w:sz w:val="12"/>
        <w:szCs w:val="12"/>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0">
    <w:nsid w:val="203B2721"/>
    <w:multiLevelType w:val="hybridMultilevel"/>
    <w:tmpl w:val="9E803EFA"/>
    <w:lvl w:ilvl="0" w:tplc="4D44AB56">
      <w:start w:val="1"/>
      <w:numFmt w:val="decimal"/>
      <w:lvlText w:val="%1)"/>
      <w:lvlJc w:val="left"/>
      <w:pPr>
        <w:ind w:left="1558" w:hanging="99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1">
    <w:nsid w:val="20882BE3"/>
    <w:multiLevelType w:val="hybridMultilevel"/>
    <w:tmpl w:val="E0E4423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2">
    <w:nsid w:val="209C3039"/>
    <w:multiLevelType w:val="hybridMultilevel"/>
    <w:tmpl w:val="4ADC53DC"/>
    <w:lvl w:ilvl="0" w:tplc="B56A5706">
      <w:start w:val="1"/>
      <w:numFmt w:val="bullet"/>
      <w:lvlText w:val=""/>
      <w:lvlJc w:val="left"/>
      <w:pPr>
        <w:ind w:left="1429" w:hanging="360"/>
      </w:pPr>
      <w:rPr>
        <w:rFonts w:ascii="Symbol" w:hAnsi="Symbol" w:hint="default"/>
        <w:sz w:val="12"/>
        <w:szCs w:val="1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3">
    <w:nsid w:val="20A21C97"/>
    <w:multiLevelType w:val="hybridMultilevel"/>
    <w:tmpl w:val="F23681AC"/>
    <w:lvl w:ilvl="0" w:tplc="978EBC4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2162762A"/>
    <w:multiLevelType w:val="hybridMultilevel"/>
    <w:tmpl w:val="E2209C12"/>
    <w:lvl w:ilvl="0" w:tplc="69D2F630">
      <w:start w:val="2"/>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23787A81"/>
    <w:multiLevelType w:val="hybridMultilevel"/>
    <w:tmpl w:val="EFF40AEA"/>
    <w:lvl w:ilvl="0" w:tplc="978EBC4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6">
    <w:nsid w:val="237D1E3C"/>
    <w:multiLevelType w:val="hybridMultilevel"/>
    <w:tmpl w:val="3FD2C732"/>
    <w:lvl w:ilvl="0" w:tplc="B56A5706">
      <w:start w:val="1"/>
      <w:numFmt w:val="bullet"/>
      <w:lvlText w:val=""/>
      <w:lvlJc w:val="left"/>
      <w:pPr>
        <w:ind w:left="1429" w:hanging="360"/>
      </w:pPr>
      <w:rPr>
        <w:rFonts w:ascii="Symbol" w:hAnsi="Symbol" w:hint="default"/>
        <w:sz w:val="12"/>
        <w:szCs w:val="1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7">
    <w:nsid w:val="239A0817"/>
    <w:multiLevelType w:val="hybridMultilevel"/>
    <w:tmpl w:val="159C4DDE"/>
    <w:lvl w:ilvl="0" w:tplc="C2304072">
      <w:start w:val="1"/>
      <w:numFmt w:val="decimal"/>
      <w:lvlText w:val="%1."/>
      <w:lvlJc w:val="left"/>
      <w:pPr>
        <w:ind w:left="1069" w:hanging="360"/>
      </w:pPr>
      <w:rPr>
        <w:rFonts w:ascii="Times New Roman" w:eastAsiaTheme="minorHAnsi" w:hAnsi="Times New Roman" w:cs="Times New Roman"/>
        <w:b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8">
    <w:nsid w:val="239E26FE"/>
    <w:multiLevelType w:val="hybridMultilevel"/>
    <w:tmpl w:val="38BE1FFE"/>
    <w:lvl w:ilvl="0" w:tplc="BFCC7B6A">
      <w:start w:val="1"/>
      <w:numFmt w:val="decimal"/>
      <w:lvlText w:val="%1"/>
      <w:lvlJc w:val="left"/>
      <w:pPr>
        <w:ind w:left="-360" w:hanging="360"/>
      </w:pPr>
      <w:rPr>
        <w:rFonts w:ascii="Times New Roman" w:eastAsia="Calibri" w:hAnsi="Times New Roman" w:cs="Times New Roman"/>
      </w:rPr>
    </w:lvl>
    <w:lvl w:ilvl="1" w:tplc="04190019" w:tentative="1">
      <w:start w:val="1"/>
      <w:numFmt w:val="lowerLetter"/>
      <w:lvlText w:val="%2."/>
      <w:lvlJc w:val="left"/>
      <w:pPr>
        <w:ind w:left="360" w:hanging="360"/>
      </w:pPr>
    </w:lvl>
    <w:lvl w:ilvl="2" w:tplc="0419001B" w:tentative="1">
      <w:start w:val="1"/>
      <w:numFmt w:val="lowerRoman"/>
      <w:lvlText w:val="%3."/>
      <w:lvlJc w:val="right"/>
      <w:pPr>
        <w:ind w:left="1080" w:hanging="180"/>
      </w:pPr>
    </w:lvl>
    <w:lvl w:ilvl="3" w:tplc="0419000F" w:tentative="1">
      <w:start w:val="1"/>
      <w:numFmt w:val="decimal"/>
      <w:lvlText w:val="%4."/>
      <w:lvlJc w:val="left"/>
      <w:pPr>
        <w:ind w:left="1800" w:hanging="360"/>
      </w:pPr>
    </w:lvl>
    <w:lvl w:ilvl="4" w:tplc="04190019" w:tentative="1">
      <w:start w:val="1"/>
      <w:numFmt w:val="lowerLetter"/>
      <w:lvlText w:val="%5."/>
      <w:lvlJc w:val="left"/>
      <w:pPr>
        <w:ind w:left="2520" w:hanging="360"/>
      </w:pPr>
    </w:lvl>
    <w:lvl w:ilvl="5" w:tplc="0419001B" w:tentative="1">
      <w:start w:val="1"/>
      <w:numFmt w:val="lowerRoman"/>
      <w:lvlText w:val="%6."/>
      <w:lvlJc w:val="right"/>
      <w:pPr>
        <w:ind w:left="3240" w:hanging="180"/>
      </w:pPr>
    </w:lvl>
    <w:lvl w:ilvl="6" w:tplc="0419000F" w:tentative="1">
      <w:start w:val="1"/>
      <w:numFmt w:val="decimal"/>
      <w:lvlText w:val="%7."/>
      <w:lvlJc w:val="left"/>
      <w:pPr>
        <w:ind w:left="3960" w:hanging="360"/>
      </w:pPr>
    </w:lvl>
    <w:lvl w:ilvl="7" w:tplc="04190019" w:tentative="1">
      <w:start w:val="1"/>
      <w:numFmt w:val="lowerLetter"/>
      <w:lvlText w:val="%8."/>
      <w:lvlJc w:val="left"/>
      <w:pPr>
        <w:ind w:left="4680" w:hanging="360"/>
      </w:pPr>
    </w:lvl>
    <w:lvl w:ilvl="8" w:tplc="0419001B" w:tentative="1">
      <w:start w:val="1"/>
      <w:numFmt w:val="lowerRoman"/>
      <w:lvlText w:val="%9."/>
      <w:lvlJc w:val="right"/>
      <w:pPr>
        <w:ind w:left="5400" w:hanging="180"/>
      </w:pPr>
    </w:lvl>
  </w:abstractNum>
  <w:abstractNum w:abstractNumId="69">
    <w:nsid w:val="239E2DD4"/>
    <w:multiLevelType w:val="hybridMultilevel"/>
    <w:tmpl w:val="9FFAB9E2"/>
    <w:lvl w:ilvl="0" w:tplc="B56A5706">
      <w:start w:val="1"/>
      <w:numFmt w:val="bullet"/>
      <w:lvlText w:val=""/>
      <w:lvlJc w:val="left"/>
      <w:pPr>
        <w:ind w:left="1287" w:hanging="360"/>
      </w:pPr>
      <w:rPr>
        <w:rFonts w:ascii="Symbol" w:hAnsi="Symbol" w:hint="default"/>
        <w:sz w:val="12"/>
        <w:szCs w:val="12"/>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0">
    <w:nsid w:val="24504599"/>
    <w:multiLevelType w:val="hybridMultilevel"/>
    <w:tmpl w:val="842CFD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24BB57F3"/>
    <w:multiLevelType w:val="hybridMultilevel"/>
    <w:tmpl w:val="8A1A9802"/>
    <w:lvl w:ilvl="0" w:tplc="0DEC92D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2">
    <w:nsid w:val="24E1134E"/>
    <w:multiLevelType w:val="hybridMultilevel"/>
    <w:tmpl w:val="842E77EA"/>
    <w:lvl w:ilvl="0" w:tplc="C6263720">
      <w:start w:val="1"/>
      <w:numFmt w:val="decimal"/>
      <w:lvlText w:val="%1)"/>
      <w:lvlJc w:val="left"/>
      <w:pPr>
        <w:ind w:left="720" w:hanging="360"/>
      </w:pPr>
      <w:rPr>
        <w:rFonts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25351471"/>
    <w:multiLevelType w:val="hybridMultilevel"/>
    <w:tmpl w:val="AA3AF792"/>
    <w:lvl w:ilvl="0" w:tplc="978EBC4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4">
    <w:nsid w:val="257953E8"/>
    <w:multiLevelType w:val="hybridMultilevel"/>
    <w:tmpl w:val="6D5CD846"/>
    <w:lvl w:ilvl="0" w:tplc="B56A5706">
      <w:start w:val="1"/>
      <w:numFmt w:val="bullet"/>
      <w:lvlText w:val=""/>
      <w:lvlJc w:val="left"/>
      <w:pPr>
        <w:ind w:left="1429" w:hanging="360"/>
      </w:pPr>
      <w:rPr>
        <w:rFonts w:ascii="Symbol" w:hAnsi="Symbol" w:hint="default"/>
        <w:sz w:val="12"/>
        <w:szCs w:val="1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258E019C"/>
    <w:multiLevelType w:val="hybridMultilevel"/>
    <w:tmpl w:val="78E69C34"/>
    <w:lvl w:ilvl="0" w:tplc="3E6AEDD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6">
    <w:nsid w:val="259A41CB"/>
    <w:multiLevelType w:val="hybridMultilevel"/>
    <w:tmpl w:val="9142F87E"/>
    <w:lvl w:ilvl="0" w:tplc="C2304072">
      <w:start w:val="1"/>
      <w:numFmt w:val="decimal"/>
      <w:lvlText w:val="%1."/>
      <w:lvlJc w:val="left"/>
      <w:pPr>
        <w:ind w:left="360" w:hanging="360"/>
      </w:pPr>
      <w:rPr>
        <w:rFonts w:ascii="Times New Roman" w:eastAsiaTheme="minorHAnsi" w:hAnsi="Times New Roman" w:cs="Times New Roman"/>
        <w:b w:val="0"/>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77">
    <w:nsid w:val="260C65C3"/>
    <w:multiLevelType w:val="hybridMultilevel"/>
    <w:tmpl w:val="52643E5C"/>
    <w:lvl w:ilvl="0" w:tplc="978EBC4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26E601DC"/>
    <w:multiLevelType w:val="hybridMultilevel"/>
    <w:tmpl w:val="EF1211E6"/>
    <w:lvl w:ilvl="0" w:tplc="B56A5706">
      <w:start w:val="1"/>
      <w:numFmt w:val="bullet"/>
      <w:lvlText w:val=""/>
      <w:lvlJc w:val="left"/>
      <w:pPr>
        <w:ind w:left="1065" w:hanging="360"/>
      </w:pPr>
      <w:rPr>
        <w:rFonts w:ascii="Symbol" w:hAnsi="Symbol" w:hint="default"/>
        <w:sz w:val="12"/>
        <w:szCs w:val="12"/>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79">
    <w:nsid w:val="270531C6"/>
    <w:multiLevelType w:val="hybridMultilevel"/>
    <w:tmpl w:val="8D2AEC22"/>
    <w:lvl w:ilvl="0" w:tplc="C2304072">
      <w:start w:val="1"/>
      <w:numFmt w:val="decimal"/>
      <w:lvlText w:val="%1."/>
      <w:lvlJc w:val="left"/>
      <w:pPr>
        <w:ind w:left="1429" w:hanging="360"/>
      </w:pPr>
      <w:rPr>
        <w:rFonts w:ascii="Times New Roman" w:eastAsiaTheme="minorHAnsi" w:hAnsi="Times New Roman" w:cs="Times New Roman"/>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27F47176"/>
    <w:multiLevelType w:val="hybridMultilevel"/>
    <w:tmpl w:val="8EE8CAC0"/>
    <w:lvl w:ilvl="0" w:tplc="D2164F6E">
      <w:start w:val="1"/>
      <w:numFmt w:val="decimal"/>
      <w:lvlText w:val="%1"/>
      <w:lvlJc w:val="left"/>
      <w:pPr>
        <w:ind w:left="-360" w:hanging="360"/>
      </w:pPr>
      <w:rPr>
        <w:rFonts w:ascii="Times New Roman" w:eastAsia="Calibri" w:hAnsi="Times New Roman" w:cs="Times New Roman"/>
        <w:b w:val="0"/>
        <w:sz w:val="22"/>
      </w:rPr>
    </w:lvl>
    <w:lvl w:ilvl="1" w:tplc="04190019" w:tentative="1">
      <w:start w:val="1"/>
      <w:numFmt w:val="lowerLetter"/>
      <w:lvlText w:val="%2."/>
      <w:lvlJc w:val="left"/>
      <w:pPr>
        <w:ind w:left="360" w:hanging="360"/>
      </w:pPr>
    </w:lvl>
    <w:lvl w:ilvl="2" w:tplc="0419001B" w:tentative="1">
      <w:start w:val="1"/>
      <w:numFmt w:val="lowerRoman"/>
      <w:lvlText w:val="%3."/>
      <w:lvlJc w:val="right"/>
      <w:pPr>
        <w:ind w:left="1080" w:hanging="180"/>
      </w:pPr>
    </w:lvl>
    <w:lvl w:ilvl="3" w:tplc="0419000F" w:tentative="1">
      <w:start w:val="1"/>
      <w:numFmt w:val="decimal"/>
      <w:lvlText w:val="%4."/>
      <w:lvlJc w:val="left"/>
      <w:pPr>
        <w:ind w:left="1800" w:hanging="360"/>
      </w:pPr>
    </w:lvl>
    <w:lvl w:ilvl="4" w:tplc="04190019" w:tentative="1">
      <w:start w:val="1"/>
      <w:numFmt w:val="lowerLetter"/>
      <w:lvlText w:val="%5."/>
      <w:lvlJc w:val="left"/>
      <w:pPr>
        <w:ind w:left="2520" w:hanging="360"/>
      </w:pPr>
    </w:lvl>
    <w:lvl w:ilvl="5" w:tplc="0419001B" w:tentative="1">
      <w:start w:val="1"/>
      <w:numFmt w:val="lowerRoman"/>
      <w:lvlText w:val="%6."/>
      <w:lvlJc w:val="right"/>
      <w:pPr>
        <w:ind w:left="3240" w:hanging="180"/>
      </w:pPr>
    </w:lvl>
    <w:lvl w:ilvl="6" w:tplc="0419000F" w:tentative="1">
      <w:start w:val="1"/>
      <w:numFmt w:val="decimal"/>
      <w:lvlText w:val="%7."/>
      <w:lvlJc w:val="left"/>
      <w:pPr>
        <w:ind w:left="3960" w:hanging="360"/>
      </w:pPr>
    </w:lvl>
    <w:lvl w:ilvl="7" w:tplc="04190019" w:tentative="1">
      <w:start w:val="1"/>
      <w:numFmt w:val="lowerLetter"/>
      <w:lvlText w:val="%8."/>
      <w:lvlJc w:val="left"/>
      <w:pPr>
        <w:ind w:left="4680" w:hanging="360"/>
      </w:pPr>
    </w:lvl>
    <w:lvl w:ilvl="8" w:tplc="0419001B" w:tentative="1">
      <w:start w:val="1"/>
      <w:numFmt w:val="lowerRoman"/>
      <w:lvlText w:val="%9."/>
      <w:lvlJc w:val="right"/>
      <w:pPr>
        <w:ind w:left="5400" w:hanging="180"/>
      </w:pPr>
    </w:lvl>
  </w:abstractNum>
  <w:abstractNum w:abstractNumId="81">
    <w:nsid w:val="282B38AE"/>
    <w:multiLevelType w:val="hybridMultilevel"/>
    <w:tmpl w:val="442E12C8"/>
    <w:lvl w:ilvl="0" w:tplc="B56A5706">
      <w:start w:val="1"/>
      <w:numFmt w:val="bullet"/>
      <w:lvlText w:val=""/>
      <w:lvlJc w:val="left"/>
      <w:pPr>
        <w:ind w:left="720" w:hanging="360"/>
      </w:pPr>
      <w:rPr>
        <w:rFonts w:ascii="Symbol" w:hAnsi="Symbol" w:hint="default"/>
        <w:sz w:val="12"/>
        <w:szCs w:val="1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29607092"/>
    <w:multiLevelType w:val="hybridMultilevel"/>
    <w:tmpl w:val="C780328C"/>
    <w:lvl w:ilvl="0" w:tplc="C2304072">
      <w:start w:val="1"/>
      <w:numFmt w:val="decimal"/>
      <w:lvlText w:val="%1."/>
      <w:lvlJc w:val="left"/>
      <w:pPr>
        <w:ind w:left="1429" w:hanging="360"/>
      </w:pPr>
      <w:rPr>
        <w:rFonts w:ascii="Times New Roman" w:eastAsiaTheme="minorHAnsi" w:hAnsi="Times New Roman" w:cs="Times New Roman"/>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297D5166"/>
    <w:multiLevelType w:val="hybridMultilevel"/>
    <w:tmpl w:val="F25A05EC"/>
    <w:lvl w:ilvl="0" w:tplc="B08CA18C">
      <w:start w:val="1"/>
      <w:numFmt w:val="bullet"/>
      <w:lvlText w:val="−"/>
      <w:lvlJc w:val="left"/>
      <w:pPr>
        <w:ind w:left="2574" w:hanging="360"/>
      </w:pPr>
      <w:rPr>
        <w:rFonts w:ascii="Times New Roman" w:hAnsi="Times New Roman" w:cs="Times New Roman" w:hint="default"/>
      </w:rPr>
    </w:lvl>
    <w:lvl w:ilvl="1" w:tplc="B56A5706">
      <w:start w:val="1"/>
      <w:numFmt w:val="bullet"/>
      <w:lvlText w:val=""/>
      <w:lvlJc w:val="left"/>
      <w:pPr>
        <w:ind w:left="1440" w:hanging="360"/>
      </w:pPr>
      <w:rPr>
        <w:rFonts w:ascii="Symbol" w:hAnsi="Symbol" w:hint="default"/>
        <w:sz w:val="12"/>
        <w:szCs w:val="12"/>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4">
    <w:nsid w:val="299A2724"/>
    <w:multiLevelType w:val="hybridMultilevel"/>
    <w:tmpl w:val="A99E9F88"/>
    <w:lvl w:ilvl="0" w:tplc="C2304072">
      <w:start w:val="1"/>
      <w:numFmt w:val="decimal"/>
      <w:lvlText w:val="%1."/>
      <w:lvlJc w:val="left"/>
      <w:pPr>
        <w:ind w:left="720" w:hanging="360"/>
      </w:pPr>
      <w:rPr>
        <w:rFonts w:ascii="Times New Roman" w:eastAsiaTheme="minorHAnsi"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2A083A71"/>
    <w:multiLevelType w:val="hybridMultilevel"/>
    <w:tmpl w:val="73F03EA0"/>
    <w:lvl w:ilvl="0" w:tplc="C2304072">
      <w:start w:val="1"/>
      <w:numFmt w:val="decimal"/>
      <w:lvlText w:val="%1."/>
      <w:lvlJc w:val="left"/>
      <w:pPr>
        <w:ind w:left="1069" w:hanging="360"/>
      </w:pPr>
      <w:rPr>
        <w:rFonts w:ascii="Times New Roman" w:eastAsiaTheme="minorHAnsi" w:hAnsi="Times New Roman" w:cs="Times New Roman"/>
        <w:b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6">
    <w:nsid w:val="2A582926"/>
    <w:multiLevelType w:val="hybridMultilevel"/>
    <w:tmpl w:val="9C04C4BC"/>
    <w:lvl w:ilvl="0" w:tplc="C2304072">
      <w:start w:val="1"/>
      <w:numFmt w:val="decimal"/>
      <w:lvlText w:val="%1."/>
      <w:lvlJc w:val="left"/>
      <w:pPr>
        <w:ind w:left="1069" w:hanging="360"/>
      </w:pPr>
      <w:rPr>
        <w:rFonts w:ascii="Times New Roman" w:eastAsiaTheme="minorHAnsi" w:hAnsi="Times New Roman" w:cs="Times New Roman"/>
        <w:b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7">
    <w:nsid w:val="2BAA436B"/>
    <w:multiLevelType w:val="hybridMultilevel"/>
    <w:tmpl w:val="442E26E8"/>
    <w:lvl w:ilvl="0" w:tplc="B56A5706">
      <w:start w:val="1"/>
      <w:numFmt w:val="bullet"/>
      <w:lvlText w:val=""/>
      <w:lvlJc w:val="left"/>
      <w:pPr>
        <w:ind w:left="1429" w:hanging="360"/>
      </w:pPr>
      <w:rPr>
        <w:rFonts w:ascii="Symbol" w:hAnsi="Symbol" w:hint="default"/>
        <w:sz w:val="12"/>
        <w:szCs w:val="1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8">
    <w:nsid w:val="2C3406F3"/>
    <w:multiLevelType w:val="hybridMultilevel"/>
    <w:tmpl w:val="9CBED34A"/>
    <w:lvl w:ilvl="0" w:tplc="B56A5706">
      <w:start w:val="1"/>
      <w:numFmt w:val="bullet"/>
      <w:lvlText w:val=""/>
      <w:lvlJc w:val="left"/>
      <w:pPr>
        <w:ind w:left="1429" w:hanging="360"/>
      </w:pPr>
      <w:rPr>
        <w:rFonts w:ascii="Symbol" w:hAnsi="Symbol" w:hint="default"/>
        <w:sz w:val="12"/>
        <w:szCs w:val="1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9">
    <w:nsid w:val="2CB7127A"/>
    <w:multiLevelType w:val="hybridMultilevel"/>
    <w:tmpl w:val="07440AFC"/>
    <w:lvl w:ilvl="0" w:tplc="B56A5706">
      <w:start w:val="1"/>
      <w:numFmt w:val="bullet"/>
      <w:lvlText w:val=""/>
      <w:lvlJc w:val="left"/>
      <w:pPr>
        <w:ind w:left="1287" w:hanging="360"/>
      </w:pPr>
      <w:rPr>
        <w:rFonts w:ascii="Symbol" w:hAnsi="Symbol" w:hint="default"/>
        <w:sz w:val="12"/>
        <w:szCs w:val="12"/>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0">
    <w:nsid w:val="2CCE1877"/>
    <w:multiLevelType w:val="hybridMultilevel"/>
    <w:tmpl w:val="6C6A791A"/>
    <w:lvl w:ilvl="0" w:tplc="B56A5706">
      <w:start w:val="1"/>
      <w:numFmt w:val="bullet"/>
      <w:lvlText w:val=""/>
      <w:lvlJc w:val="left"/>
      <w:pPr>
        <w:ind w:left="2149" w:hanging="360"/>
      </w:pPr>
      <w:rPr>
        <w:rFonts w:ascii="Symbol" w:hAnsi="Symbol" w:hint="default"/>
        <w:sz w:val="12"/>
        <w:szCs w:val="12"/>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91">
    <w:nsid w:val="2D1D5B53"/>
    <w:multiLevelType w:val="hybridMultilevel"/>
    <w:tmpl w:val="9C46B39A"/>
    <w:lvl w:ilvl="0" w:tplc="B56A5706">
      <w:start w:val="1"/>
      <w:numFmt w:val="bullet"/>
      <w:lvlText w:val=""/>
      <w:lvlJc w:val="left"/>
      <w:pPr>
        <w:ind w:left="1429" w:hanging="360"/>
      </w:pPr>
      <w:rPr>
        <w:rFonts w:ascii="Symbol" w:hAnsi="Symbol" w:hint="default"/>
        <w:sz w:val="12"/>
        <w:szCs w:val="1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2">
    <w:nsid w:val="2E5D54F4"/>
    <w:multiLevelType w:val="hybridMultilevel"/>
    <w:tmpl w:val="CF84B4A2"/>
    <w:lvl w:ilvl="0" w:tplc="04190011">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2E744DBA"/>
    <w:multiLevelType w:val="hybridMultilevel"/>
    <w:tmpl w:val="3EA6E614"/>
    <w:lvl w:ilvl="0" w:tplc="C2304072">
      <w:start w:val="1"/>
      <w:numFmt w:val="decimal"/>
      <w:lvlText w:val="%1."/>
      <w:lvlJc w:val="left"/>
      <w:pPr>
        <w:ind w:left="1069" w:hanging="360"/>
      </w:pPr>
      <w:rPr>
        <w:rFonts w:ascii="Times New Roman" w:eastAsiaTheme="minorHAnsi" w:hAnsi="Times New Roman" w:cs="Times New Roman"/>
        <w:b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4">
    <w:nsid w:val="2F644DD2"/>
    <w:multiLevelType w:val="hybridMultilevel"/>
    <w:tmpl w:val="62363E44"/>
    <w:lvl w:ilvl="0" w:tplc="C2304072">
      <w:start w:val="1"/>
      <w:numFmt w:val="decimal"/>
      <w:lvlText w:val="%1."/>
      <w:lvlJc w:val="left"/>
      <w:pPr>
        <w:ind w:left="1069" w:hanging="360"/>
      </w:pPr>
      <w:rPr>
        <w:rFonts w:ascii="Times New Roman" w:eastAsiaTheme="minorHAnsi" w:hAnsi="Times New Roman" w:cs="Times New Roman"/>
        <w:b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5">
    <w:nsid w:val="2F74222D"/>
    <w:multiLevelType w:val="hybridMultilevel"/>
    <w:tmpl w:val="7B889634"/>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6">
    <w:nsid w:val="2F7D7E2C"/>
    <w:multiLevelType w:val="hybridMultilevel"/>
    <w:tmpl w:val="A86A75CC"/>
    <w:lvl w:ilvl="0" w:tplc="A6DCC8FA">
      <w:start w:val="1"/>
      <w:numFmt w:val="decimal"/>
      <w:lvlText w:val="%1)"/>
      <w:lvlJc w:val="left"/>
      <w:pPr>
        <w:ind w:left="720" w:hanging="360"/>
      </w:pPr>
      <w:rPr>
        <w:rFonts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7">
    <w:nsid w:val="2FE637AA"/>
    <w:multiLevelType w:val="hybridMultilevel"/>
    <w:tmpl w:val="2C3EA4FE"/>
    <w:lvl w:ilvl="0" w:tplc="1168181C">
      <w:start w:val="1"/>
      <w:numFmt w:val="decimal"/>
      <w:lvlText w:val="%1."/>
      <w:lvlJc w:val="left"/>
      <w:pPr>
        <w:ind w:left="1287" w:hanging="360"/>
      </w:pPr>
      <w:rPr>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8">
    <w:nsid w:val="3027796F"/>
    <w:multiLevelType w:val="hybridMultilevel"/>
    <w:tmpl w:val="AFDE85A0"/>
    <w:lvl w:ilvl="0" w:tplc="C2304072">
      <w:start w:val="1"/>
      <w:numFmt w:val="decimal"/>
      <w:lvlText w:val="%1."/>
      <w:lvlJc w:val="left"/>
      <w:pPr>
        <w:ind w:left="720" w:hanging="360"/>
      </w:pPr>
      <w:rPr>
        <w:rFonts w:ascii="Times New Roman" w:eastAsiaTheme="minorHAnsi"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305C7FB2"/>
    <w:multiLevelType w:val="hybridMultilevel"/>
    <w:tmpl w:val="34FAB376"/>
    <w:lvl w:ilvl="0" w:tplc="B56A5706">
      <w:start w:val="1"/>
      <w:numFmt w:val="bullet"/>
      <w:lvlText w:val=""/>
      <w:lvlJc w:val="left"/>
      <w:pPr>
        <w:ind w:left="1428" w:hanging="360"/>
      </w:pPr>
      <w:rPr>
        <w:rFonts w:ascii="Symbol" w:hAnsi="Symbol" w:hint="default"/>
        <w:sz w:val="12"/>
        <w:szCs w:val="12"/>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0">
    <w:nsid w:val="30904529"/>
    <w:multiLevelType w:val="hybridMultilevel"/>
    <w:tmpl w:val="D9C4F090"/>
    <w:lvl w:ilvl="0" w:tplc="B56A5706">
      <w:start w:val="1"/>
      <w:numFmt w:val="bullet"/>
      <w:lvlText w:val=""/>
      <w:lvlJc w:val="left"/>
      <w:pPr>
        <w:ind w:left="1428" w:hanging="360"/>
      </w:pPr>
      <w:rPr>
        <w:rFonts w:ascii="Symbol" w:hAnsi="Symbol" w:hint="default"/>
        <w:sz w:val="12"/>
        <w:szCs w:val="12"/>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1">
    <w:nsid w:val="30C53602"/>
    <w:multiLevelType w:val="hybridMultilevel"/>
    <w:tmpl w:val="37980D08"/>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2">
    <w:nsid w:val="30CD640C"/>
    <w:multiLevelType w:val="hybridMultilevel"/>
    <w:tmpl w:val="DDD2803A"/>
    <w:lvl w:ilvl="0" w:tplc="B56A5706">
      <w:start w:val="1"/>
      <w:numFmt w:val="bullet"/>
      <w:lvlText w:val=""/>
      <w:lvlJc w:val="left"/>
      <w:pPr>
        <w:ind w:left="1429" w:hanging="360"/>
      </w:pPr>
      <w:rPr>
        <w:rFonts w:ascii="Symbol" w:hAnsi="Symbol" w:hint="default"/>
        <w:sz w:val="12"/>
        <w:szCs w:val="1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3">
    <w:nsid w:val="31AB1C9D"/>
    <w:multiLevelType w:val="hybridMultilevel"/>
    <w:tmpl w:val="F3465BF4"/>
    <w:lvl w:ilvl="0" w:tplc="03C05492">
      <w:start w:val="1"/>
      <w:numFmt w:val="bullet"/>
      <w:lvlText w:val=""/>
      <w:lvlJc w:val="left"/>
      <w:pPr>
        <w:ind w:left="1287" w:hanging="360"/>
      </w:pPr>
      <w:rPr>
        <w:rFonts w:ascii="Symbol" w:hAnsi="Symbol" w:hint="default"/>
        <w:color w:val="auto"/>
        <w:sz w:val="12"/>
        <w:szCs w:val="12"/>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4">
    <w:nsid w:val="31C1764F"/>
    <w:multiLevelType w:val="hybridMultilevel"/>
    <w:tmpl w:val="FC20F59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5">
    <w:nsid w:val="330A3F6E"/>
    <w:multiLevelType w:val="hybridMultilevel"/>
    <w:tmpl w:val="374229DE"/>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6">
    <w:nsid w:val="33364F82"/>
    <w:multiLevelType w:val="hybridMultilevel"/>
    <w:tmpl w:val="DB666C76"/>
    <w:lvl w:ilvl="0" w:tplc="C2304072">
      <w:start w:val="1"/>
      <w:numFmt w:val="decimal"/>
      <w:lvlText w:val="%1."/>
      <w:lvlJc w:val="left"/>
      <w:pPr>
        <w:ind w:left="1069" w:hanging="360"/>
      </w:pPr>
      <w:rPr>
        <w:rFonts w:ascii="Times New Roman" w:eastAsiaTheme="minorHAnsi" w:hAnsi="Times New Roman" w:cs="Times New Roman"/>
        <w:b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07">
    <w:nsid w:val="334630DA"/>
    <w:multiLevelType w:val="hybridMultilevel"/>
    <w:tmpl w:val="C60424F2"/>
    <w:lvl w:ilvl="0" w:tplc="B56A5706">
      <w:start w:val="1"/>
      <w:numFmt w:val="bullet"/>
      <w:lvlText w:val=""/>
      <w:lvlJc w:val="left"/>
      <w:pPr>
        <w:ind w:left="1287" w:hanging="360"/>
      </w:pPr>
      <w:rPr>
        <w:rFonts w:ascii="Symbol" w:hAnsi="Symbol" w:hint="default"/>
        <w:sz w:val="12"/>
        <w:szCs w:val="12"/>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8">
    <w:nsid w:val="337F5ED2"/>
    <w:multiLevelType w:val="hybridMultilevel"/>
    <w:tmpl w:val="2EF4C066"/>
    <w:lvl w:ilvl="0" w:tplc="978EBC4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988A8462">
      <w:start w:val="310"/>
      <w:numFmt w:val="bullet"/>
      <w:lvlText w:val="-"/>
      <w:lvlJc w:val="left"/>
      <w:pPr>
        <w:ind w:left="2745" w:hanging="945"/>
      </w:pPr>
      <w:rPr>
        <w:rFonts w:ascii="Times New Roman" w:eastAsia="Times New Roman" w:hAnsi="Times New Roman" w:cs="Times New Roman" w:hint="default"/>
        <w:color w:val="auto"/>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9">
    <w:nsid w:val="33AB74B9"/>
    <w:multiLevelType w:val="hybridMultilevel"/>
    <w:tmpl w:val="5F4E90F4"/>
    <w:lvl w:ilvl="0" w:tplc="B56A5706">
      <w:start w:val="1"/>
      <w:numFmt w:val="bullet"/>
      <w:lvlText w:val=""/>
      <w:lvlJc w:val="left"/>
      <w:pPr>
        <w:ind w:left="1429" w:hanging="360"/>
      </w:pPr>
      <w:rPr>
        <w:rFonts w:ascii="Symbol" w:hAnsi="Symbol" w:hint="default"/>
        <w:sz w:val="12"/>
        <w:szCs w:val="1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0">
    <w:nsid w:val="33E634EC"/>
    <w:multiLevelType w:val="hybridMultilevel"/>
    <w:tmpl w:val="044417F8"/>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1">
    <w:nsid w:val="34556EAD"/>
    <w:multiLevelType w:val="hybridMultilevel"/>
    <w:tmpl w:val="6ED42A44"/>
    <w:lvl w:ilvl="0" w:tplc="B56A5706">
      <w:start w:val="1"/>
      <w:numFmt w:val="bullet"/>
      <w:lvlText w:val=""/>
      <w:lvlJc w:val="left"/>
      <w:pPr>
        <w:ind w:left="720" w:hanging="360"/>
      </w:pPr>
      <w:rPr>
        <w:rFonts w:ascii="Symbol" w:hAnsi="Symbol" w:hint="default"/>
        <w:sz w:val="12"/>
        <w:szCs w:val="1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2">
    <w:nsid w:val="349D2BCE"/>
    <w:multiLevelType w:val="hybridMultilevel"/>
    <w:tmpl w:val="565EB6A6"/>
    <w:lvl w:ilvl="0" w:tplc="B56A5706">
      <w:start w:val="1"/>
      <w:numFmt w:val="bullet"/>
      <w:lvlText w:val=""/>
      <w:lvlJc w:val="left"/>
      <w:pPr>
        <w:ind w:left="1287" w:hanging="360"/>
      </w:pPr>
      <w:rPr>
        <w:rFonts w:ascii="Symbol" w:hAnsi="Symbol" w:hint="default"/>
        <w:sz w:val="12"/>
        <w:szCs w:val="12"/>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3">
    <w:nsid w:val="359C7146"/>
    <w:multiLevelType w:val="hybridMultilevel"/>
    <w:tmpl w:val="D0EA4A38"/>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4">
    <w:nsid w:val="35ED78AF"/>
    <w:multiLevelType w:val="hybridMultilevel"/>
    <w:tmpl w:val="4E72D172"/>
    <w:lvl w:ilvl="0" w:tplc="B56A5706">
      <w:start w:val="1"/>
      <w:numFmt w:val="bullet"/>
      <w:lvlText w:val=""/>
      <w:lvlJc w:val="left"/>
      <w:pPr>
        <w:ind w:left="1429" w:hanging="360"/>
      </w:pPr>
      <w:rPr>
        <w:rFonts w:ascii="Symbol" w:hAnsi="Symbol" w:hint="default"/>
        <w:sz w:val="12"/>
        <w:szCs w:val="1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5">
    <w:nsid w:val="35F126C6"/>
    <w:multiLevelType w:val="hybridMultilevel"/>
    <w:tmpl w:val="66E85B62"/>
    <w:lvl w:ilvl="0" w:tplc="B56A5706">
      <w:start w:val="1"/>
      <w:numFmt w:val="bullet"/>
      <w:lvlText w:val=""/>
      <w:lvlJc w:val="left"/>
      <w:pPr>
        <w:ind w:left="1429" w:hanging="360"/>
      </w:pPr>
      <w:rPr>
        <w:rFonts w:ascii="Symbol" w:hAnsi="Symbol" w:hint="default"/>
        <w:sz w:val="12"/>
        <w:szCs w:val="1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6">
    <w:nsid w:val="36EF31D6"/>
    <w:multiLevelType w:val="hybridMultilevel"/>
    <w:tmpl w:val="25DE02BC"/>
    <w:lvl w:ilvl="0" w:tplc="C2304072">
      <w:start w:val="1"/>
      <w:numFmt w:val="decimal"/>
      <w:lvlText w:val="%1."/>
      <w:lvlJc w:val="left"/>
      <w:pPr>
        <w:ind w:left="1069" w:hanging="360"/>
      </w:pPr>
      <w:rPr>
        <w:rFonts w:ascii="Times New Roman" w:eastAsiaTheme="minorHAnsi" w:hAnsi="Times New Roman" w:cs="Times New Roman"/>
        <w:b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17">
    <w:nsid w:val="373F3A2C"/>
    <w:multiLevelType w:val="hybridMultilevel"/>
    <w:tmpl w:val="EB3291B8"/>
    <w:lvl w:ilvl="0" w:tplc="B56A5706">
      <w:start w:val="1"/>
      <w:numFmt w:val="bullet"/>
      <w:lvlText w:val=""/>
      <w:lvlJc w:val="left"/>
      <w:pPr>
        <w:ind w:left="720" w:hanging="360"/>
      </w:pPr>
      <w:rPr>
        <w:rFonts w:ascii="Symbol" w:hAnsi="Symbol" w:hint="default"/>
        <w:sz w:val="12"/>
        <w:szCs w:val="1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8">
    <w:nsid w:val="378C29B5"/>
    <w:multiLevelType w:val="hybridMultilevel"/>
    <w:tmpl w:val="8D685AC2"/>
    <w:lvl w:ilvl="0" w:tplc="C2304072">
      <w:start w:val="1"/>
      <w:numFmt w:val="decimal"/>
      <w:lvlText w:val="%1."/>
      <w:lvlJc w:val="left"/>
      <w:pPr>
        <w:ind w:left="1069" w:hanging="360"/>
      </w:pPr>
      <w:rPr>
        <w:rFonts w:ascii="Times New Roman" w:eastAsiaTheme="minorHAnsi" w:hAnsi="Times New Roman" w:cs="Times New Roman"/>
        <w:b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19">
    <w:nsid w:val="38445169"/>
    <w:multiLevelType w:val="hybridMultilevel"/>
    <w:tmpl w:val="EDDCA89A"/>
    <w:lvl w:ilvl="0" w:tplc="04190011">
      <w:start w:val="1"/>
      <w:numFmt w:val="decimal"/>
      <w:lvlText w:val="%1)"/>
      <w:lvlJc w:val="left"/>
      <w:pPr>
        <w:ind w:left="1429" w:hanging="360"/>
      </w:pPr>
    </w:lvl>
    <w:lvl w:ilvl="1" w:tplc="0419000F">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0">
    <w:nsid w:val="384F7F0F"/>
    <w:multiLevelType w:val="hybridMultilevel"/>
    <w:tmpl w:val="54860D5E"/>
    <w:lvl w:ilvl="0" w:tplc="B56A5706">
      <w:start w:val="1"/>
      <w:numFmt w:val="bullet"/>
      <w:lvlText w:val=""/>
      <w:lvlJc w:val="left"/>
      <w:pPr>
        <w:ind w:left="1429" w:hanging="360"/>
      </w:pPr>
      <w:rPr>
        <w:rFonts w:ascii="Symbol" w:hAnsi="Symbol" w:hint="default"/>
        <w:sz w:val="12"/>
        <w:szCs w:val="1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1">
    <w:nsid w:val="38821529"/>
    <w:multiLevelType w:val="hybridMultilevel"/>
    <w:tmpl w:val="0CD8167E"/>
    <w:lvl w:ilvl="0" w:tplc="C2304072">
      <w:start w:val="1"/>
      <w:numFmt w:val="decimal"/>
      <w:lvlText w:val="%1."/>
      <w:lvlJc w:val="left"/>
      <w:pPr>
        <w:ind w:left="1069" w:hanging="360"/>
      </w:pPr>
      <w:rPr>
        <w:rFonts w:ascii="Times New Roman" w:eastAsiaTheme="minorHAnsi" w:hAnsi="Times New Roman" w:cs="Times New Roman"/>
        <w:b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22">
    <w:nsid w:val="38913F95"/>
    <w:multiLevelType w:val="hybridMultilevel"/>
    <w:tmpl w:val="D8D27F3A"/>
    <w:lvl w:ilvl="0" w:tplc="B56A5706">
      <w:start w:val="1"/>
      <w:numFmt w:val="bullet"/>
      <w:lvlText w:val=""/>
      <w:lvlJc w:val="left"/>
      <w:pPr>
        <w:ind w:left="1429" w:hanging="360"/>
      </w:pPr>
      <w:rPr>
        <w:rFonts w:ascii="Symbol" w:hAnsi="Symbol" w:hint="default"/>
        <w:sz w:val="12"/>
        <w:szCs w:val="1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3">
    <w:nsid w:val="3899039C"/>
    <w:multiLevelType w:val="hybridMultilevel"/>
    <w:tmpl w:val="6B703BDC"/>
    <w:lvl w:ilvl="0" w:tplc="B56A5706">
      <w:start w:val="1"/>
      <w:numFmt w:val="bullet"/>
      <w:lvlText w:val=""/>
      <w:lvlJc w:val="left"/>
      <w:pPr>
        <w:ind w:left="1287" w:hanging="360"/>
      </w:pPr>
      <w:rPr>
        <w:rFonts w:ascii="Symbol" w:hAnsi="Symbol" w:hint="default"/>
        <w:sz w:val="12"/>
        <w:szCs w:val="12"/>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4">
    <w:nsid w:val="38F00BAF"/>
    <w:multiLevelType w:val="hybridMultilevel"/>
    <w:tmpl w:val="D026BFB0"/>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5">
    <w:nsid w:val="3A1D2C7C"/>
    <w:multiLevelType w:val="hybridMultilevel"/>
    <w:tmpl w:val="91A4CBC4"/>
    <w:lvl w:ilvl="0" w:tplc="C2304072">
      <w:start w:val="1"/>
      <w:numFmt w:val="decimal"/>
      <w:lvlText w:val="%1."/>
      <w:lvlJc w:val="left"/>
      <w:pPr>
        <w:ind w:left="2697" w:hanging="570"/>
      </w:pPr>
      <w:rPr>
        <w:rFonts w:ascii="Times New Roman" w:eastAsiaTheme="minorHAnsi" w:hAnsi="Times New Roman" w:cs="Times New Roman"/>
        <w:b w:val="0"/>
        <w:color w:val="000000"/>
      </w:rPr>
    </w:lvl>
    <w:lvl w:ilvl="1" w:tplc="04190019">
      <w:start w:val="1"/>
      <w:numFmt w:val="lowerLetter"/>
      <w:lvlText w:val="%2."/>
      <w:lvlJc w:val="left"/>
      <w:pPr>
        <w:ind w:left="3207" w:hanging="360"/>
      </w:pPr>
    </w:lvl>
    <w:lvl w:ilvl="2" w:tplc="0419001B">
      <w:start w:val="1"/>
      <w:numFmt w:val="lowerRoman"/>
      <w:lvlText w:val="%3."/>
      <w:lvlJc w:val="right"/>
      <w:pPr>
        <w:ind w:left="3927" w:hanging="180"/>
      </w:pPr>
    </w:lvl>
    <w:lvl w:ilvl="3" w:tplc="0419000F">
      <w:start w:val="1"/>
      <w:numFmt w:val="decimal"/>
      <w:lvlText w:val="%4."/>
      <w:lvlJc w:val="left"/>
      <w:pPr>
        <w:ind w:left="4647" w:hanging="360"/>
      </w:pPr>
    </w:lvl>
    <w:lvl w:ilvl="4" w:tplc="04190019">
      <w:start w:val="1"/>
      <w:numFmt w:val="lowerLetter"/>
      <w:lvlText w:val="%5."/>
      <w:lvlJc w:val="left"/>
      <w:pPr>
        <w:ind w:left="5367" w:hanging="360"/>
      </w:pPr>
    </w:lvl>
    <w:lvl w:ilvl="5" w:tplc="0419001B">
      <w:start w:val="1"/>
      <w:numFmt w:val="lowerRoman"/>
      <w:lvlText w:val="%6."/>
      <w:lvlJc w:val="right"/>
      <w:pPr>
        <w:ind w:left="6087" w:hanging="180"/>
      </w:pPr>
    </w:lvl>
    <w:lvl w:ilvl="6" w:tplc="0419000F">
      <w:start w:val="1"/>
      <w:numFmt w:val="decimal"/>
      <w:lvlText w:val="%7."/>
      <w:lvlJc w:val="left"/>
      <w:pPr>
        <w:ind w:left="6807" w:hanging="360"/>
      </w:pPr>
    </w:lvl>
    <w:lvl w:ilvl="7" w:tplc="04190019">
      <w:start w:val="1"/>
      <w:numFmt w:val="lowerLetter"/>
      <w:lvlText w:val="%8."/>
      <w:lvlJc w:val="left"/>
      <w:pPr>
        <w:ind w:left="7527" w:hanging="360"/>
      </w:pPr>
    </w:lvl>
    <w:lvl w:ilvl="8" w:tplc="0419001B">
      <w:start w:val="1"/>
      <w:numFmt w:val="lowerRoman"/>
      <w:lvlText w:val="%9."/>
      <w:lvlJc w:val="right"/>
      <w:pPr>
        <w:ind w:left="8247" w:hanging="180"/>
      </w:pPr>
    </w:lvl>
  </w:abstractNum>
  <w:abstractNum w:abstractNumId="126">
    <w:nsid w:val="3A394F08"/>
    <w:multiLevelType w:val="hybridMultilevel"/>
    <w:tmpl w:val="38349EEA"/>
    <w:lvl w:ilvl="0" w:tplc="978EBC4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7">
    <w:nsid w:val="3ACE1DC7"/>
    <w:multiLevelType w:val="hybridMultilevel"/>
    <w:tmpl w:val="1E62ED2C"/>
    <w:lvl w:ilvl="0" w:tplc="C2304072">
      <w:start w:val="1"/>
      <w:numFmt w:val="decimal"/>
      <w:lvlText w:val="%1."/>
      <w:lvlJc w:val="left"/>
      <w:pPr>
        <w:ind w:left="720" w:hanging="360"/>
      </w:pPr>
      <w:rPr>
        <w:rFonts w:ascii="Times New Roman" w:eastAsiaTheme="minorHAnsi" w:hAnsi="Times New Roman" w:cs="Times New Roman"/>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8">
    <w:nsid w:val="3B4B7862"/>
    <w:multiLevelType w:val="hybridMultilevel"/>
    <w:tmpl w:val="1048D58C"/>
    <w:lvl w:ilvl="0" w:tplc="179400B4">
      <w:start w:val="1"/>
      <w:numFmt w:val="decimal"/>
      <w:lvlText w:val="%1."/>
      <w:lvlJc w:val="left"/>
      <w:pPr>
        <w:ind w:left="1985" w:hanging="348"/>
      </w:pPr>
      <w:rPr>
        <w:rFonts w:ascii="Times New Roman" w:eastAsia="Times New Roman" w:hAnsi="Times New Roman" w:cs="Times New Roman" w:hint="default"/>
        <w:spacing w:val="0"/>
        <w:w w:val="100"/>
        <w:sz w:val="28"/>
        <w:szCs w:val="28"/>
        <w:lang w:val="ru-RU" w:eastAsia="en-US" w:bidi="ar-SA"/>
      </w:rPr>
    </w:lvl>
    <w:lvl w:ilvl="1" w:tplc="6D8C03D4">
      <w:start w:val="1"/>
      <w:numFmt w:val="decimal"/>
      <w:lvlText w:val="%2)"/>
      <w:lvlJc w:val="left"/>
      <w:pPr>
        <w:ind w:left="996" w:hanging="286"/>
        <w:jc w:val="right"/>
      </w:pPr>
      <w:rPr>
        <w:rFonts w:ascii="Times New Roman" w:eastAsia="Times New Roman" w:hAnsi="Times New Roman" w:cs="Times New Roman" w:hint="default"/>
        <w:b/>
        <w:bCs/>
        <w:i/>
        <w:w w:val="99"/>
        <w:sz w:val="26"/>
        <w:szCs w:val="26"/>
        <w:lang w:val="ru-RU" w:eastAsia="en-US" w:bidi="ar-SA"/>
      </w:rPr>
    </w:lvl>
    <w:lvl w:ilvl="2" w:tplc="53BA8910">
      <w:start w:val="1"/>
      <w:numFmt w:val="decimal"/>
      <w:lvlText w:val="%3."/>
      <w:lvlJc w:val="left"/>
      <w:pPr>
        <w:ind w:left="1276" w:hanging="286"/>
      </w:pPr>
      <w:rPr>
        <w:rFonts w:ascii="Times New Roman" w:eastAsia="Times New Roman" w:hAnsi="Times New Roman" w:cs="Times New Roman" w:hint="default"/>
        <w:w w:val="99"/>
        <w:sz w:val="26"/>
        <w:szCs w:val="26"/>
        <w:lang w:val="ru-RU" w:eastAsia="en-US" w:bidi="ar-SA"/>
      </w:rPr>
    </w:lvl>
    <w:lvl w:ilvl="3" w:tplc="A2F07564">
      <w:numFmt w:val="bullet"/>
      <w:lvlText w:val="•"/>
      <w:lvlJc w:val="left"/>
      <w:pPr>
        <w:ind w:left="3398" w:hanging="286"/>
      </w:pPr>
      <w:rPr>
        <w:rFonts w:hint="default"/>
        <w:lang w:val="ru-RU" w:eastAsia="en-US" w:bidi="ar-SA"/>
      </w:rPr>
    </w:lvl>
    <w:lvl w:ilvl="4" w:tplc="001ECCD4">
      <w:numFmt w:val="bullet"/>
      <w:lvlText w:val="•"/>
      <w:lvlJc w:val="left"/>
      <w:pPr>
        <w:ind w:left="4516" w:hanging="286"/>
      </w:pPr>
      <w:rPr>
        <w:rFonts w:hint="default"/>
        <w:lang w:val="ru-RU" w:eastAsia="en-US" w:bidi="ar-SA"/>
      </w:rPr>
    </w:lvl>
    <w:lvl w:ilvl="5" w:tplc="9A0C41B2">
      <w:numFmt w:val="bullet"/>
      <w:lvlText w:val="•"/>
      <w:lvlJc w:val="left"/>
      <w:pPr>
        <w:ind w:left="5634" w:hanging="286"/>
      </w:pPr>
      <w:rPr>
        <w:rFonts w:hint="default"/>
        <w:lang w:val="ru-RU" w:eastAsia="en-US" w:bidi="ar-SA"/>
      </w:rPr>
    </w:lvl>
    <w:lvl w:ilvl="6" w:tplc="B73E3902">
      <w:numFmt w:val="bullet"/>
      <w:lvlText w:val="•"/>
      <w:lvlJc w:val="left"/>
      <w:pPr>
        <w:ind w:left="6753" w:hanging="286"/>
      </w:pPr>
      <w:rPr>
        <w:rFonts w:hint="default"/>
        <w:lang w:val="ru-RU" w:eastAsia="en-US" w:bidi="ar-SA"/>
      </w:rPr>
    </w:lvl>
    <w:lvl w:ilvl="7" w:tplc="6CB49D98">
      <w:numFmt w:val="bullet"/>
      <w:lvlText w:val="•"/>
      <w:lvlJc w:val="left"/>
      <w:pPr>
        <w:ind w:left="7871" w:hanging="286"/>
      </w:pPr>
      <w:rPr>
        <w:rFonts w:hint="default"/>
        <w:lang w:val="ru-RU" w:eastAsia="en-US" w:bidi="ar-SA"/>
      </w:rPr>
    </w:lvl>
    <w:lvl w:ilvl="8" w:tplc="75829FEC">
      <w:numFmt w:val="bullet"/>
      <w:lvlText w:val="•"/>
      <w:lvlJc w:val="left"/>
      <w:pPr>
        <w:ind w:left="8989" w:hanging="286"/>
      </w:pPr>
      <w:rPr>
        <w:rFonts w:hint="default"/>
        <w:lang w:val="ru-RU" w:eastAsia="en-US" w:bidi="ar-SA"/>
      </w:rPr>
    </w:lvl>
  </w:abstractNum>
  <w:abstractNum w:abstractNumId="129">
    <w:nsid w:val="3BA02135"/>
    <w:multiLevelType w:val="hybridMultilevel"/>
    <w:tmpl w:val="49047E1C"/>
    <w:lvl w:ilvl="0" w:tplc="B56A5706">
      <w:start w:val="1"/>
      <w:numFmt w:val="bullet"/>
      <w:lvlText w:val=""/>
      <w:lvlJc w:val="left"/>
      <w:pPr>
        <w:ind w:left="1429" w:hanging="360"/>
      </w:pPr>
      <w:rPr>
        <w:rFonts w:ascii="Symbol" w:hAnsi="Symbol" w:hint="default"/>
        <w:sz w:val="12"/>
        <w:szCs w:val="1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0">
    <w:nsid w:val="3BE17116"/>
    <w:multiLevelType w:val="hybridMultilevel"/>
    <w:tmpl w:val="66EE3DD2"/>
    <w:lvl w:ilvl="0" w:tplc="B56A5706">
      <w:start w:val="1"/>
      <w:numFmt w:val="bullet"/>
      <w:lvlText w:val=""/>
      <w:lvlJc w:val="left"/>
      <w:pPr>
        <w:ind w:left="720" w:hanging="360"/>
      </w:pPr>
      <w:rPr>
        <w:rFonts w:ascii="Symbol" w:hAnsi="Symbol" w:hint="default"/>
        <w:sz w:val="12"/>
        <w:szCs w:val="1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1">
    <w:nsid w:val="3C721209"/>
    <w:multiLevelType w:val="hybridMultilevel"/>
    <w:tmpl w:val="0F5A7230"/>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2">
    <w:nsid w:val="3DFA58EA"/>
    <w:multiLevelType w:val="hybridMultilevel"/>
    <w:tmpl w:val="84260C6C"/>
    <w:lvl w:ilvl="0" w:tplc="B56A5706">
      <w:start w:val="1"/>
      <w:numFmt w:val="bullet"/>
      <w:lvlText w:val=""/>
      <w:lvlJc w:val="left"/>
      <w:pPr>
        <w:ind w:left="1429" w:hanging="360"/>
      </w:pPr>
      <w:rPr>
        <w:rFonts w:ascii="Symbol" w:hAnsi="Symbol" w:hint="default"/>
        <w:sz w:val="12"/>
        <w:szCs w:val="1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3">
    <w:nsid w:val="3E352C03"/>
    <w:multiLevelType w:val="hybridMultilevel"/>
    <w:tmpl w:val="6E7ACF38"/>
    <w:lvl w:ilvl="0" w:tplc="C2304072">
      <w:start w:val="1"/>
      <w:numFmt w:val="decimal"/>
      <w:lvlText w:val="%1."/>
      <w:lvlJc w:val="left"/>
      <w:pPr>
        <w:ind w:left="927" w:hanging="360"/>
      </w:pPr>
      <w:rPr>
        <w:rFonts w:ascii="Times New Roman" w:eastAsiaTheme="minorHAnsi"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4">
    <w:nsid w:val="3F4626D6"/>
    <w:multiLevelType w:val="hybridMultilevel"/>
    <w:tmpl w:val="4F366280"/>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5">
    <w:nsid w:val="3F555646"/>
    <w:multiLevelType w:val="hybridMultilevel"/>
    <w:tmpl w:val="F0C68E50"/>
    <w:lvl w:ilvl="0" w:tplc="978EBC4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6">
    <w:nsid w:val="3F816FD1"/>
    <w:multiLevelType w:val="hybridMultilevel"/>
    <w:tmpl w:val="D7CAEC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7">
    <w:nsid w:val="3FF44329"/>
    <w:multiLevelType w:val="hybridMultilevel"/>
    <w:tmpl w:val="7500FF86"/>
    <w:lvl w:ilvl="0" w:tplc="B56A5706">
      <w:start w:val="1"/>
      <w:numFmt w:val="bullet"/>
      <w:lvlText w:val=""/>
      <w:lvlJc w:val="left"/>
      <w:pPr>
        <w:ind w:left="1146" w:hanging="360"/>
      </w:pPr>
      <w:rPr>
        <w:rFonts w:ascii="Symbol" w:hAnsi="Symbol" w:hint="default"/>
        <w:sz w:val="12"/>
        <w:szCs w:val="12"/>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38">
    <w:nsid w:val="40DC0126"/>
    <w:multiLevelType w:val="hybridMultilevel"/>
    <w:tmpl w:val="5B74D332"/>
    <w:lvl w:ilvl="0" w:tplc="C2304072">
      <w:start w:val="1"/>
      <w:numFmt w:val="decimal"/>
      <w:lvlText w:val="%1."/>
      <w:lvlJc w:val="left"/>
      <w:pPr>
        <w:ind w:left="1069" w:hanging="360"/>
      </w:pPr>
      <w:rPr>
        <w:rFonts w:ascii="Times New Roman" w:eastAsiaTheme="minorHAnsi" w:hAnsi="Times New Roman" w:cs="Times New Roman"/>
        <w:b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39">
    <w:nsid w:val="423659BA"/>
    <w:multiLevelType w:val="hybridMultilevel"/>
    <w:tmpl w:val="F7D68A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0">
    <w:nsid w:val="426C6226"/>
    <w:multiLevelType w:val="hybridMultilevel"/>
    <w:tmpl w:val="20548156"/>
    <w:lvl w:ilvl="0" w:tplc="B56A5706">
      <w:start w:val="1"/>
      <w:numFmt w:val="bullet"/>
      <w:lvlText w:val=""/>
      <w:lvlJc w:val="left"/>
      <w:pPr>
        <w:ind w:left="720" w:hanging="360"/>
      </w:pPr>
      <w:rPr>
        <w:rFonts w:ascii="Symbol" w:hAnsi="Symbol" w:hint="default"/>
        <w:sz w:val="12"/>
        <w:szCs w:val="1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1">
    <w:nsid w:val="43474434"/>
    <w:multiLevelType w:val="hybridMultilevel"/>
    <w:tmpl w:val="5FD26242"/>
    <w:lvl w:ilvl="0" w:tplc="B56A5706">
      <w:start w:val="1"/>
      <w:numFmt w:val="bullet"/>
      <w:lvlText w:val=""/>
      <w:lvlJc w:val="left"/>
      <w:pPr>
        <w:ind w:left="1356" w:hanging="360"/>
      </w:pPr>
      <w:rPr>
        <w:rFonts w:ascii="Symbol" w:hAnsi="Symbol" w:hint="default"/>
        <w:sz w:val="12"/>
        <w:szCs w:val="12"/>
      </w:rPr>
    </w:lvl>
    <w:lvl w:ilvl="1" w:tplc="04190003">
      <w:start w:val="1"/>
      <w:numFmt w:val="bullet"/>
      <w:lvlText w:val="o"/>
      <w:lvlJc w:val="left"/>
      <w:pPr>
        <w:ind w:left="2076" w:hanging="360"/>
      </w:pPr>
      <w:rPr>
        <w:rFonts w:ascii="Courier New" w:hAnsi="Courier New" w:cs="Courier New" w:hint="default"/>
      </w:rPr>
    </w:lvl>
    <w:lvl w:ilvl="2" w:tplc="04190005">
      <w:start w:val="1"/>
      <w:numFmt w:val="bullet"/>
      <w:lvlText w:val=""/>
      <w:lvlJc w:val="left"/>
      <w:pPr>
        <w:ind w:left="2796" w:hanging="360"/>
      </w:pPr>
      <w:rPr>
        <w:rFonts w:ascii="Wingdings" w:hAnsi="Wingdings" w:hint="default"/>
      </w:rPr>
    </w:lvl>
    <w:lvl w:ilvl="3" w:tplc="04190001">
      <w:start w:val="1"/>
      <w:numFmt w:val="bullet"/>
      <w:lvlText w:val=""/>
      <w:lvlJc w:val="left"/>
      <w:pPr>
        <w:ind w:left="3516" w:hanging="360"/>
      </w:pPr>
      <w:rPr>
        <w:rFonts w:ascii="Symbol" w:hAnsi="Symbol" w:hint="default"/>
      </w:rPr>
    </w:lvl>
    <w:lvl w:ilvl="4" w:tplc="04190003">
      <w:start w:val="1"/>
      <w:numFmt w:val="bullet"/>
      <w:lvlText w:val="o"/>
      <w:lvlJc w:val="left"/>
      <w:pPr>
        <w:ind w:left="4236" w:hanging="360"/>
      </w:pPr>
      <w:rPr>
        <w:rFonts w:ascii="Courier New" w:hAnsi="Courier New" w:cs="Courier New" w:hint="default"/>
      </w:rPr>
    </w:lvl>
    <w:lvl w:ilvl="5" w:tplc="04190005">
      <w:start w:val="1"/>
      <w:numFmt w:val="bullet"/>
      <w:lvlText w:val=""/>
      <w:lvlJc w:val="left"/>
      <w:pPr>
        <w:ind w:left="4956" w:hanging="360"/>
      </w:pPr>
      <w:rPr>
        <w:rFonts w:ascii="Wingdings" w:hAnsi="Wingdings" w:hint="default"/>
      </w:rPr>
    </w:lvl>
    <w:lvl w:ilvl="6" w:tplc="04190001">
      <w:start w:val="1"/>
      <w:numFmt w:val="bullet"/>
      <w:lvlText w:val=""/>
      <w:lvlJc w:val="left"/>
      <w:pPr>
        <w:ind w:left="5676" w:hanging="360"/>
      </w:pPr>
      <w:rPr>
        <w:rFonts w:ascii="Symbol" w:hAnsi="Symbol" w:hint="default"/>
      </w:rPr>
    </w:lvl>
    <w:lvl w:ilvl="7" w:tplc="04190003">
      <w:start w:val="1"/>
      <w:numFmt w:val="bullet"/>
      <w:lvlText w:val="o"/>
      <w:lvlJc w:val="left"/>
      <w:pPr>
        <w:ind w:left="6396" w:hanging="360"/>
      </w:pPr>
      <w:rPr>
        <w:rFonts w:ascii="Courier New" w:hAnsi="Courier New" w:cs="Courier New" w:hint="default"/>
      </w:rPr>
    </w:lvl>
    <w:lvl w:ilvl="8" w:tplc="04190005">
      <w:start w:val="1"/>
      <w:numFmt w:val="bullet"/>
      <w:lvlText w:val=""/>
      <w:lvlJc w:val="left"/>
      <w:pPr>
        <w:ind w:left="7116" w:hanging="360"/>
      </w:pPr>
      <w:rPr>
        <w:rFonts w:ascii="Wingdings" w:hAnsi="Wingdings" w:hint="default"/>
      </w:rPr>
    </w:lvl>
  </w:abstractNum>
  <w:abstractNum w:abstractNumId="142">
    <w:nsid w:val="436D6E31"/>
    <w:multiLevelType w:val="hybridMultilevel"/>
    <w:tmpl w:val="208039E0"/>
    <w:lvl w:ilvl="0" w:tplc="B56A5706">
      <w:start w:val="1"/>
      <w:numFmt w:val="bullet"/>
      <w:lvlText w:val=""/>
      <w:lvlJc w:val="left"/>
      <w:pPr>
        <w:ind w:left="1287" w:hanging="360"/>
      </w:pPr>
      <w:rPr>
        <w:rFonts w:ascii="Symbol" w:hAnsi="Symbol" w:hint="default"/>
        <w:sz w:val="12"/>
        <w:szCs w:val="12"/>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3">
    <w:nsid w:val="43B24D30"/>
    <w:multiLevelType w:val="hybridMultilevel"/>
    <w:tmpl w:val="D6343264"/>
    <w:lvl w:ilvl="0" w:tplc="C2304072">
      <w:start w:val="1"/>
      <w:numFmt w:val="decimal"/>
      <w:lvlText w:val="%1."/>
      <w:lvlJc w:val="left"/>
      <w:pPr>
        <w:ind w:left="1069" w:hanging="360"/>
      </w:pPr>
      <w:rPr>
        <w:rFonts w:ascii="Times New Roman" w:eastAsiaTheme="minorHAnsi" w:hAnsi="Times New Roman" w:cs="Times New Roman"/>
        <w:b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44">
    <w:nsid w:val="4475760F"/>
    <w:multiLevelType w:val="hybridMultilevel"/>
    <w:tmpl w:val="F25A1BCE"/>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5">
    <w:nsid w:val="45285F72"/>
    <w:multiLevelType w:val="hybridMultilevel"/>
    <w:tmpl w:val="E34457DA"/>
    <w:lvl w:ilvl="0" w:tplc="B56A5706">
      <w:start w:val="1"/>
      <w:numFmt w:val="bullet"/>
      <w:lvlText w:val=""/>
      <w:lvlJc w:val="left"/>
      <w:pPr>
        <w:ind w:left="1429" w:hanging="360"/>
      </w:pPr>
      <w:rPr>
        <w:rFonts w:ascii="Symbol" w:hAnsi="Symbol" w:hint="default"/>
        <w:sz w:val="12"/>
        <w:szCs w:val="1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6">
    <w:nsid w:val="45807316"/>
    <w:multiLevelType w:val="hybridMultilevel"/>
    <w:tmpl w:val="B7CA48D2"/>
    <w:lvl w:ilvl="0" w:tplc="B56A5706">
      <w:start w:val="1"/>
      <w:numFmt w:val="bullet"/>
      <w:lvlText w:val=""/>
      <w:lvlJc w:val="left"/>
      <w:pPr>
        <w:ind w:left="1287" w:hanging="360"/>
      </w:pPr>
      <w:rPr>
        <w:rFonts w:ascii="Symbol" w:hAnsi="Symbol" w:hint="default"/>
        <w:sz w:val="12"/>
        <w:szCs w:val="12"/>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7">
    <w:nsid w:val="45E354F4"/>
    <w:multiLevelType w:val="hybridMultilevel"/>
    <w:tmpl w:val="93A0D8AE"/>
    <w:lvl w:ilvl="0" w:tplc="B56A5706">
      <w:start w:val="1"/>
      <w:numFmt w:val="bullet"/>
      <w:lvlText w:val=""/>
      <w:lvlJc w:val="left"/>
      <w:pPr>
        <w:ind w:left="1429" w:hanging="360"/>
      </w:pPr>
      <w:rPr>
        <w:rFonts w:ascii="Symbol" w:hAnsi="Symbol" w:hint="default"/>
        <w:sz w:val="12"/>
        <w:szCs w:val="1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8">
    <w:nsid w:val="466E2472"/>
    <w:multiLevelType w:val="hybridMultilevel"/>
    <w:tmpl w:val="D1B80D7C"/>
    <w:lvl w:ilvl="0" w:tplc="B56A5706">
      <w:start w:val="1"/>
      <w:numFmt w:val="bullet"/>
      <w:lvlText w:val=""/>
      <w:lvlJc w:val="left"/>
      <w:pPr>
        <w:ind w:left="1429" w:hanging="360"/>
      </w:pPr>
      <w:rPr>
        <w:rFonts w:ascii="Symbol" w:hAnsi="Symbol" w:hint="default"/>
        <w:sz w:val="12"/>
        <w:szCs w:val="1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9">
    <w:nsid w:val="466E3EE9"/>
    <w:multiLevelType w:val="hybridMultilevel"/>
    <w:tmpl w:val="8534AD46"/>
    <w:lvl w:ilvl="0" w:tplc="0419000F">
      <w:start w:val="1"/>
      <w:numFmt w:val="decimal"/>
      <w:lvlText w:val="%1."/>
      <w:lvlJc w:val="left"/>
      <w:pPr>
        <w:ind w:left="502" w:hanging="360"/>
      </w:pPr>
      <w:rPr>
        <w:rFonts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150">
    <w:nsid w:val="467B2296"/>
    <w:multiLevelType w:val="hybridMultilevel"/>
    <w:tmpl w:val="1E3AFEF0"/>
    <w:lvl w:ilvl="0" w:tplc="B56A5706">
      <w:start w:val="1"/>
      <w:numFmt w:val="bullet"/>
      <w:lvlText w:val=""/>
      <w:lvlJc w:val="left"/>
      <w:pPr>
        <w:ind w:left="720" w:hanging="360"/>
      </w:pPr>
      <w:rPr>
        <w:rFonts w:ascii="Symbol" w:hAnsi="Symbol" w:hint="default"/>
        <w:sz w:val="12"/>
        <w:szCs w:val="12"/>
      </w:rPr>
    </w:lvl>
    <w:lvl w:ilvl="1" w:tplc="04190003" w:tentative="1">
      <w:start w:val="1"/>
      <w:numFmt w:val="bullet"/>
      <w:lvlText w:val="o"/>
      <w:lvlJc w:val="left"/>
      <w:pPr>
        <w:ind w:left="1440" w:hanging="360"/>
      </w:pPr>
      <w:rPr>
        <w:rFonts w:ascii="Courier New" w:hAnsi="Courier New" w:cs="Courier New" w:hint="default"/>
      </w:rPr>
    </w:lvl>
    <w:lvl w:ilvl="2" w:tplc="B56A5706">
      <w:start w:val="1"/>
      <w:numFmt w:val="bullet"/>
      <w:lvlText w:val=""/>
      <w:lvlJc w:val="left"/>
      <w:pPr>
        <w:ind w:left="2160" w:hanging="360"/>
      </w:pPr>
      <w:rPr>
        <w:rFonts w:ascii="Symbol" w:hAnsi="Symbol" w:hint="default"/>
        <w:sz w:val="12"/>
        <w:szCs w:val="12"/>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1">
    <w:nsid w:val="46A9769D"/>
    <w:multiLevelType w:val="hybridMultilevel"/>
    <w:tmpl w:val="E1CAC0A2"/>
    <w:lvl w:ilvl="0" w:tplc="B6DA4838">
      <w:start w:val="1"/>
      <w:numFmt w:val="decimal"/>
      <w:lvlText w:val="%1."/>
      <w:lvlJc w:val="left"/>
      <w:pPr>
        <w:ind w:left="720" w:hanging="360"/>
      </w:pPr>
      <w:rPr>
        <w:rFonts w:ascii="Times New Roman"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2">
    <w:nsid w:val="47467AAF"/>
    <w:multiLevelType w:val="hybridMultilevel"/>
    <w:tmpl w:val="3B20BD04"/>
    <w:lvl w:ilvl="0" w:tplc="C2304072">
      <w:start w:val="1"/>
      <w:numFmt w:val="decimal"/>
      <w:lvlText w:val="%1."/>
      <w:lvlJc w:val="left"/>
      <w:pPr>
        <w:ind w:left="927" w:hanging="360"/>
      </w:pPr>
      <w:rPr>
        <w:rFonts w:ascii="Times New Roman" w:eastAsiaTheme="minorHAnsi" w:hAnsi="Times New Roman" w:cs="Times New Roman"/>
        <w:b w:val="0"/>
      </w:rPr>
    </w:lvl>
    <w:lvl w:ilvl="1" w:tplc="B56A5706">
      <w:start w:val="1"/>
      <w:numFmt w:val="bullet"/>
      <w:lvlText w:val=""/>
      <w:lvlJc w:val="left"/>
      <w:pPr>
        <w:ind w:left="1647" w:hanging="360"/>
      </w:pPr>
      <w:rPr>
        <w:rFonts w:ascii="Symbol" w:hAnsi="Symbol" w:hint="default"/>
        <w:sz w:val="12"/>
        <w:szCs w:val="12"/>
      </w:rPr>
    </w:lvl>
    <w:lvl w:ilvl="2" w:tplc="EDF67698">
      <w:start w:val="1"/>
      <w:numFmt w:val="decimal"/>
      <w:lvlText w:val="%3)"/>
      <w:lvlJc w:val="left"/>
      <w:pPr>
        <w:ind w:left="2547" w:hanging="360"/>
      </w:pPr>
      <w:rPr>
        <w:rFonts w:hint="default"/>
      </w:r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3">
    <w:nsid w:val="47640C89"/>
    <w:multiLevelType w:val="hybridMultilevel"/>
    <w:tmpl w:val="512674F6"/>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4">
    <w:nsid w:val="47752575"/>
    <w:multiLevelType w:val="hybridMultilevel"/>
    <w:tmpl w:val="655E4E58"/>
    <w:lvl w:ilvl="0" w:tplc="D4DA636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5">
    <w:nsid w:val="47984E48"/>
    <w:multiLevelType w:val="hybridMultilevel"/>
    <w:tmpl w:val="F0BAC9FE"/>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6">
    <w:nsid w:val="47A00D61"/>
    <w:multiLevelType w:val="hybridMultilevel"/>
    <w:tmpl w:val="D3CCD510"/>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7">
    <w:nsid w:val="47EF66B5"/>
    <w:multiLevelType w:val="hybridMultilevel"/>
    <w:tmpl w:val="56D241C0"/>
    <w:lvl w:ilvl="0" w:tplc="38E6451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8">
    <w:nsid w:val="484953A7"/>
    <w:multiLevelType w:val="hybridMultilevel"/>
    <w:tmpl w:val="FA2AD280"/>
    <w:lvl w:ilvl="0" w:tplc="75084C9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9">
    <w:nsid w:val="484F5231"/>
    <w:multiLevelType w:val="hybridMultilevel"/>
    <w:tmpl w:val="F0DA998E"/>
    <w:lvl w:ilvl="0" w:tplc="B56A5706">
      <w:start w:val="1"/>
      <w:numFmt w:val="bullet"/>
      <w:lvlText w:val=""/>
      <w:lvlJc w:val="left"/>
      <w:pPr>
        <w:ind w:left="1287" w:hanging="360"/>
      </w:pPr>
      <w:rPr>
        <w:rFonts w:ascii="Symbol" w:hAnsi="Symbol" w:hint="default"/>
        <w:sz w:val="12"/>
        <w:szCs w:val="12"/>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60">
    <w:nsid w:val="487904E9"/>
    <w:multiLevelType w:val="hybridMultilevel"/>
    <w:tmpl w:val="02B2B4EA"/>
    <w:lvl w:ilvl="0" w:tplc="B56A5706">
      <w:start w:val="1"/>
      <w:numFmt w:val="bullet"/>
      <w:lvlText w:val=""/>
      <w:lvlJc w:val="left"/>
      <w:pPr>
        <w:ind w:left="1429" w:hanging="360"/>
      </w:pPr>
      <w:rPr>
        <w:rFonts w:ascii="Symbol" w:hAnsi="Symbol" w:hint="default"/>
        <w:sz w:val="12"/>
        <w:szCs w:val="1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1">
    <w:nsid w:val="48830C67"/>
    <w:multiLevelType w:val="hybridMultilevel"/>
    <w:tmpl w:val="F68297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2">
    <w:nsid w:val="494F2F28"/>
    <w:multiLevelType w:val="hybridMultilevel"/>
    <w:tmpl w:val="8946C7CA"/>
    <w:lvl w:ilvl="0" w:tplc="B56A5706">
      <w:start w:val="1"/>
      <w:numFmt w:val="bullet"/>
      <w:lvlText w:val=""/>
      <w:lvlJc w:val="left"/>
      <w:pPr>
        <w:ind w:left="1429" w:hanging="360"/>
      </w:pPr>
      <w:rPr>
        <w:rFonts w:ascii="Symbol" w:hAnsi="Symbol" w:hint="default"/>
        <w:sz w:val="12"/>
        <w:szCs w:val="1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3">
    <w:nsid w:val="4A0274EF"/>
    <w:multiLevelType w:val="hybridMultilevel"/>
    <w:tmpl w:val="8C088892"/>
    <w:lvl w:ilvl="0" w:tplc="B56A5706">
      <w:start w:val="1"/>
      <w:numFmt w:val="bullet"/>
      <w:lvlText w:val=""/>
      <w:lvlJc w:val="left"/>
      <w:pPr>
        <w:ind w:left="1429" w:hanging="360"/>
      </w:pPr>
      <w:rPr>
        <w:rFonts w:ascii="Symbol" w:hAnsi="Symbol" w:hint="default"/>
        <w:sz w:val="12"/>
        <w:szCs w:val="1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4">
    <w:nsid w:val="4A252D71"/>
    <w:multiLevelType w:val="hybridMultilevel"/>
    <w:tmpl w:val="FC06FBB2"/>
    <w:lvl w:ilvl="0" w:tplc="B56A5706">
      <w:start w:val="1"/>
      <w:numFmt w:val="bullet"/>
      <w:lvlText w:val=""/>
      <w:lvlJc w:val="left"/>
      <w:pPr>
        <w:ind w:left="720" w:hanging="360"/>
      </w:pPr>
      <w:rPr>
        <w:rFonts w:ascii="Symbol" w:hAnsi="Symbol" w:hint="default"/>
        <w:sz w:val="12"/>
        <w:szCs w:val="12"/>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5">
    <w:nsid w:val="4A294D99"/>
    <w:multiLevelType w:val="hybridMultilevel"/>
    <w:tmpl w:val="6DB4EC9A"/>
    <w:lvl w:ilvl="0" w:tplc="1A70A300">
      <w:start w:val="1"/>
      <w:numFmt w:val="bullet"/>
      <w:lvlText w:val=""/>
      <w:lvlJc w:val="left"/>
      <w:pPr>
        <w:ind w:left="720" w:hanging="360"/>
      </w:pPr>
      <w:rPr>
        <w:rFonts w:ascii="Symbol" w:hAnsi="Symbol"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6">
    <w:nsid w:val="4AA615BF"/>
    <w:multiLevelType w:val="hybridMultilevel"/>
    <w:tmpl w:val="105C1CBC"/>
    <w:lvl w:ilvl="0" w:tplc="B56A5706">
      <w:start w:val="1"/>
      <w:numFmt w:val="bullet"/>
      <w:lvlText w:val=""/>
      <w:lvlJc w:val="left"/>
      <w:pPr>
        <w:ind w:left="1287" w:hanging="360"/>
      </w:pPr>
      <w:rPr>
        <w:rFonts w:ascii="Symbol" w:hAnsi="Symbol" w:hint="default"/>
        <w:sz w:val="12"/>
        <w:szCs w:val="12"/>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7">
    <w:nsid w:val="4AAF5A78"/>
    <w:multiLevelType w:val="hybridMultilevel"/>
    <w:tmpl w:val="CE507CC6"/>
    <w:lvl w:ilvl="0" w:tplc="B56A5706">
      <w:start w:val="1"/>
      <w:numFmt w:val="bullet"/>
      <w:lvlText w:val=""/>
      <w:lvlJc w:val="left"/>
      <w:pPr>
        <w:ind w:left="720" w:hanging="360"/>
      </w:pPr>
      <w:rPr>
        <w:rFonts w:ascii="Symbol" w:hAnsi="Symbol" w:hint="default"/>
        <w:sz w:val="12"/>
        <w:szCs w:val="1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8">
    <w:nsid w:val="4AE564F4"/>
    <w:multiLevelType w:val="hybridMultilevel"/>
    <w:tmpl w:val="55E83020"/>
    <w:lvl w:ilvl="0" w:tplc="C2304072">
      <w:start w:val="1"/>
      <w:numFmt w:val="decimal"/>
      <w:lvlText w:val="%1."/>
      <w:lvlJc w:val="left"/>
      <w:pPr>
        <w:ind w:left="720" w:hanging="360"/>
      </w:pPr>
      <w:rPr>
        <w:rFonts w:ascii="Times New Roman" w:eastAsiaTheme="minorHAnsi"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9">
    <w:nsid w:val="4AEE3F87"/>
    <w:multiLevelType w:val="hybridMultilevel"/>
    <w:tmpl w:val="A7701C88"/>
    <w:lvl w:ilvl="0" w:tplc="04190011">
      <w:start w:val="1"/>
      <w:numFmt w:val="decimal"/>
      <w:lvlText w:val="%1)"/>
      <w:lvlJc w:val="left"/>
      <w:pPr>
        <w:ind w:left="1287" w:hanging="360"/>
      </w:pPr>
      <w:rPr>
        <w:rFonts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70">
    <w:nsid w:val="4B1F2EE4"/>
    <w:multiLevelType w:val="hybridMultilevel"/>
    <w:tmpl w:val="1FB60956"/>
    <w:lvl w:ilvl="0" w:tplc="B56A5706">
      <w:start w:val="1"/>
      <w:numFmt w:val="bullet"/>
      <w:lvlText w:val=""/>
      <w:lvlJc w:val="left"/>
      <w:pPr>
        <w:ind w:left="720" w:hanging="360"/>
      </w:pPr>
      <w:rPr>
        <w:rFonts w:ascii="Symbol" w:hAnsi="Symbol" w:hint="default"/>
        <w:sz w:val="12"/>
        <w:szCs w:val="1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1">
    <w:nsid w:val="4B8D21CD"/>
    <w:multiLevelType w:val="hybridMultilevel"/>
    <w:tmpl w:val="E53A6FD0"/>
    <w:lvl w:ilvl="0" w:tplc="14FA1F64">
      <w:start w:val="1"/>
      <w:numFmt w:val="decimal"/>
      <w:lvlText w:val="%1."/>
      <w:lvlJc w:val="left"/>
      <w:pPr>
        <w:ind w:left="720" w:hanging="360"/>
      </w:pPr>
      <w:rPr>
        <w:strike w:val="0"/>
        <w:dstrike w:val="0"/>
        <w:u w:val="none"/>
        <w:effect w:val="none"/>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2">
    <w:nsid w:val="4C3F518F"/>
    <w:multiLevelType w:val="hybridMultilevel"/>
    <w:tmpl w:val="4ED47A20"/>
    <w:lvl w:ilvl="0" w:tplc="C2304072">
      <w:start w:val="1"/>
      <w:numFmt w:val="decimal"/>
      <w:lvlText w:val="%1."/>
      <w:lvlJc w:val="left"/>
      <w:pPr>
        <w:ind w:left="1069" w:hanging="360"/>
      </w:pPr>
      <w:rPr>
        <w:rFonts w:ascii="Times New Roman" w:eastAsiaTheme="minorHAnsi" w:hAnsi="Times New Roman" w:cs="Times New Roman"/>
        <w:b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73">
    <w:nsid w:val="4C5F1E7F"/>
    <w:multiLevelType w:val="hybridMultilevel"/>
    <w:tmpl w:val="F56CB00E"/>
    <w:lvl w:ilvl="0" w:tplc="8EE68330">
      <w:start w:val="1"/>
      <w:numFmt w:val="decimal"/>
      <w:lvlText w:val="%1)"/>
      <w:lvlJc w:val="left"/>
      <w:pPr>
        <w:ind w:left="927" w:hanging="360"/>
      </w:pPr>
      <w:rPr>
        <w:rFonts w:hint="default"/>
        <w:sz w:val="24"/>
        <w:szCs w:val="24"/>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74">
    <w:nsid w:val="4D016734"/>
    <w:multiLevelType w:val="hybridMultilevel"/>
    <w:tmpl w:val="162A9AF4"/>
    <w:lvl w:ilvl="0" w:tplc="B56A5706">
      <w:start w:val="1"/>
      <w:numFmt w:val="bullet"/>
      <w:lvlText w:val=""/>
      <w:lvlJc w:val="left"/>
      <w:pPr>
        <w:ind w:left="1429" w:hanging="360"/>
      </w:pPr>
      <w:rPr>
        <w:rFonts w:ascii="Symbol" w:hAnsi="Symbol" w:hint="default"/>
        <w:sz w:val="12"/>
        <w:szCs w:val="1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5">
    <w:nsid w:val="4EAD0C46"/>
    <w:multiLevelType w:val="hybridMultilevel"/>
    <w:tmpl w:val="3312AD56"/>
    <w:lvl w:ilvl="0" w:tplc="C2304072">
      <w:start w:val="1"/>
      <w:numFmt w:val="decimal"/>
      <w:lvlText w:val="%1."/>
      <w:lvlJc w:val="left"/>
      <w:pPr>
        <w:ind w:left="720" w:hanging="360"/>
      </w:pPr>
      <w:rPr>
        <w:rFonts w:ascii="Times New Roman" w:eastAsiaTheme="minorHAnsi"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6">
    <w:nsid w:val="4F0369C3"/>
    <w:multiLevelType w:val="hybridMultilevel"/>
    <w:tmpl w:val="5960453C"/>
    <w:lvl w:ilvl="0" w:tplc="6BF86940">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77">
    <w:nsid w:val="4F5538A4"/>
    <w:multiLevelType w:val="hybridMultilevel"/>
    <w:tmpl w:val="5A7EF264"/>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8">
    <w:nsid w:val="4F6050BC"/>
    <w:multiLevelType w:val="hybridMultilevel"/>
    <w:tmpl w:val="F1D03766"/>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9">
    <w:nsid w:val="4FE70B0A"/>
    <w:multiLevelType w:val="hybridMultilevel"/>
    <w:tmpl w:val="68143F5E"/>
    <w:lvl w:ilvl="0" w:tplc="C2304072">
      <w:start w:val="1"/>
      <w:numFmt w:val="decimal"/>
      <w:lvlText w:val="%1."/>
      <w:lvlJc w:val="left"/>
      <w:pPr>
        <w:ind w:left="1429" w:hanging="360"/>
      </w:pPr>
      <w:rPr>
        <w:rFonts w:ascii="Times New Roman" w:eastAsiaTheme="minorHAnsi" w:hAnsi="Times New Roman" w:cs="Times New Roman"/>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0">
    <w:nsid w:val="504F1C95"/>
    <w:multiLevelType w:val="hybridMultilevel"/>
    <w:tmpl w:val="18ACF710"/>
    <w:lvl w:ilvl="0" w:tplc="978EBC4A">
      <w:start w:val="1"/>
      <w:numFmt w:val="bullet"/>
      <w:lvlText w:val=""/>
      <w:lvlJc w:val="left"/>
      <w:pPr>
        <w:ind w:left="2487"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1">
    <w:nsid w:val="50E40C82"/>
    <w:multiLevelType w:val="hybridMultilevel"/>
    <w:tmpl w:val="8FCABDBC"/>
    <w:lvl w:ilvl="0" w:tplc="F2FC38A6">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82">
    <w:nsid w:val="51347503"/>
    <w:multiLevelType w:val="hybridMultilevel"/>
    <w:tmpl w:val="65969B54"/>
    <w:lvl w:ilvl="0" w:tplc="C2304072">
      <w:start w:val="1"/>
      <w:numFmt w:val="decimal"/>
      <w:lvlText w:val="%1."/>
      <w:lvlJc w:val="left"/>
      <w:pPr>
        <w:ind w:left="1069" w:hanging="360"/>
      </w:pPr>
      <w:rPr>
        <w:rFonts w:ascii="Times New Roman" w:eastAsiaTheme="minorHAnsi" w:hAnsi="Times New Roman" w:cs="Times New Roman"/>
        <w:b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83">
    <w:nsid w:val="51B71028"/>
    <w:multiLevelType w:val="hybridMultilevel"/>
    <w:tmpl w:val="0D2A7934"/>
    <w:lvl w:ilvl="0" w:tplc="B56A5706">
      <w:start w:val="1"/>
      <w:numFmt w:val="bullet"/>
      <w:lvlText w:val=""/>
      <w:lvlJc w:val="left"/>
      <w:pPr>
        <w:ind w:left="1429" w:hanging="360"/>
      </w:pPr>
      <w:rPr>
        <w:rFonts w:ascii="Symbol" w:hAnsi="Symbol" w:hint="default"/>
        <w:sz w:val="12"/>
        <w:szCs w:val="1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4">
    <w:nsid w:val="5211131E"/>
    <w:multiLevelType w:val="hybridMultilevel"/>
    <w:tmpl w:val="1CD8E88E"/>
    <w:lvl w:ilvl="0" w:tplc="B56A5706">
      <w:start w:val="1"/>
      <w:numFmt w:val="bullet"/>
      <w:lvlText w:val=""/>
      <w:lvlJc w:val="left"/>
      <w:pPr>
        <w:ind w:left="1287" w:hanging="360"/>
      </w:pPr>
      <w:rPr>
        <w:rFonts w:ascii="Symbol" w:hAnsi="Symbol" w:hint="default"/>
        <w:sz w:val="12"/>
        <w:szCs w:val="12"/>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85">
    <w:nsid w:val="53B62701"/>
    <w:multiLevelType w:val="hybridMultilevel"/>
    <w:tmpl w:val="1196F6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C2304072">
      <w:start w:val="1"/>
      <w:numFmt w:val="decimal"/>
      <w:lvlText w:val="%4."/>
      <w:lvlJc w:val="left"/>
      <w:pPr>
        <w:ind w:left="2880" w:hanging="360"/>
      </w:pPr>
      <w:rPr>
        <w:rFonts w:ascii="Times New Roman" w:eastAsiaTheme="minorHAnsi" w:hAnsi="Times New Roman" w:cs="Times New Roman"/>
        <w:b w:val="0"/>
      </w:r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6">
    <w:nsid w:val="543965BF"/>
    <w:multiLevelType w:val="hybridMultilevel"/>
    <w:tmpl w:val="17E2BF0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7">
    <w:nsid w:val="54E92382"/>
    <w:multiLevelType w:val="hybridMultilevel"/>
    <w:tmpl w:val="DE2CF79E"/>
    <w:lvl w:ilvl="0" w:tplc="04190011">
      <w:start w:val="1"/>
      <w:numFmt w:val="decimal"/>
      <w:lvlText w:val="%1)"/>
      <w:lvlJc w:val="left"/>
      <w:pPr>
        <w:ind w:left="360" w:hanging="360"/>
      </w:pPr>
      <w:rPr>
        <w:rFonts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188">
    <w:nsid w:val="55030B72"/>
    <w:multiLevelType w:val="hybridMultilevel"/>
    <w:tmpl w:val="9416B7A0"/>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9">
    <w:nsid w:val="55C40F96"/>
    <w:multiLevelType w:val="hybridMultilevel"/>
    <w:tmpl w:val="5A82B406"/>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0">
    <w:nsid w:val="5641532A"/>
    <w:multiLevelType w:val="hybridMultilevel"/>
    <w:tmpl w:val="86C6DA02"/>
    <w:lvl w:ilvl="0" w:tplc="C2304072">
      <w:start w:val="1"/>
      <w:numFmt w:val="decimal"/>
      <w:lvlText w:val="%1."/>
      <w:lvlJc w:val="left"/>
      <w:pPr>
        <w:ind w:left="720" w:hanging="360"/>
      </w:pPr>
      <w:rPr>
        <w:rFonts w:ascii="Times New Roman" w:eastAsiaTheme="minorHAnsi"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1">
    <w:nsid w:val="571D41AF"/>
    <w:multiLevelType w:val="hybridMultilevel"/>
    <w:tmpl w:val="4582E19A"/>
    <w:lvl w:ilvl="0" w:tplc="C2304072">
      <w:start w:val="1"/>
      <w:numFmt w:val="decimal"/>
      <w:lvlText w:val="%1."/>
      <w:lvlJc w:val="left"/>
      <w:pPr>
        <w:ind w:left="720" w:hanging="360"/>
      </w:pPr>
      <w:rPr>
        <w:rFonts w:ascii="Times New Roman" w:eastAsiaTheme="minorHAnsi"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2">
    <w:nsid w:val="57C57299"/>
    <w:multiLevelType w:val="hybridMultilevel"/>
    <w:tmpl w:val="371CA75E"/>
    <w:lvl w:ilvl="0" w:tplc="C2304072">
      <w:start w:val="1"/>
      <w:numFmt w:val="decimal"/>
      <w:lvlText w:val="%1."/>
      <w:lvlJc w:val="left"/>
      <w:pPr>
        <w:ind w:left="720" w:hanging="360"/>
      </w:pPr>
      <w:rPr>
        <w:rFonts w:ascii="Times New Roman" w:eastAsiaTheme="minorHAnsi" w:hAnsi="Times New Roman" w:cs="Times New Roman"/>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3">
    <w:nsid w:val="57DE3326"/>
    <w:multiLevelType w:val="hybridMultilevel"/>
    <w:tmpl w:val="FBF6A126"/>
    <w:lvl w:ilvl="0" w:tplc="B56A5706">
      <w:start w:val="1"/>
      <w:numFmt w:val="bullet"/>
      <w:lvlText w:val=""/>
      <w:lvlJc w:val="left"/>
      <w:pPr>
        <w:ind w:left="720" w:hanging="360"/>
      </w:pPr>
      <w:rPr>
        <w:rFonts w:ascii="Symbol" w:hAnsi="Symbol" w:hint="default"/>
        <w:sz w:val="12"/>
        <w:szCs w:val="1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4">
    <w:nsid w:val="580D278E"/>
    <w:multiLevelType w:val="hybridMultilevel"/>
    <w:tmpl w:val="6BC015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5">
    <w:nsid w:val="58557663"/>
    <w:multiLevelType w:val="hybridMultilevel"/>
    <w:tmpl w:val="2988CD1E"/>
    <w:lvl w:ilvl="0" w:tplc="B56A5706">
      <w:start w:val="1"/>
      <w:numFmt w:val="bullet"/>
      <w:lvlText w:val=""/>
      <w:lvlJc w:val="left"/>
      <w:pPr>
        <w:ind w:left="1485" w:hanging="360"/>
      </w:pPr>
      <w:rPr>
        <w:rFonts w:ascii="Symbol" w:hAnsi="Symbol" w:hint="default"/>
        <w:sz w:val="12"/>
        <w:szCs w:val="12"/>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196">
    <w:nsid w:val="58741F67"/>
    <w:multiLevelType w:val="hybridMultilevel"/>
    <w:tmpl w:val="B21C7AB0"/>
    <w:lvl w:ilvl="0" w:tplc="B56A5706">
      <w:start w:val="1"/>
      <w:numFmt w:val="bullet"/>
      <w:lvlText w:val=""/>
      <w:lvlJc w:val="left"/>
      <w:pPr>
        <w:ind w:left="1287" w:hanging="360"/>
      </w:pPr>
      <w:rPr>
        <w:rFonts w:ascii="Symbol" w:hAnsi="Symbol" w:hint="default"/>
        <w:sz w:val="12"/>
        <w:szCs w:val="12"/>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7">
    <w:nsid w:val="59282F99"/>
    <w:multiLevelType w:val="hybridMultilevel"/>
    <w:tmpl w:val="9C8C45F0"/>
    <w:lvl w:ilvl="0" w:tplc="B56A5706">
      <w:start w:val="1"/>
      <w:numFmt w:val="bullet"/>
      <w:lvlText w:val=""/>
      <w:lvlJc w:val="left"/>
      <w:pPr>
        <w:ind w:left="1287" w:hanging="360"/>
      </w:pPr>
      <w:rPr>
        <w:rFonts w:ascii="Symbol" w:hAnsi="Symbol" w:hint="default"/>
        <w:sz w:val="12"/>
        <w:szCs w:val="12"/>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8">
    <w:nsid w:val="59363566"/>
    <w:multiLevelType w:val="hybridMultilevel"/>
    <w:tmpl w:val="9110A26C"/>
    <w:lvl w:ilvl="0" w:tplc="04190011">
      <w:start w:val="1"/>
      <w:numFmt w:val="decimal"/>
      <w:lvlText w:val="%1)"/>
      <w:lvlJc w:val="left"/>
      <w:pPr>
        <w:ind w:left="360" w:hanging="360"/>
      </w:pPr>
      <w:rPr>
        <w:rFonts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199">
    <w:nsid w:val="59C52E68"/>
    <w:multiLevelType w:val="hybridMultilevel"/>
    <w:tmpl w:val="2C5052BE"/>
    <w:lvl w:ilvl="0" w:tplc="C2304072">
      <w:start w:val="1"/>
      <w:numFmt w:val="decimal"/>
      <w:lvlText w:val="%1."/>
      <w:lvlJc w:val="left"/>
      <w:pPr>
        <w:ind w:left="1287" w:hanging="360"/>
      </w:pPr>
      <w:rPr>
        <w:rFonts w:ascii="Times New Roman" w:eastAsiaTheme="minorHAnsi" w:hAnsi="Times New Roman" w:cs="Times New Roman"/>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0">
    <w:nsid w:val="59CA694F"/>
    <w:multiLevelType w:val="hybridMultilevel"/>
    <w:tmpl w:val="817E2CEC"/>
    <w:lvl w:ilvl="0" w:tplc="61CC5C76">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201">
    <w:nsid w:val="5A053BE5"/>
    <w:multiLevelType w:val="hybridMultilevel"/>
    <w:tmpl w:val="0B6466C2"/>
    <w:lvl w:ilvl="0" w:tplc="978EBC4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2">
    <w:nsid w:val="5A1E7AB4"/>
    <w:multiLevelType w:val="hybridMultilevel"/>
    <w:tmpl w:val="BC3A8D8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3">
    <w:nsid w:val="5ADD17E0"/>
    <w:multiLevelType w:val="hybridMultilevel"/>
    <w:tmpl w:val="1DF25760"/>
    <w:lvl w:ilvl="0" w:tplc="978EBC4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4">
    <w:nsid w:val="5B2D0A21"/>
    <w:multiLevelType w:val="hybridMultilevel"/>
    <w:tmpl w:val="6C243CF8"/>
    <w:lvl w:ilvl="0" w:tplc="B56A5706">
      <w:start w:val="1"/>
      <w:numFmt w:val="bullet"/>
      <w:lvlText w:val=""/>
      <w:lvlJc w:val="left"/>
      <w:pPr>
        <w:ind w:left="1429" w:hanging="360"/>
      </w:pPr>
      <w:rPr>
        <w:rFonts w:ascii="Symbol" w:hAnsi="Symbol" w:hint="default"/>
        <w:sz w:val="12"/>
        <w:szCs w:val="1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5">
    <w:nsid w:val="5BC55CD9"/>
    <w:multiLevelType w:val="hybridMultilevel"/>
    <w:tmpl w:val="4A90DCF0"/>
    <w:lvl w:ilvl="0" w:tplc="B56A5706">
      <w:start w:val="1"/>
      <w:numFmt w:val="bullet"/>
      <w:lvlText w:val=""/>
      <w:lvlJc w:val="left"/>
      <w:pPr>
        <w:ind w:left="1429" w:hanging="360"/>
      </w:pPr>
      <w:rPr>
        <w:rFonts w:ascii="Symbol" w:hAnsi="Symbol" w:hint="default"/>
        <w:sz w:val="12"/>
        <w:szCs w:val="12"/>
      </w:rPr>
    </w:lvl>
    <w:lvl w:ilvl="1" w:tplc="9AF2BBBC">
      <w:start w:val="3"/>
      <w:numFmt w:val="bullet"/>
      <w:lvlText w:val="•"/>
      <w:lvlJc w:val="left"/>
      <w:pPr>
        <w:ind w:left="2209" w:hanging="420"/>
      </w:pPr>
      <w:rPr>
        <w:rFonts w:ascii="Times New Roman" w:eastAsia="Times New Roman" w:hAnsi="Times New Roman" w:cs="Times New Roma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6">
    <w:nsid w:val="5CEA599E"/>
    <w:multiLevelType w:val="hybridMultilevel"/>
    <w:tmpl w:val="74ECF572"/>
    <w:lvl w:ilvl="0" w:tplc="B56A5706">
      <w:start w:val="1"/>
      <w:numFmt w:val="bullet"/>
      <w:lvlText w:val=""/>
      <w:lvlJc w:val="left"/>
      <w:pPr>
        <w:ind w:left="1356" w:hanging="360"/>
      </w:pPr>
      <w:rPr>
        <w:rFonts w:ascii="Symbol" w:hAnsi="Symbol" w:hint="default"/>
        <w:sz w:val="12"/>
        <w:szCs w:val="12"/>
      </w:rPr>
    </w:lvl>
    <w:lvl w:ilvl="1" w:tplc="04190003">
      <w:start w:val="1"/>
      <w:numFmt w:val="bullet"/>
      <w:lvlText w:val="o"/>
      <w:lvlJc w:val="left"/>
      <w:pPr>
        <w:ind w:left="2076" w:hanging="360"/>
      </w:pPr>
      <w:rPr>
        <w:rFonts w:ascii="Courier New" w:hAnsi="Courier New" w:cs="Courier New" w:hint="default"/>
      </w:rPr>
    </w:lvl>
    <w:lvl w:ilvl="2" w:tplc="04190005">
      <w:start w:val="1"/>
      <w:numFmt w:val="bullet"/>
      <w:lvlText w:val=""/>
      <w:lvlJc w:val="left"/>
      <w:pPr>
        <w:ind w:left="2796" w:hanging="360"/>
      </w:pPr>
      <w:rPr>
        <w:rFonts w:ascii="Wingdings" w:hAnsi="Wingdings" w:hint="default"/>
      </w:rPr>
    </w:lvl>
    <w:lvl w:ilvl="3" w:tplc="04190001">
      <w:start w:val="1"/>
      <w:numFmt w:val="bullet"/>
      <w:lvlText w:val=""/>
      <w:lvlJc w:val="left"/>
      <w:pPr>
        <w:ind w:left="3516" w:hanging="360"/>
      </w:pPr>
      <w:rPr>
        <w:rFonts w:ascii="Symbol" w:hAnsi="Symbol" w:hint="default"/>
      </w:rPr>
    </w:lvl>
    <w:lvl w:ilvl="4" w:tplc="04190003">
      <w:start w:val="1"/>
      <w:numFmt w:val="bullet"/>
      <w:lvlText w:val="o"/>
      <w:lvlJc w:val="left"/>
      <w:pPr>
        <w:ind w:left="4236" w:hanging="360"/>
      </w:pPr>
      <w:rPr>
        <w:rFonts w:ascii="Courier New" w:hAnsi="Courier New" w:cs="Courier New" w:hint="default"/>
      </w:rPr>
    </w:lvl>
    <w:lvl w:ilvl="5" w:tplc="04190005">
      <w:start w:val="1"/>
      <w:numFmt w:val="bullet"/>
      <w:lvlText w:val=""/>
      <w:lvlJc w:val="left"/>
      <w:pPr>
        <w:ind w:left="4956" w:hanging="360"/>
      </w:pPr>
      <w:rPr>
        <w:rFonts w:ascii="Wingdings" w:hAnsi="Wingdings" w:hint="default"/>
      </w:rPr>
    </w:lvl>
    <w:lvl w:ilvl="6" w:tplc="04190001">
      <w:start w:val="1"/>
      <w:numFmt w:val="bullet"/>
      <w:lvlText w:val=""/>
      <w:lvlJc w:val="left"/>
      <w:pPr>
        <w:ind w:left="5676" w:hanging="360"/>
      </w:pPr>
      <w:rPr>
        <w:rFonts w:ascii="Symbol" w:hAnsi="Symbol" w:hint="default"/>
      </w:rPr>
    </w:lvl>
    <w:lvl w:ilvl="7" w:tplc="04190003">
      <w:start w:val="1"/>
      <w:numFmt w:val="bullet"/>
      <w:lvlText w:val="o"/>
      <w:lvlJc w:val="left"/>
      <w:pPr>
        <w:ind w:left="6396" w:hanging="360"/>
      </w:pPr>
      <w:rPr>
        <w:rFonts w:ascii="Courier New" w:hAnsi="Courier New" w:cs="Courier New" w:hint="default"/>
      </w:rPr>
    </w:lvl>
    <w:lvl w:ilvl="8" w:tplc="04190005">
      <w:start w:val="1"/>
      <w:numFmt w:val="bullet"/>
      <w:lvlText w:val=""/>
      <w:lvlJc w:val="left"/>
      <w:pPr>
        <w:ind w:left="7116" w:hanging="360"/>
      </w:pPr>
      <w:rPr>
        <w:rFonts w:ascii="Wingdings" w:hAnsi="Wingdings" w:hint="default"/>
      </w:rPr>
    </w:lvl>
  </w:abstractNum>
  <w:abstractNum w:abstractNumId="207">
    <w:nsid w:val="5D2C35AA"/>
    <w:multiLevelType w:val="hybridMultilevel"/>
    <w:tmpl w:val="CBDAEF36"/>
    <w:lvl w:ilvl="0" w:tplc="C2304072">
      <w:start w:val="1"/>
      <w:numFmt w:val="decimal"/>
      <w:lvlText w:val="%1."/>
      <w:lvlJc w:val="left"/>
      <w:pPr>
        <w:ind w:left="720" w:hanging="360"/>
      </w:pPr>
      <w:rPr>
        <w:rFonts w:ascii="Times New Roman" w:eastAsiaTheme="minorHAnsi"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8">
    <w:nsid w:val="5DA01B05"/>
    <w:multiLevelType w:val="hybridMultilevel"/>
    <w:tmpl w:val="96BA06F4"/>
    <w:lvl w:ilvl="0" w:tplc="C2304072">
      <w:start w:val="1"/>
      <w:numFmt w:val="decimal"/>
      <w:lvlText w:val="%1."/>
      <w:lvlJc w:val="left"/>
      <w:pPr>
        <w:ind w:left="1429" w:hanging="360"/>
      </w:pPr>
      <w:rPr>
        <w:rFonts w:ascii="Times New Roman" w:eastAsiaTheme="minorHAnsi" w:hAnsi="Times New Roman" w:cs="Times New Roman"/>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9">
    <w:nsid w:val="5EF77020"/>
    <w:multiLevelType w:val="hybridMultilevel"/>
    <w:tmpl w:val="B6FC80F4"/>
    <w:lvl w:ilvl="0" w:tplc="C2304072">
      <w:start w:val="1"/>
      <w:numFmt w:val="decimal"/>
      <w:lvlText w:val="%1."/>
      <w:lvlJc w:val="left"/>
      <w:pPr>
        <w:ind w:left="720" w:hanging="360"/>
      </w:pPr>
      <w:rPr>
        <w:rFonts w:ascii="Times New Roman" w:eastAsiaTheme="minorHAnsi" w:hAnsi="Times New Roman" w:cs="Times New Roman"/>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0">
    <w:nsid w:val="5F772B37"/>
    <w:multiLevelType w:val="hybridMultilevel"/>
    <w:tmpl w:val="31CCBA32"/>
    <w:lvl w:ilvl="0" w:tplc="B56A5706">
      <w:start w:val="1"/>
      <w:numFmt w:val="bullet"/>
      <w:lvlText w:val=""/>
      <w:lvlJc w:val="left"/>
      <w:pPr>
        <w:ind w:left="1429" w:hanging="360"/>
      </w:pPr>
      <w:rPr>
        <w:rFonts w:ascii="Symbol" w:hAnsi="Symbol" w:hint="default"/>
        <w:sz w:val="12"/>
        <w:szCs w:val="1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1">
    <w:nsid w:val="6002689F"/>
    <w:multiLevelType w:val="hybridMultilevel"/>
    <w:tmpl w:val="F34C6224"/>
    <w:lvl w:ilvl="0" w:tplc="B56A5706">
      <w:start w:val="1"/>
      <w:numFmt w:val="bullet"/>
      <w:lvlText w:val=""/>
      <w:lvlJc w:val="left"/>
      <w:pPr>
        <w:ind w:left="1429" w:hanging="360"/>
      </w:pPr>
      <w:rPr>
        <w:rFonts w:ascii="Symbol" w:hAnsi="Symbol" w:hint="default"/>
        <w:sz w:val="12"/>
        <w:szCs w:val="1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2">
    <w:nsid w:val="605B5658"/>
    <w:multiLevelType w:val="hybridMultilevel"/>
    <w:tmpl w:val="832CA94E"/>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3">
    <w:nsid w:val="60B963B8"/>
    <w:multiLevelType w:val="hybridMultilevel"/>
    <w:tmpl w:val="C2E8E834"/>
    <w:lvl w:ilvl="0" w:tplc="B56A5706">
      <w:start w:val="1"/>
      <w:numFmt w:val="bullet"/>
      <w:lvlText w:val=""/>
      <w:lvlJc w:val="left"/>
      <w:pPr>
        <w:ind w:left="1429" w:hanging="360"/>
      </w:pPr>
      <w:rPr>
        <w:rFonts w:ascii="Symbol" w:hAnsi="Symbol" w:hint="default"/>
        <w:sz w:val="12"/>
        <w:szCs w:val="12"/>
      </w:rPr>
    </w:lvl>
    <w:lvl w:ilvl="1" w:tplc="B41E5818">
      <w:start w:val="4"/>
      <w:numFmt w:val="bullet"/>
      <w:lvlText w:val="–"/>
      <w:lvlJc w:val="left"/>
      <w:pPr>
        <w:ind w:left="2149" w:hanging="360"/>
      </w:pPr>
      <w:rPr>
        <w:rFonts w:ascii="Times New Roman" w:eastAsia="Times New Roman" w:hAnsi="Times New Roman" w:cs="Times New Roma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4">
    <w:nsid w:val="60CB066F"/>
    <w:multiLevelType w:val="hybridMultilevel"/>
    <w:tmpl w:val="10224D52"/>
    <w:lvl w:ilvl="0" w:tplc="B56A5706">
      <w:start w:val="1"/>
      <w:numFmt w:val="bullet"/>
      <w:lvlText w:val=""/>
      <w:lvlJc w:val="left"/>
      <w:pPr>
        <w:ind w:left="1428" w:hanging="360"/>
      </w:pPr>
      <w:rPr>
        <w:rFonts w:ascii="Symbol" w:hAnsi="Symbol" w:hint="default"/>
        <w:sz w:val="12"/>
        <w:szCs w:val="12"/>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15">
    <w:nsid w:val="60EF6C94"/>
    <w:multiLevelType w:val="hybridMultilevel"/>
    <w:tmpl w:val="6C848548"/>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6">
    <w:nsid w:val="611E7C24"/>
    <w:multiLevelType w:val="hybridMultilevel"/>
    <w:tmpl w:val="699CE85E"/>
    <w:lvl w:ilvl="0" w:tplc="B56A5706">
      <w:start w:val="1"/>
      <w:numFmt w:val="bullet"/>
      <w:lvlText w:val=""/>
      <w:lvlJc w:val="left"/>
      <w:pPr>
        <w:ind w:left="1287" w:hanging="360"/>
      </w:pPr>
      <w:rPr>
        <w:rFonts w:ascii="Symbol" w:hAnsi="Symbol" w:hint="default"/>
        <w:sz w:val="12"/>
        <w:szCs w:val="12"/>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7">
    <w:nsid w:val="63561595"/>
    <w:multiLevelType w:val="hybridMultilevel"/>
    <w:tmpl w:val="50B0C86E"/>
    <w:lvl w:ilvl="0" w:tplc="C2304072">
      <w:start w:val="1"/>
      <w:numFmt w:val="decimal"/>
      <w:lvlText w:val="%1."/>
      <w:lvlJc w:val="left"/>
      <w:pPr>
        <w:ind w:left="720" w:hanging="360"/>
      </w:pPr>
      <w:rPr>
        <w:rFonts w:ascii="Times New Roman" w:eastAsiaTheme="minorHAnsi"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8">
    <w:nsid w:val="63D12316"/>
    <w:multiLevelType w:val="hybridMultilevel"/>
    <w:tmpl w:val="79D8E32E"/>
    <w:lvl w:ilvl="0" w:tplc="C2304072">
      <w:start w:val="1"/>
      <w:numFmt w:val="decimal"/>
      <w:lvlText w:val="%1."/>
      <w:lvlJc w:val="left"/>
      <w:pPr>
        <w:ind w:left="720" w:hanging="360"/>
      </w:pPr>
      <w:rPr>
        <w:rFonts w:ascii="Times New Roman" w:eastAsiaTheme="minorHAnsi"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9">
    <w:nsid w:val="64560540"/>
    <w:multiLevelType w:val="hybridMultilevel"/>
    <w:tmpl w:val="44E0968E"/>
    <w:lvl w:ilvl="0" w:tplc="B56A5706">
      <w:start w:val="1"/>
      <w:numFmt w:val="bullet"/>
      <w:lvlText w:val=""/>
      <w:lvlJc w:val="left"/>
      <w:pPr>
        <w:ind w:left="720" w:hanging="360"/>
      </w:pPr>
      <w:rPr>
        <w:rFonts w:ascii="Symbol" w:hAnsi="Symbol" w:hint="default"/>
        <w:sz w:val="12"/>
        <w:szCs w:val="1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0">
    <w:nsid w:val="64EC73C9"/>
    <w:multiLevelType w:val="hybridMultilevel"/>
    <w:tmpl w:val="83F49F5C"/>
    <w:lvl w:ilvl="0" w:tplc="C2304072">
      <w:start w:val="1"/>
      <w:numFmt w:val="decimal"/>
      <w:lvlText w:val="%1."/>
      <w:lvlJc w:val="left"/>
      <w:pPr>
        <w:ind w:left="720" w:hanging="360"/>
      </w:pPr>
      <w:rPr>
        <w:rFonts w:ascii="Times New Roman" w:eastAsiaTheme="minorHAnsi"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1">
    <w:nsid w:val="65455D52"/>
    <w:multiLevelType w:val="hybridMultilevel"/>
    <w:tmpl w:val="B34E6ED0"/>
    <w:lvl w:ilvl="0" w:tplc="978EBC4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2">
    <w:nsid w:val="658D3100"/>
    <w:multiLevelType w:val="hybridMultilevel"/>
    <w:tmpl w:val="24B6C24A"/>
    <w:lvl w:ilvl="0" w:tplc="B56A5706">
      <w:start w:val="1"/>
      <w:numFmt w:val="bullet"/>
      <w:lvlText w:val=""/>
      <w:lvlJc w:val="left"/>
      <w:pPr>
        <w:ind w:left="1287" w:hanging="360"/>
      </w:pPr>
      <w:rPr>
        <w:rFonts w:ascii="Symbol" w:hAnsi="Symbol" w:hint="default"/>
        <w:sz w:val="12"/>
        <w:szCs w:val="12"/>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3">
    <w:nsid w:val="66367CFB"/>
    <w:multiLevelType w:val="hybridMultilevel"/>
    <w:tmpl w:val="1EEE122A"/>
    <w:lvl w:ilvl="0" w:tplc="C2304072">
      <w:start w:val="1"/>
      <w:numFmt w:val="decimal"/>
      <w:lvlText w:val="%1."/>
      <w:lvlJc w:val="left"/>
      <w:pPr>
        <w:ind w:left="2498" w:hanging="360"/>
      </w:pPr>
      <w:rPr>
        <w:rFonts w:ascii="Times New Roman" w:eastAsiaTheme="minorHAnsi" w:hAnsi="Times New Roman" w:cs="Times New Roman"/>
        <w:b w:val="0"/>
      </w:rPr>
    </w:lvl>
    <w:lvl w:ilvl="1" w:tplc="04190019">
      <w:start w:val="1"/>
      <w:numFmt w:val="lowerLetter"/>
      <w:lvlText w:val="%2."/>
      <w:lvlJc w:val="left"/>
      <w:pPr>
        <w:ind w:left="2509" w:hanging="360"/>
      </w:pPr>
    </w:lvl>
    <w:lvl w:ilvl="2" w:tplc="0419001B">
      <w:start w:val="1"/>
      <w:numFmt w:val="lowerRoman"/>
      <w:lvlText w:val="%3."/>
      <w:lvlJc w:val="right"/>
      <w:pPr>
        <w:ind w:left="3229" w:hanging="180"/>
      </w:pPr>
    </w:lvl>
    <w:lvl w:ilvl="3" w:tplc="0419000F">
      <w:start w:val="1"/>
      <w:numFmt w:val="decimal"/>
      <w:lvlText w:val="%4."/>
      <w:lvlJc w:val="left"/>
      <w:pPr>
        <w:ind w:left="3949" w:hanging="360"/>
      </w:pPr>
    </w:lvl>
    <w:lvl w:ilvl="4" w:tplc="04190019">
      <w:start w:val="1"/>
      <w:numFmt w:val="lowerLetter"/>
      <w:lvlText w:val="%5."/>
      <w:lvlJc w:val="left"/>
      <w:pPr>
        <w:ind w:left="4669" w:hanging="360"/>
      </w:pPr>
    </w:lvl>
    <w:lvl w:ilvl="5" w:tplc="0419001B">
      <w:start w:val="1"/>
      <w:numFmt w:val="lowerRoman"/>
      <w:lvlText w:val="%6."/>
      <w:lvlJc w:val="right"/>
      <w:pPr>
        <w:ind w:left="5389" w:hanging="180"/>
      </w:pPr>
    </w:lvl>
    <w:lvl w:ilvl="6" w:tplc="0419000F">
      <w:start w:val="1"/>
      <w:numFmt w:val="decimal"/>
      <w:lvlText w:val="%7."/>
      <w:lvlJc w:val="left"/>
      <w:pPr>
        <w:ind w:left="6109" w:hanging="360"/>
      </w:pPr>
    </w:lvl>
    <w:lvl w:ilvl="7" w:tplc="04190019">
      <w:start w:val="1"/>
      <w:numFmt w:val="lowerLetter"/>
      <w:lvlText w:val="%8."/>
      <w:lvlJc w:val="left"/>
      <w:pPr>
        <w:ind w:left="6829" w:hanging="360"/>
      </w:pPr>
    </w:lvl>
    <w:lvl w:ilvl="8" w:tplc="0419001B">
      <w:start w:val="1"/>
      <w:numFmt w:val="lowerRoman"/>
      <w:lvlText w:val="%9."/>
      <w:lvlJc w:val="right"/>
      <w:pPr>
        <w:ind w:left="7549" w:hanging="180"/>
      </w:pPr>
    </w:lvl>
  </w:abstractNum>
  <w:abstractNum w:abstractNumId="224">
    <w:nsid w:val="67395486"/>
    <w:multiLevelType w:val="hybridMultilevel"/>
    <w:tmpl w:val="A9BE6510"/>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5">
    <w:nsid w:val="67C53838"/>
    <w:multiLevelType w:val="hybridMultilevel"/>
    <w:tmpl w:val="FD7C3E76"/>
    <w:lvl w:ilvl="0" w:tplc="B56A5706">
      <w:start w:val="1"/>
      <w:numFmt w:val="bullet"/>
      <w:lvlText w:val=""/>
      <w:lvlJc w:val="left"/>
      <w:pPr>
        <w:ind w:left="720" w:hanging="360"/>
      </w:pPr>
      <w:rPr>
        <w:rFonts w:ascii="Symbol" w:hAnsi="Symbol" w:hint="default"/>
        <w:sz w:val="12"/>
        <w:szCs w:val="1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6">
    <w:nsid w:val="68207400"/>
    <w:multiLevelType w:val="hybridMultilevel"/>
    <w:tmpl w:val="DB06245E"/>
    <w:lvl w:ilvl="0" w:tplc="B56A5706">
      <w:start w:val="1"/>
      <w:numFmt w:val="bullet"/>
      <w:lvlText w:val=""/>
      <w:lvlJc w:val="left"/>
      <w:pPr>
        <w:ind w:left="1429" w:hanging="360"/>
      </w:pPr>
      <w:rPr>
        <w:rFonts w:ascii="Symbol" w:hAnsi="Symbol" w:hint="default"/>
        <w:sz w:val="12"/>
        <w:szCs w:val="1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7">
    <w:nsid w:val="68E15A8B"/>
    <w:multiLevelType w:val="hybridMultilevel"/>
    <w:tmpl w:val="97C26F6C"/>
    <w:lvl w:ilvl="0" w:tplc="B08CA18C">
      <w:start w:val="1"/>
      <w:numFmt w:val="bullet"/>
      <w:lvlText w:val="−"/>
      <w:lvlJc w:val="left"/>
      <w:pPr>
        <w:ind w:left="2574" w:hanging="360"/>
      </w:pPr>
      <w:rPr>
        <w:rFonts w:ascii="Times New Roman" w:hAnsi="Times New Roman" w:cs="Times New Roman" w:hint="default"/>
      </w:rPr>
    </w:lvl>
    <w:lvl w:ilvl="1" w:tplc="B56A5706">
      <w:start w:val="1"/>
      <w:numFmt w:val="bullet"/>
      <w:lvlText w:val=""/>
      <w:lvlJc w:val="left"/>
      <w:pPr>
        <w:ind w:left="1440" w:hanging="360"/>
      </w:pPr>
      <w:rPr>
        <w:rFonts w:ascii="Symbol" w:hAnsi="Symbol" w:hint="default"/>
        <w:sz w:val="12"/>
        <w:szCs w:val="12"/>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8">
    <w:nsid w:val="699967E0"/>
    <w:multiLevelType w:val="hybridMultilevel"/>
    <w:tmpl w:val="3EAE0C20"/>
    <w:lvl w:ilvl="0" w:tplc="36CCB8D4">
      <w:start w:val="1"/>
      <w:numFmt w:val="decimal"/>
      <w:lvlText w:val="%1."/>
      <w:lvlJc w:val="left"/>
      <w:pPr>
        <w:ind w:left="1512" w:hanging="94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9">
    <w:nsid w:val="69E96380"/>
    <w:multiLevelType w:val="hybridMultilevel"/>
    <w:tmpl w:val="022A8136"/>
    <w:lvl w:ilvl="0" w:tplc="B56A5706">
      <w:start w:val="1"/>
      <w:numFmt w:val="bullet"/>
      <w:lvlText w:val=""/>
      <w:lvlJc w:val="left"/>
      <w:pPr>
        <w:ind w:left="1429" w:hanging="360"/>
      </w:pPr>
      <w:rPr>
        <w:rFonts w:ascii="Symbol" w:hAnsi="Symbol" w:hint="default"/>
        <w:sz w:val="12"/>
        <w:szCs w:val="1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0">
    <w:nsid w:val="6A9768B4"/>
    <w:multiLevelType w:val="hybridMultilevel"/>
    <w:tmpl w:val="0ADAB454"/>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1">
    <w:nsid w:val="6AB02794"/>
    <w:multiLevelType w:val="hybridMultilevel"/>
    <w:tmpl w:val="214223B4"/>
    <w:lvl w:ilvl="0" w:tplc="B56A5706">
      <w:start w:val="1"/>
      <w:numFmt w:val="bullet"/>
      <w:lvlText w:val=""/>
      <w:lvlJc w:val="left"/>
      <w:pPr>
        <w:ind w:left="1429" w:hanging="360"/>
      </w:pPr>
      <w:rPr>
        <w:rFonts w:ascii="Symbol" w:hAnsi="Symbol" w:hint="default"/>
        <w:sz w:val="12"/>
        <w:szCs w:val="1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2">
    <w:nsid w:val="6AC669B0"/>
    <w:multiLevelType w:val="hybridMultilevel"/>
    <w:tmpl w:val="8D046830"/>
    <w:lvl w:ilvl="0" w:tplc="B56A5706">
      <w:start w:val="1"/>
      <w:numFmt w:val="bullet"/>
      <w:lvlText w:val=""/>
      <w:lvlJc w:val="left"/>
      <w:pPr>
        <w:ind w:left="1429" w:hanging="360"/>
      </w:pPr>
      <w:rPr>
        <w:rFonts w:ascii="Symbol" w:hAnsi="Symbol" w:hint="default"/>
        <w:sz w:val="12"/>
        <w:szCs w:val="1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3">
    <w:nsid w:val="6AD420F9"/>
    <w:multiLevelType w:val="hybridMultilevel"/>
    <w:tmpl w:val="62FA6B6C"/>
    <w:lvl w:ilvl="0" w:tplc="B56A5706">
      <w:start w:val="1"/>
      <w:numFmt w:val="bullet"/>
      <w:lvlText w:val=""/>
      <w:lvlJc w:val="left"/>
      <w:pPr>
        <w:ind w:left="1429" w:hanging="360"/>
      </w:pPr>
      <w:rPr>
        <w:rFonts w:ascii="Symbol" w:hAnsi="Symbol" w:hint="default"/>
        <w:sz w:val="12"/>
        <w:szCs w:val="1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4">
    <w:nsid w:val="6B8C1BA0"/>
    <w:multiLevelType w:val="hybridMultilevel"/>
    <w:tmpl w:val="04188A22"/>
    <w:lvl w:ilvl="0" w:tplc="C2304072">
      <w:start w:val="1"/>
      <w:numFmt w:val="decimal"/>
      <w:lvlText w:val="%1."/>
      <w:lvlJc w:val="left"/>
      <w:pPr>
        <w:ind w:left="720" w:hanging="360"/>
      </w:pPr>
      <w:rPr>
        <w:rFonts w:ascii="Times New Roman" w:eastAsiaTheme="minorHAnsi" w:hAnsi="Times New Roman" w:cs="Times New Roman"/>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5">
    <w:nsid w:val="6CCA557C"/>
    <w:multiLevelType w:val="hybridMultilevel"/>
    <w:tmpl w:val="676AC838"/>
    <w:lvl w:ilvl="0" w:tplc="C2304072">
      <w:start w:val="1"/>
      <w:numFmt w:val="decimal"/>
      <w:lvlText w:val="%1."/>
      <w:lvlJc w:val="left"/>
      <w:pPr>
        <w:ind w:left="1069" w:hanging="360"/>
      </w:pPr>
      <w:rPr>
        <w:rFonts w:ascii="Times New Roman" w:eastAsiaTheme="minorHAnsi" w:hAnsi="Times New Roman" w:cs="Times New Roman" w:hint="default"/>
        <w:b w:val="0"/>
        <w:sz w:val="22"/>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36">
    <w:nsid w:val="6D62284C"/>
    <w:multiLevelType w:val="hybridMultilevel"/>
    <w:tmpl w:val="2F227958"/>
    <w:lvl w:ilvl="0" w:tplc="978EBC4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37">
    <w:nsid w:val="6D64579D"/>
    <w:multiLevelType w:val="hybridMultilevel"/>
    <w:tmpl w:val="BFEEAEB8"/>
    <w:lvl w:ilvl="0" w:tplc="B56A5706">
      <w:start w:val="1"/>
      <w:numFmt w:val="bullet"/>
      <w:lvlText w:val=""/>
      <w:lvlJc w:val="left"/>
      <w:pPr>
        <w:ind w:left="1287" w:hanging="360"/>
      </w:pPr>
      <w:rPr>
        <w:rFonts w:ascii="Symbol" w:hAnsi="Symbol" w:hint="default"/>
        <w:sz w:val="12"/>
        <w:szCs w:val="12"/>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8">
    <w:nsid w:val="6D663603"/>
    <w:multiLevelType w:val="hybridMultilevel"/>
    <w:tmpl w:val="A482ACC8"/>
    <w:lvl w:ilvl="0" w:tplc="B08CA18C">
      <w:start w:val="1"/>
      <w:numFmt w:val="bullet"/>
      <w:lvlText w:val="−"/>
      <w:lvlJc w:val="left"/>
      <w:pPr>
        <w:ind w:left="2574" w:hanging="360"/>
      </w:pPr>
      <w:rPr>
        <w:rFonts w:ascii="Times New Roman" w:hAnsi="Times New Roman" w:cs="Times New Roman" w:hint="default"/>
      </w:rPr>
    </w:lvl>
    <w:lvl w:ilvl="1" w:tplc="B56A5706">
      <w:start w:val="1"/>
      <w:numFmt w:val="bullet"/>
      <w:lvlText w:val=""/>
      <w:lvlJc w:val="left"/>
      <w:pPr>
        <w:ind w:left="1440" w:hanging="360"/>
      </w:pPr>
      <w:rPr>
        <w:rFonts w:ascii="Symbol" w:hAnsi="Symbol" w:hint="default"/>
        <w:sz w:val="12"/>
        <w:szCs w:val="12"/>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39">
    <w:nsid w:val="6DD25E66"/>
    <w:multiLevelType w:val="hybridMultilevel"/>
    <w:tmpl w:val="95E60D3C"/>
    <w:lvl w:ilvl="0" w:tplc="C2304072">
      <w:start w:val="1"/>
      <w:numFmt w:val="decimal"/>
      <w:lvlText w:val="%1."/>
      <w:lvlJc w:val="left"/>
      <w:pPr>
        <w:ind w:left="1069" w:hanging="360"/>
      </w:pPr>
      <w:rPr>
        <w:rFonts w:ascii="Times New Roman" w:eastAsiaTheme="minorHAnsi" w:hAnsi="Times New Roman" w:cs="Times New Roman"/>
        <w:b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40">
    <w:nsid w:val="6E9400ED"/>
    <w:multiLevelType w:val="hybridMultilevel"/>
    <w:tmpl w:val="4914FD8C"/>
    <w:lvl w:ilvl="0" w:tplc="B56A5706">
      <w:start w:val="1"/>
      <w:numFmt w:val="bullet"/>
      <w:lvlText w:val=""/>
      <w:lvlJc w:val="left"/>
      <w:pPr>
        <w:ind w:left="1287" w:hanging="360"/>
      </w:pPr>
      <w:rPr>
        <w:rFonts w:ascii="Symbol" w:hAnsi="Symbol" w:hint="default"/>
        <w:sz w:val="12"/>
        <w:szCs w:val="12"/>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1">
    <w:nsid w:val="6F2F3D83"/>
    <w:multiLevelType w:val="hybridMultilevel"/>
    <w:tmpl w:val="25EC30E0"/>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2">
    <w:nsid w:val="6F6078ED"/>
    <w:multiLevelType w:val="hybridMultilevel"/>
    <w:tmpl w:val="D2A6CCD8"/>
    <w:lvl w:ilvl="0" w:tplc="C2304072">
      <w:start w:val="1"/>
      <w:numFmt w:val="decimal"/>
      <w:lvlText w:val="%1."/>
      <w:lvlJc w:val="left"/>
      <w:pPr>
        <w:ind w:left="1069" w:hanging="360"/>
      </w:pPr>
      <w:rPr>
        <w:rFonts w:ascii="Times New Roman" w:eastAsiaTheme="minorHAnsi" w:hAnsi="Times New Roman" w:cs="Times New Roman"/>
        <w:b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43">
    <w:nsid w:val="6F8B00E1"/>
    <w:multiLevelType w:val="hybridMultilevel"/>
    <w:tmpl w:val="D5C8F520"/>
    <w:lvl w:ilvl="0" w:tplc="B56A5706">
      <w:start w:val="1"/>
      <w:numFmt w:val="bullet"/>
      <w:lvlText w:val=""/>
      <w:lvlJc w:val="left"/>
      <w:pPr>
        <w:ind w:left="1286" w:hanging="360"/>
      </w:pPr>
      <w:rPr>
        <w:rFonts w:ascii="Symbol" w:hAnsi="Symbol" w:hint="default"/>
        <w:sz w:val="12"/>
        <w:szCs w:val="12"/>
      </w:rPr>
    </w:lvl>
    <w:lvl w:ilvl="1" w:tplc="04190003" w:tentative="1">
      <w:start w:val="1"/>
      <w:numFmt w:val="bullet"/>
      <w:lvlText w:val="o"/>
      <w:lvlJc w:val="left"/>
      <w:pPr>
        <w:ind w:left="2006" w:hanging="360"/>
      </w:pPr>
      <w:rPr>
        <w:rFonts w:ascii="Courier New" w:hAnsi="Courier New" w:cs="Courier New" w:hint="default"/>
      </w:rPr>
    </w:lvl>
    <w:lvl w:ilvl="2" w:tplc="04190005" w:tentative="1">
      <w:start w:val="1"/>
      <w:numFmt w:val="bullet"/>
      <w:lvlText w:val=""/>
      <w:lvlJc w:val="left"/>
      <w:pPr>
        <w:ind w:left="2726" w:hanging="360"/>
      </w:pPr>
      <w:rPr>
        <w:rFonts w:ascii="Wingdings" w:hAnsi="Wingdings" w:hint="default"/>
      </w:rPr>
    </w:lvl>
    <w:lvl w:ilvl="3" w:tplc="04190001" w:tentative="1">
      <w:start w:val="1"/>
      <w:numFmt w:val="bullet"/>
      <w:lvlText w:val=""/>
      <w:lvlJc w:val="left"/>
      <w:pPr>
        <w:ind w:left="3446" w:hanging="360"/>
      </w:pPr>
      <w:rPr>
        <w:rFonts w:ascii="Symbol" w:hAnsi="Symbol" w:hint="default"/>
      </w:rPr>
    </w:lvl>
    <w:lvl w:ilvl="4" w:tplc="04190003" w:tentative="1">
      <w:start w:val="1"/>
      <w:numFmt w:val="bullet"/>
      <w:lvlText w:val="o"/>
      <w:lvlJc w:val="left"/>
      <w:pPr>
        <w:ind w:left="4166" w:hanging="360"/>
      </w:pPr>
      <w:rPr>
        <w:rFonts w:ascii="Courier New" w:hAnsi="Courier New" w:cs="Courier New" w:hint="default"/>
      </w:rPr>
    </w:lvl>
    <w:lvl w:ilvl="5" w:tplc="04190005" w:tentative="1">
      <w:start w:val="1"/>
      <w:numFmt w:val="bullet"/>
      <w:lvlText w:val=""/>
      <w:lvlJc w:val="left"/>
      <w:pPr>
        <w:ind w:left="4886" w:hanging="360"/>
      </w:pPr>
      <w:rPr>
        <w:rFonts w:ascii="Wingdings" w:hAnsi="Wingdings" w:hint="default"/>
      </w:rPr>
    </w:lvl>
    <w:lvl w:ilvl="6" w:tplc="04190001" w:tentative="1">
      <w:start w:val="1"/>
      <w:numFmt w:val="bullet"/>
      <w:lvlText w:val=""/>
      <w:lvlJc w:val="left"/>
      <w:pPr>
        <w:ind w:left="5606" w:hanging="360"/>
      </w:pPr>
      <w:rPr>
        <w:rFonts w:ascii="Symbol" w:hAnsi="Symbol" w:hint="default"/>
      </w:rPr>
    </w:lvl>
    <w:lvl w:ilvl="7" w:tplc="04190003" w:tentative="1">
      <w:start w:val="1"/>
      <w:numFmt w:val="bullet"/>
      <w:lvlText w:val="o"/>
      <w:lvlJc w:val="left"/>
      <w:pPr>
        <w:ind w:left="6326" w:hanging="360"/>
      </w:pPr>
      <w:rPr>
        <w:rFonts w:ascii="Courier New" w:hAnsi="Courier New" w:cs="Courier New" w:hint="default"/>
      </w:rPr>
    </w:lvl>
    <w:lvl w:ilvl="8" w:tplc="04190005" w:tentative="1">
      <w:start w:val="1"/>
      <w:numFmt w:val="bullet"/>
      <w:lvlText w:val=""/>
      <w:lvlJc w:val="left"/>
      <w:pPr>
        <w:ind w:left="7046" w:hanging="360"/>
      </w:pPr>
      <w:rPr>
        <w:rFonts w:ascii="Wingdings" w:hAnsi="Wingdings" w:hint="default"/>
      </w:rPr>
    </w:lvl>
  </w:abstractNum>
  <w:abstractNum w:abstractNumId="244">
    <w:nsid w:val="705D7078"/>
    <w:multiLevelType w:val="hybridMultilevel"/>
    <w:tmpl w:val="24C60C3C"/>
    <w:lvl w:ilvl="0" w:tplc="ACA6C722">
      <w:start w:val="1"/>
      <w:numFmt w:val="decimal"/>
      <w:lvlText w:val="%1."/>
      <w:lvlJc w:val="left"/>
      <w:pPr>
        <w:ind w:left="927" w:hanging="360"/>
      </w:pPr>
      <w:rPr>
        <w:rFonts w:ascii="Times New Roman" w:eastAsiaTheme="minorHAnsi" w:hAnsi="Times New Roman" w:cs="Times New Roman"/>
      </w:rPr>
    </w:lvl>
    <w:lvl w:ilvl="1" w:tplc="E96686E6">
      <w:start w:val="1"/>
      <w:numFmt w:val="bullet"/>
      <w:lvlText w:val="-"/>
      <w:lvlJc w:val="left"/>
      <w:pPr>
        <w:ind w:left="1647" w:hanging="360"/>
      </w:pPr>
      <w:rPr>
        <w:rFonts w:ascii="Vrinda" w:hAnsi="Vrinda" w:cs="Times New Roman" w:hint="default"/>
      </w:r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5">
    <w:nsid w:val="706652B6"/>
    <w:multiLevelType w:val="hybridMultilevel"/>
    <w:tmpl w:val="ACDAB4BE"/>
    <w:lvl w:ilvl="0" w:tplc="978EBC4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6">
    <w:nsid w:val="721F5B1F"/>
    <w:multiLevelType w:val="hybridMultilevel"/>
    <w:tmpl w:val="ED40752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7">
    <w:nsid w:val="730F5D31"/>
    <w:multiLevelType w:val="hybridMultilevel"/>
    <w:tmpl w:val="D4DCAB76"/>
    <w:lvl w:ilvl="0" w:tplc="B56A5706">
      <w:start w:val="1"/>
      <w:numFmt w:val="bullet"/>
      <w:lvlText w:val=""/>
      <w:lvlJc w:val="left"/>
      <w:pPr>
        <w:ind w:left="1287" w:hanging="360"/>
      </w:pPr>
      <w:rPr>
        <w:rFonts w:ascii="Symbol" w:hAnsi="Symbol" w:hint="default"/>
        <w:sz w:val="12"/>
        <w:szCs w:val="12"/>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8">
    <w:nsid w:val="74413C82"/>
    <w:multiLevelType w:val="hybridMultilevel"/>
    <w:tmpl w:val="31B43548"/>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9">
    <w:nsid w:val="75B870F4"/>
    <w:multiLevelType w:val="hybridMultilevel"/>
    <w:tmpl w:val="025E2C2A"/>
    <w:lvl w:ilvl="0" w:tplc="B56A5706">
      <w:start w:val="1"/>
      <w:numFmt w:val="bullet"/>
      <w:lvlText w:val=""/>
      <w:lvlJc w:val="left"/>
      <w:pPr>
        <w:ind w:left="720" w:hanging="360"/>
      </w:pPr>
      <w:rPr>
        <w:rFonts w:ascii="Symbol" w:hAnsi="Symbol" w:hint="default"/>
        <w:sz w:val="12"/>
        <w:szCs w:val="1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0">
    <w:nsid w:val="765D2669"/>
    <w:multiLevelType w:val="hybridMultilevel"/>
    <w:tmpl w:val="9AC4CF7A"/>
    <w:lvl w:ilvl="0" w:tplc="B56A5706">
      <w:start w:val="1"/>
      <w:numFmt w:val="bullet"/>
      <w:lvlText w:val=""/>
      <w:lvlJc w:val="left"/>
      <w:pPr>
        <w:ind w:left="1429" w:hanging="360"/>
      </w:pPr>
      <w:rPr>
        <w:rFonts w:ascii="Symbol" w:hAnsi="Symbol" w:hint="default"/>
        <w:sz w:val="12"/>
        <w:szCs w:val="1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1">
    <w:nsid w:val="772069DD"/>
    <w:multiLevelType w:val="hybridMultilevel"/>
    <w:tmpl w:val="4320714E"/>
    <w:lvl w:ilvl="0" w:tplc="C2304072">
      <w:start w:val="1"/>
      <w:numFmt w:val="decimal"/>
      <w:lvlText w:val="%1."/>
      <w:lvlJc w:val="left"/>
      <w:pPr>
        <w:ind w:left="1069" w:hanging="360"/>
      </w:pPr>
      <w:rPr>
        <w:rFonts w:ascii="Times New Roman" w:eastAsiaTheme="minorHAnsi" w:hAnsi="Times New Roman" w:cs="Times New Roman"/>
        <w:b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52">
    <w:nsid w:val="77635652"/>
    <w:multiLevelType w:val="hybridMultilevel"/>
    <w:tmpl w:val="7AD47E14"/>
    <w:lvl w:ilvl="0" w:tplc="B56A5706">
      <w:start w:val="1"/>
      <w:numFmt w:val="bullet"/>
      <w:lvlText w:val=""/>
      <w:lvlJc w:val="left"/>
      <w:pPr>
        <w:ind w:left="1287" w:hanging="360"/>
      </w:pPr>
      <w:rPr>
        <w:rFonts w:ascii="Symbol" w:hAnsi="Symbol" w:hint="default"/>
        <w:sz w:val="12"/>
        <w:szCs w:val="12"/>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3">
    <w:nsid w:val="779971EF"/>
    <w:multiLevelType w:val="hybridMultilevel"/>
    <w:tmpl w:val="67D03500"/>
    <w:lvl w:ilvl="0" w:tplc="B56A5706">
      <w:start w:val="1"/>
      <w:numFmt w:val="bullet"/>
      <w:lvlText w:val=""/>
      <w:lvlJc w:val="left"/>
      <w:pPr>
        <w:ind w:left="1287" w:hanging="360"/>
      </w:pPr>
      <w:rPr>
        <w:rFonts w:ascii="Symbol" w:hAnsi="Symbol" w:hint="default"/>
        <w:sz w:val="12"/>
        <w:szCs w:val="12"/>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4">
    <w:nsid w:val="78B63F92"/>
    <w:multiLevelType w:val="hybridMultilevel"/>
    <w:tmpl w:val="2C065D92"/>
    <w:lvl w:ilvl="0" w:tplc="978EBC4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5">
    <w:nsid w:val="78DC5EB8"/>
    <w:multiLevelType w:val="hybridMultilevel"/>
    <w:tmpl w:val="E2F80220"/>
    <w:lvl w:ilvl="0" w:tplc="CA522FA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56">
    <w:nsid w:val="79895710"/>
    <w:multiLevelType w:val="hybridMultilevel"/>
    <w:tmpl w:val="842ABA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7">
    <w:nsid w:val="7A0017A5"/>
    <w:multiLevelType w:val="hybridMultilevel"/>
    <w:tmpl w:val="CB8A1B42"/>
    <w:lvl w:ilvl="0" w:tplc="70A4B92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8">
    <w:nsid w:val="7ADA5EC8"/>
    <w:multiLevelType w:val="hybridMultilevel"/>
    <w:tmpl w:val="CB1CACF0"/>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9">
    <w:nsid w:val="7AF8481F"/>
    <w:multiLevelType w:val="hybridMultilevel"/>
    <w:tmpl w:val="0EC029C2"/>
    <w:lvl w:ilvl="0" w:tplc="B56A5706">
      <w:start w:val="1"/>
      <w:numFmt w:val="bullet"/>
      <w:lvlText w:val=""/>
      <w:lvlJc w:val="left"/>
      <w:pPr>
        <w:ind w:left="1429" w:hanging="360"/>
      </w:pPr>
      <w:rPr>
        <w:rFonts w:ascii="Symbol" w:hAnsi="Symbol" w:hint="default"/>
        <w:sz w:val="12"/>
        <w:szCs w:val="1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0">
    <w:nsid w:val="7CB914CB"/>
    <w:multiLevelType w:val="hybridMultilevel"/>
    <w:tmpl w:val="A580965E"/>
    <w:lvl w:ilvl="0" w:tplc="C2304072">
      <w:start w:val="1"/>
      <w:numFmt w:val="decimal"/>
      <w:lvlText w:val="%1."/>
      <w:lvlJc w:val="left"/>
      <w:pPr>
        <w:ind w:left="1068" w:hanging="360"/>
      </w:pPr>
      <w:rPr>
        <w:rFonts w:ascii="Times New Roman" w:eastAsiaTheme="minorHAnsi" w:hAnsi="Times New Roman" w:cs="Times New Roman" w:hint="default"/>
        <w:b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61">
    <w:nsid w:val="7DFB66A9"/>
    <w:multiLevelType w:val="hybridMultilevel"/>
    <w:tmpl w:val="8E340844"/>
    <w:lvl w:ilvl="0" w:tplc="5E648316">
      <w:start w:val="1"/>
      <w:numFmt w:val="decimal"/>
      <w:lvlText w:val="%1."/>
      <w:lvlJc w:val="left"/>
      <w:pPr>
        <w:ind w:left="720" w:hanging="360"/>
      </w:pPr>
      <w:rPr>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2">
    <w:nsid w:val="7DFD3966"/>
    <w:multiLevelType w:val="hybridMultilevel"/>
    <w:tmpl w:val="91A4BD38"/>
    <w:lvl w:ilvl="0" w:tplc="B56A5706">
      <w:start w:val="1"/>
      <w:numFmt w:val="bullet"/>
      <w:lvlText w:val=""/>
      <w:lvlJc w:val="left"/>
      <w:pPr>
        <w:ind w:left="1287" w:hanging="360"/>
      </w:pPr>
      <w:rPr>
        <w:rFonts w:ascii="Symbol" w:hAnsi="Symbol" w:hint="default"/>
        <w:sz w:val="12"/>
        <w:szCs w:val="12"/>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3">
    <w:nsid w:val="7E182F6A"/>
    <w:multiLevelType w:val="hybridMultilevel"/>
    <w:tmpl w:val="455C468A"/>
    <w:lvl w:ilvl="0" w:tplc="B56A5706">
      <w:start w:val="1"/>
      <w:numFmt w:val="bullet"/>
      <w:lvlText w:val=""/>
      <w:lvlJc w:val="left"/>
      <w:pPr>
        <w:ind w:left="720" w:hanging="360"/>
      </w:pPr>
      <w:rPr>
        <w:rFonts w:ascii="Symbol" w:hAnsi="Symbol" w:hint="default"/>
        <w:sz w:val="12"/>
        <w:szCs w:val="1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4">
    <w:nsid w:val="7E443D67"/>
    <w:multiLevelType w:val="hybridMultilevel"/>
    <w:tmpl w:val="B87AC06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65">
    <w:nsid w:val="7EB8379D"/>
    <w:multiLevelType w:val="hybridMultilevel"/>
    <w:tmpl w:val="68340A0E"/>
    <w:lvl w:ilvl="0" w:tplc="B56A5706">
      <w:start w:val="1"/>
      <w:numFmt w:val="bullet"/>
      <w:lvlText w:val=""/>
      <w:lvlJc w:val="left"/>
      <w:pPr>
        <w:ind w:left="1429" w:hanging="360"/>
      </w:pPr>
      <w:rPr>
        <w:rFonts w:ascii="Symbol" w:hAnsi="Symbol" w:hint="default"/>
        <w:sz w:val="12"/>
        <w:szCs w:val="12"/>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58"/>
  </w:num>
  <w:num w:numId="2">
    <w:abstractNumId w:val="228"/>
  </w:num>
  <w:num w:numId="3">
    <w:abstractNumId w:val="117"/>
  </w:num>
  <w:num w:numId="4">
    <w:abstractNumId w:val="120"/>
  </w:num>
  <w:num w:numId="5">
    <w:abstractNumId w:val="17"/>
  </w:num>
  <w:num w:numId="6">
    <w:abstractNumId w:val="157"/>
  </w:num>
  <w:num w:numId="7">
    <w:abstractNumId w:val="240"/>
  </w:num>
  <w:num w:numId="8">
    <w:abstractNumId w:val="216"/>
  </w:num>
  <w:num w:numId="9">
    <w:abstractNumId w:val="19"/>
  </w:num>
  <w:num w:numId="10">
    <w:abstractNumId w:val="222"/>
  </w:num>
  <w:num w:numId="11">
    <w:abstractNumId w:val="176"/>
  </w:num>
  <w:num w:numId="12">
    <w:abstractNumId w:val="59"/>
  </w:num>
  <w:num w:numId="13">
    <w:abstractNumId w:val="69"/>
  </w:num>
  <w:num w:numId="14">
    <w:abstractNumId w:val="56"/>
  </w:num>
  <w:num w:numId="15">
    <w:abstractNumId w:val="253"/>
  </w:num>
  <w:num w:numId="16">
    <w:abstractNumId w:val="252"/>
  </w:num>
  <w:num w:numId="17">
    <w:abstractNumId w:val="196"/>
  </w:num>
  <w:num w:numId="18">
    <w:abstractNumId w:val="249"/>
  </w:num>
  <w:num w:numId="19">
    <w:abstractNumId w:val="26"/>
  </w:num>
  <w:num w:numId="20">
    <w:abstractNumId w:val="170"/>
  </w:num>
  <w:num w:numId="21">
    <w:abstractNumId w:val="130"/>
  </w:num>
  <w:num w:numId="22">
    <w:abstractNumId w:val="122"/>
  </w:num>
  <w:num w:numId="23">
    <w:abstractNumId w:val="250"/>
  </w:num>
  <w:num w:numId="24">
    <w:abstractNumId w:val="147"/>
  </w:num>
  <w:num w:numId="25">
    <w:abstractNumId w:val="43"/>
  </w:num>
  <w:num w:numId="26">
    <w:abstractNumId w:val="114"/>
  </w:num>
  <w:num w:numId="27">
    <w:abstractNumId w:val="195"/>
  </w:num>
  <w:num w:numId="28">
    <w:abstractNumId w:val="32"/>
  </w:num>
  <w:num w:numId="29">
    <w:abstractNumId w:val="243"/>
  </w:num>
  <w:num w:numId="30">
    <w:abstractNumId w:val="81"/>
  </w:num>
  <w:num w:numId="31">
    <w:abstractNumId w:val="232"/>
  </w:num>
  <w:num w:numId="3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4"/>
  </w:num>
  <w:num w:numId="34">
    <w:abstractNumId w:val="246"/>
  </w:num>
  <w:num w:numId="35">
    <w:abstractNumId w:val="213"/>
  </w:num>
  <w:num w:numId="36">
    <w:abstractNumId w:val="9"/>
  </w:num>
  <w:num w:numId="37">
    <w:abstractNumId w:val="247"/>
  </w:num>
  <w:num w:numId="38">
    <w:abstractNumId w:val="33"/>
  </w:num>
  <w:num w:numId="39">
    <w:abstractNumId w:val="62"/>
  </w:num>
  <w:num w:numId="40">
    <w:abstractNumId w:val="97"/>
  </w:num>
  <w:num w:numId="41">
    <w:abstractNumId w:val="72"/>
  </w:num>
  <w:num w:numId="42">
    <w:abstractNumId w:val="154"/>
  </w:num>
  <w:num w:numId="43">
    <w:abstractNumId w:val="161"/>
  </w:num>
  <w:num w:numId="44">
    <w:abstractNumId w:val="4"/>
  </w:num>
  <w:num w:numId="45">
    <w:abstractNumId w:val="24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99"/>
  </w:num>
  <w:num w:numId="47">
    <w:abstractNumId w:val="140"/>
  </w:num>
  <w:num w:numId="48">
    <w:abstractNumId w:val="30"/>
  </w:num>
  <w:num w:numId="49">
    <w:abstractNumId w:val="152"/>
  </w:num>
  <w:num w:numId="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29"/>
  </w:num>
  <w:num w:numId="52">
    <w:abstractNumId w:val="2"/>
  </w:num>
  <w:num w:numId="53">
    <w:abstractNumId w:val="36"/>
  </w:num>
  <w:num w:numId="54">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63"/>
  </w:num>
  <w:num w:numId="56">
    <w:abstractNumId w:val="206"/>
  </w:num>
  <w:num w:numId="57">
    <w:abstractNumId w:val="10"/>
  </w:num>
  <w:num w:numId="58">
    <w:abstractNumId w:val="1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38"/>
  </w:num>
  <w:num w:numId="60">
    <w:abstractNumId w:val="83"/>
  </w:num>
  <w:num w:numId="61">
    <w:abstractNumId w:val="227"/>
  </w:num>
  <w:num w:numId="62">
    <w:abstractNumId w:val="1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59"/>
  </w:num>
  <w:num w:numId="64">
    <w:abstractNumId w:val="184"/>
  </w:num>
  <w:num w:numId="65">
    <w:abstractNumId w:val="87"/>
  </w:num>
  <w:num w:numId="6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73"/>
  </w:num>
  <w:num w:numId="68">
    <w:abstractNumId w:val="169"/>
  </w:num>
  <w:num w:numId="69">
    <w:abstractNumId w:val="61"/>
  </w:num>
  <w:num w:numId="70">
    <w:abstractNumId w:val="24"/>
  </w:num>
  <w:num w:numId="71">
    <w:abstractNumId w:val="111"/>
  </w:num>
  <w:num w:numId="72">
    <w:abstractNumId w:val="70"/>
  </w:num>
  <w:num w:numId="73">
    <w:abstractNumId w:val="198"/>
  </w:num>
  <w:num w:numId="74">
    <w:abstractNumId w:val="34"/>
  </w:num>
  <w:num w:numId="75">
    <w:abstractNumId w:val="58"/>
  </w:num>
  <w:num w:numId="76">
    <w:abstractNumId w:val="187"/>
  </w:num>
  <w:num w:numId="77">
    <w:abstractNumId w:val="75"/>
  </w:num>
  <w:num w:numId="78">
    <w:abstractNumId w:val="88"/>
  </w:num>
  <w:num w:numId="79">
    <w:abstractNumId w:val="186"/>
  </w:num>
  <w:num w:numId="80">
    <w:abstractNumId w:val="132"/>
  </w:num>
  <w:num w:numId="81">
    <w:abstractNumId w:val="91"/>
  </w:num>
  <w:num w:numId="82">
    <w:abstractNumId w:val="74"/>
  </w:num>
  <w:num w:numId="83">
    <w:abstractNumId w:val="129"/>
  </w:num>
  <w:num w:numId="84">
    <w:abstractNumId w:val="21"/>
  </w:num>
  <w:num w:numId="85">
    <w:abstractNumId w:val="163"/>
  </w:num>
  <w:num w:numId="86">
    <w:abstractNumId w:val="204"/>
  </w:num>
  <w:num w:numId="87">
    <w:abstractNumId w:val="1"/>
  </w:num>
  <w:num w:numId="88">
    <w:abstractNumId w:val="13"/>
  </w:num>
  <w:num w:numId="89">
    <w:abstractNumId w:val="53"/>
  </w:num>
  <w:num w:numId="90">
    <w:abstractNumId w:val="211"/>
  </w:num>
  <w:num w:numId="91">
    <w:abstractNumId w:val="0"/>
  </w:num>
  <w:num w:numId="92">
    <w:abstractNumId w:val="210"/>
  </w:num>
  <w:num w:numId="93">
    <w:abstractNumId w:val="102"/>
  </w:num>
  <w:num w:numId="94">
    <w:abstractNumId w:val="40"/>
  </w:num>
  <w:num w:numId="95">
    <w:abstractNumId w:val="183"/>
  </w:num>
  <w:num w:numId="96">
    <w:abstractNumId w:val="145"/>
  </w:num>
  <w:num w:numId="97">
    <w:abstractNumId w:val="148"/>
  </w:num>
  <w:num w:numId="98">
    <w:abstractNumId w:val="233"/>
  </w:num>
  <w:num w:numId="99">
    <w:abstractNumId w:val="226"/>
  </w:num>
  <w:num w:numId="100">
    <w:abstractNumId w:val="136"/>
  </w:num>
  <w:num w:numId="101">
    <w:abstractNumId w:val="80"/>
  </w:num>
  <w:num w:numId="102">
    <w:abstractNumId w:val="68"/>
  </w:num>
  <w:num w:numId="103">
    <w:abstractNumId w:val="166"/>
  </w:num>
  <w:num w:numId="104">
    <w:abstractNumId w:val="107"/>
  </w:num>
  <w:num w:numId="105">
    <w:abstractNumId w:val="219"/>
  </w:num>
  <w:num w:numId="106">
    <w:abstractNumId w:val="3"/>
  </w:num>
  <w:num w:numId="107">
    <w:abstractNumId w:val="141"/>
  </w:num>
  <w:num w:numId="108">
    <w:abstractNumId w:val="150"/>
  </w:num>
  <w:num w:numId="109">
    <w:abstractNumId w:val="45"/>
  </w:num>
  <w:num w:numId="110">
    <w:abstractNumId w:val="197"/>
  </w:num>
  <w:num w:numId="111">
    <w:abstractNumId w:val="142"/>
  </w:num>
  <w:num w:numId="112">
    <w:abstractNumId w:val="149"/>
    <w:lvlOverride w:ilvl="0">
      <w:startOverride w:val="1"/>
    </w:lvlOverride>
    <w:lvlOverride w:ilvl="1"/>
    <w:lvlOverride w:ilvl="2"/>
    <w:lvlOverride w:ilvl="3"/>
    <w:lvlOverride w:ilvl="4"/>
    <w:lvlOverride w:ilvl="5"/>
    <w:lvlOverride w:ilvl="6"/>
    <w:lvlOverride w:ilvl="7"/>
    <w:lvlOverride w:ilvl="8"/>
  </w:num>
  <w:num w:numId="113">
    <w:abstractNumId w:val="205"/>
  </w:num>
  <w:num w:numId="114">
    <w:abstractNumId w:val="66"/>
  </w:num>
  <w:num w:numId="115">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137"/>
  </w:num>
  <w:num w:numId="119">
    <w:abstractNumId w:val="225"/>
  </w:num>
  <w:num w:numId="120">
    <w:abstractNumId w:val="261"/>
    <w:lvlOverride w:ilvl="0">
      <w:startOverride w:val="1"/>
    </w:lvlOverride>
    <w:lvlOverride w:ilvl="1"/>
    <w:lvlOverride w:ilvl="2"/>
    <w:lvlOverride w:ilvl="3"/>
    <w:lvlOverride w:ilvl="4"/>
    <w:lvlOverride w:ilvl="5"/>
    <w:lvlOverride w:ilvl="6"/>
    <w:lvlOverride w:ilvl="7"/>
    <w:lvlOverride w:ilvl="8"/>
  </w:num>
  <w:num w:numId="121">
    <w:abstractNumId w:val="57"/>
  </w:num>
  <w:num w:numId="122">
    <w:abstractNumId w:val="90"/>
  </w:num>
  <w:num w:numId="123">
    <w:abstractNumId w:val="160"/>
  </w:num>
  <w:num w:numId="124">
    <w:abstractNumId w:val="164"/>
  </w:num>
  <w:num w:numId="12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78"/>
  </w:num>
  <w:num w:numId="127">
    <w:abstractNumId w:val="255"/>
  </w:num>
  <w:num w:numId="128">
    <w:abstractNumId w:val="257"/>
  </w:num>
  <w:num w:numId="129">
    <w:abstractNumId w:val="16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237"/>
  </w:num>
  <w:num w:numId="131">
    <w:abstractNumId w:val="6"/>
  </w:num>
  <w:num w:numId="132">
    <w:abstractNumId w:val="22"/>
  </w:num>
  <w:num w:numId="133">
    <w:abstractNumId w:val="180"/>
  </w:num>
  <w:num w:numId="134">
    <w:abstractNumId w:val="8"/>
  </w:num>
  <w:num w:numId="135">
    <w:abstractNumId w:val="236"/>
  </w:num>
  <w:num w:numId="136">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28"/>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38">
    <w:abstractNumId w:val="174"/>
  </w:num>
  <w:num w:numId="139">
    <w:abstractNumId w:val="7"/>
  </w:num>
  <w:num w:numId="140">
    <w:abstractNumId w:val="167"/>
  </w:num>
  <w:num w:numId="141">
    <w:abstractNumId w:val="256"/>
  </w:num>
  <w:num w:numId="142">
    <w:abstractNumId w:val="151"/>
  </w:num>
  <w:num w:numId="143">
    <w:abstractNumId w:val="139"/>
  </w:num>
  <w:num w:numId="144">
    <w:abstractNumId w:val="231"/>
  </w:num>
  <w:num w:numId="145">
    <w:abstractNumId w:val="96"/>
  </w:num>
  <w:num w:numId="14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94"/>
  </w:num>
  <w:num w:numId="148">
    <w:abstractNumId w:val="202"/>
  </w:num>
  <w:num w:numId="149">
    <w:abstractNumId w:val="135"/>
  </w:num>
  <w:num w:numId="150">
    <w:abstractNumId w:val="63"/>
  </w:num>
  <w:num w:numId="151">
    <w:abstractNumId w:val="42"/>
  </w:num>
  <w:num w:numId="152">
    <w:abstractNumId w:val="110"/>
  </w:num>
  <w:num w:numId="153">
    <w:abstractNumId w:val="254"/>
  </w:num>
  <w:num w:numId="154">
    <w:abstractNumId w:val="203"/>
  </w:num>
  <w:num w:numId="155">
    <w:abstractNumId w:val="27"/>
  </w:num>
  <w:num w:numId="156">
    <w:abstractNumId w:val="47"/>
  </w:num>
  <w:num w:numId="157">
    <w:abstractNumId w:val="124"/>
  </w:num>
  <w:num w:numId="158">
    <w:abstractNumId w:val="108"/>
  </w:num>
  <w:num w:numId="159">
    <w:abstractNumId w:val="46"/>
  </w:num>
  <w:num w:numId="160">
    <w:abstractNumId w:val="134"/>
  </w:num>
  <w:num w:numId="161">
    <w:abstractNumId w:val="230"/>
  </w:num>
  <w:num w:numId="162">
    <w:abstractNumId w:val="105"/>
  </w:num>
  <w:num w:numId="163">
    <w:abstractNumId w:val="188"/>
  </w:num>
  <w:num w:numId="164">
    <w:abstractNumId w:val="144"/>
  </w:num>
  <w:num w:numId="165">
    <w:abstractNumId w:val="156"/>
  </w:num>
  <w:num w:numId="166">
    <w:abstractNumId w:val="178"/>
  </w:num>
  <w:num w:numId="167">
    <w:abstractNumId w:val="189"/>
  </w:num>
  <w:num w:numId="168">
    <w:abstractNumId w:val="18"/>
  </w:num>
  <w:num w:numId="169">
    <w:abstractNumId w:val="177"/>
  </w:num>
  <w:num w:numId="170">
    <w:abstractNumId w:val="65"/>
  </w:num>
  <w:num w:numId="171">
    <w:abstractNumId w:val="221"/>
  </w:num>
  <w:num w:numId="172">
    <w:abstractNumId w:val="73"/>
  </w:num>
  <w:num w:numId="173">
    <w:abstractNumId w:val="224"/>
  </w:num>
  <w:num w:numId="174">
    <w:abstractNumId w:val="126"/>
  </w:num>
  <w:num w:numId="175">
    <w:abstractNumId w:val="155"/>
  </w:num>
  <w:num w:numId="176">
    <w:abstractNumId w:val="201"/>
  </w:num>
  <w:num w:numId="177">
    <w:abstractNumId w:val="245"/>
  </w:num>
  <w:num w:numId="178">
    <w:abstractNumId w:val="52"/>
  </w:num>
  <w:num w:numId="179">
    <w:abstractNumId w:val="95"/>
  </w:num>
  <w:num w:numId="180">
    <w:abstractNumId w:val="35"/>
  </w:num>
  <w:num w:numId="181">
    <w:abstractNumId w:val="77"/>
  </w:num>
  <w:num w:numId="182">
    <w:abstractNumId w:val="248"/>
  </w:num>
  <w:num w:numId="183">
    <w:abstractNumId w:val="215"/>
  </w:num>
  <w:num w:numId="184">
    <w:abstractNumId w:val="153"/>
  </w:num>
  <w:num w:numId="185">
    <w:abstractNumId w:val="212"/>
  </w:num>
  <w:num w:numId="186">
    <w:abstractNumId w:val="101"/>
  </w:num>
  <w:num w:numId="187">
    <w:abstractNumId w:val="28"/>
  </w:num>
  <w:num w:numId="188">
    <w:abstractNumId w:val="51"/>
  </w:num>
  <w:num w:numId="189">
    <w:abstractNumId w:val="131"/>
  </w:num>
  <w:num w:numId="190">
    <w:abstractNumId w:val="258"/>
  </w:num>
  <w:num w:numId="191">
    <w:abstractNumId w:val="241"/>
  </w:num>
  <w:num w:numId="192">
    <w:abstractNumId w:val="265"/>
  </w:num>
  <w:num w:numId="193">
    <w:abstractNumId w:val="48"/>
  </w:num>
  <w:num w:numId="194">
    <w:abstractNumId w:val="109"/>
  </w:num>
  <w:num w:numId="195">
    <w:abstractNumId w:val="115"/>
  </w:num>
  <w:num w:numId="196">
    <w:abstractNumId w:val="162"/>
  </w:num>
  <w:num w:numId="197">
    <w:abstractNumId w:val="64"/>
  </w:num>
  <w:num w:numId="198">
    <w:abstractNumId w:val="112"/>
  </w:num>
  <w:num w:numId="199">
    <w:abstractNumId w:val="89"/>
  </w:num>
  <w:num w:numId="200">
    <w:abstractNumId w:val="54"/>
  </w:num>
  <w:num w:numId="201">
    <w:abstractNumId w:val="100"/>
  </w:num>
  <w:num w:numId="202">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3">
    <w:abstractNumId w:val="262"/>
  </w:num>
  <w:num w:numId="204">
    <w:abstractNumId w:val="259"/>
  </w:num>
  <w:num w:numId="205">
    <w:abstractNumId w:val="123"/>
  </w:num>
  <w:num w:numId="206">
    <w:abstractNumId w:val="103"/>
  </w:num>
  <w:num w:numId="207">
    <w:abstractNumId w:val="2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8">
    <w:abstractNumId w:val="146"/>
  </w:num>
  <w:num w:numId="209">
    <w:abstractNumId w:val="119"/>
  </w:num>
  <w:num w:numId="210">
    <w:abstractNumId w:val="37"/>
  </w:num>
  <w:num w:numId="211">
    <w:abstractNumId w:val="264"/>
  </w:num>
  <w:num w:numId="212">
    <w:abstractNumId w:val="133"/>
  </w:num>
  <w:num w:numId="213">
    <w:abstractNumId w:val="168"/>
  </w:num>
  <w:num w:numId="214">
    <w:abstractNumId w:val="193"/>
  </w:num>
  <w:num w:numId="215">
    <w:abstractNumId w:val="223"/>
  </w:num>
  <w:num w:numId="216">
    <w:abstractNumId w:val="20"/>
  </w:num>
  <w:num w:numId="217">
    <w:abstractNumId w:val="190"/>
  </w:num>
  <w:num w:numId="218">
    <w:abstractNumId w:val="260"/>
  </w:num>
  <w:num w:numId="219">
    <w:abstractNumId w:val="15"/>
  </w:num>
  <w:num w:numId="220">
    <w:abstractNumId w:val="94"/>
  </w:num>
  <w:num w:numId="221">
    <w:abstractNumId w:val="41"/>
  </w:num>
  <w:num w:numId="222">
    <w:abstractNumId w:val="121"/>
  </w:num>
  <w:num w:numId="223">
    <w:abstractNumId w:val="85"/>
  </w:num>
  <w:num w:numId="224">
    <w:abstractNumId w:val="251"/>
  </w:num>
  <w:num w:numId="225">
    <w:abstractNumId w:val="31"/>
  </w:num>
  <w:num w:numId="226">
    <w:abstractNumId w:val="5"/>
  </w:num>
  <w:num w:numId="227">
    <w:abstractNumId w:val="239"/>
  </w:num>
  <w:num w:numId="228">
    <w:abstractNumId w:val="50"/>
  </w:num>
  <w:num w:numId="229">
    <w:abstractNumId w:val="12"/>
  </w:num>
  <w:num w:numId="230">
    <w:abstractNumId w:val="208"/>
  </w:num>
  <w:num w:numId="231">
    <w:abstractNumId w:val="39"/>
  </w:num>
  <w:num w:numId="232">
    <w:abstractNumId w:val="79"/>
  </w:num>
  <w:num w:numId="233">
    <w:abstractNumId w:val="93"/>
  </w:num>
  <w:num w:numId="234">
    <w:abstractNumId w:val="143"/>
  </w:num>
  <w:num w:numId="235">
    <w:abstractNumId w:val="172"/>
  </w:num>
  <w:num w:numId="236">
    <w:abstractNumId w:val="138"/>
  </w:num>
  <w:num w:numId="237">
    <w:abstractNumId w:val="218"/>
  </w:num>
  <w:num w:numId="238">
    <w:abstractNumId w:val="23"/>
  </w:num>
  <w:num w:numId="239">
    <w:abstractNumId w:val="76"/>
  </w:num>
  <w:num w:numId="240">
    <w:abstractNumId w:val="199"/>
  </w:num>
  <w:num w:numId="241">
    <w:abstractNumId w:val="179"/>
  </w:num>
  <w:num w:numId="242">
    <w:abstractNumId w:val="82"/>
  </w:num>
  <w:num w:numId="243">
    <w:abstractNumId w:val="191"/>
  </w:num>
  <w:num w:numId="244">
    <w:abstractNumId w:val="127"/>
  </w:num>
  <w:num w:numId="245">
    <w:abstractNumId w:val="86"/>
  </w:num>
  <w:num w:numId="246">
    <w:abstractNumId w:val="234"/>
  </w:num>
  <w:num w:numId="247">
    <w:abstractNumId w:val="192"/>
  </w:num>
  <w:num w:numId="248">
    <w:abstractNumId w:val="38"/>
  </w:num>
  <w:num w:numId="249">
    <w:abstractNumId w:val="175"/>
  </w:num>
  <w:num w:numId="250">
    <w:abstractNumId w:val="98"/>
  </w:num>
  <w:num w:numId="251">
    <w:abstractNumId w:val="84"/>
  </w:num>
  <w:num w:numId="252">
    <w:abstractNumId w:val="217"/>
  </w:num>
  <w:num w:numId="253">
    <w:abstractNumId w:val="220"/>
  </w:num>
  <w:num w:numId="254">
    <w:abstractNumId w:val="14"/>
  </w:num>
  <w:num w:numId="255">
    <w:abstractNumId w:val="242"/>
  </w:num>
  <w:num w:numId="256">
    <w:abstractNumId w:val="29"/>
  </w:num>
  <w:num w:numId="257">
    <w:abstractNumId w:val="118"/>
  </w:num>
  <w:num w:numId="258">
    <w:abstractNumId w:val="235"/>
  </w:num>
  <w:num w:numId="259">
    <w:abstractNumId w:val="182"/>
  </w:num>
  <w:num w:numId="260">
    <w:abstractNumId w:val="125"/>
  </w:num>
  <w:num w:numId="261">
    <w:abstractNumId w:val="207"/>
  </w:num>
  <w:num w:numId="262">
    <w:abstractNumId w:val="185"/>
  </w:num>
  <w:num w:numId="263">
    <w:abstractNumId w:val="209"/>
  </w:num>
  <w:num w:numId="264">
    <w:abstractNumId w:val="116"/>
  </w:num>
  <w:num w:numId="265">
    <w:abstractNumId w:val="106"/>
  </w:num>
  <w:num w:numId="266">
    <w:abstractNumId w:val="67"/>
  </w:num>
  <w:numIdMacAtCleanup w:val="26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Пользователь Windows">
    <w15:presenceInfo w15:providerId="None" w15:userId="Пользователь Window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69"/>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27CB"/>
    <w:rsid w:val="006A1647"/>
    <w:rsid w:val="007E27CB"/>
    <w:rsid w:val="008F141F"/>
    <w:rsid w:val="009879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footer" w:uiPriority="0"/>
    <w:lsdException w:name="caption" w:qFormat="1"/>
    <w:lsdException w:name="Title" w:semiHidden="0" w:uiPriority="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qFormat="1"/>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pPr>
      <w:keepNext/>
      <w:shd w:val="clear" w:color="auto" w:fill="FFFFFF"/>
      <w:tabs>
        <w:tab w:val="left" w:pos="787"/>
      </w:tabs>
      <w:spacing w:before="5" w:after="0" w:line="226" w:lineRule="exact"/>
      <w:jc w:val="both"/>
      <w:outlineLvl w:val="1"/>
    </w:pPr>
    <w:rPr>
      <w:rFonts w:eastAsia="Calibri"/>
      <w:bCs/>
      <w:i/>
      <w:iCs/>
      <w:color w:val="000000"/>
      <w:spacing w:val="-5"/>
      <w:sz w:val="20"/>
      <w:szCs w:val="20"/>
      <w:lang w:val="x-none" w:eastAsia="ru-RU"/>
    </w:rPr>
  </w:style>
  <w:style w:type="paragraph" w:styleId="3">
    <w:name w:val="heading 3"/>
    <w:basedOn w:val="a"/>
    <w:next w:val="a"/>
    <w:link w:val="30"/>
    <w:uiPriority w:val="9"/>
    <w:semiHidden/>
    <w:unhideWhenUsed/>
    <w:qFormat/>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7">
    <w:name w:val="Pa7"/>
    <w:basedOn w:val="a"/>
    <w:next w:val="a"/>
    <w:link w:val="Pa70"/>
    <w:uiPriority w:val="99"/>
    <w:pPr>
      <w:autoSpaceDE w:val="0"/>
      <w:autoSpaceDN w:val="0"/>
      <w:adjustRightInd w:val="0"/>
      <w:spacing w:after="0" w:line="281" w:lineRule="atLeast"/>
    </w:pPr>
    <w:rPr>
      <w:rFonts w:ascii="JournalC" w:hAnsi="JournalC"/>
      <w:sz w:val="24"/>
      <w:szCs w:val="24"/>
    </w:rPr>
  </w:style>
  <w:style w:type="paragraph" w:customStyle="1" w:styleId="Default">
    <w:name w:val="Default"/>
    <w:pPr>
      <w:autoSpaceDE w:val="0"/>
      <w:autoSpaceDN w:val="0"/>
      <w:adjustRightInd w:val="0"/>
      <w:spacing w:after="0" w:line="240" w:lineRule="auto"/>
    </w:pPr>
    <w:rPr>
      <w:color w:val="000000"/>
      <w:sz w:val="24"/>
      <w:szCs w:val="24"/>
    </w:rPr>
  </w:style>
  <w:style w:type="paragraph" w:customStyle="1" w:styleId="11">
    <w:name w:val="Стиль1"/>
    <w:basedOn w:val="Pa7"/>
    <w:link w:val="12"/>
    <w:qFormat/>
    <w:pPr>
      <w:spacing w:line="240" w:lineRule="auto"/>
      <w:ind w:firstLine="567"/>
      <w:jc w:val="both"/>
    </w:pPr>
    <w:rPr>
      <w:rFonts w:ascii="Times New Roman" w:eastAsia="Times New Roman" w:hAnsi="Times New Roman"/>
      <w:sz w:val="26"/>
      <w:szCs w:val="26"/>
    </w:rPr>
  </w:style>
  <w:style w:type="character" w:customStyle="1" w:styleId="Pa70">
    <w:name w:val="Pa7 Знак"/>
    <w:basedOn w:val="a0"/>
    <w:link w:val="Pa7"/>
    <w:uiPriority w:val="99"/>
    <w:rPr>
      <w:rFonts w:ascii="JournalC" w:hAnsi="JournalC"/>
      <w:sz w:val="24"/>
      <w:szCs w:val="24"/>
    </w:rPr>
  </w:style>
  <w:style w:type="character" w:customStyle="1" w:styleId="12">
    <w:name w:val="Стиль1 Знак"/>
    <w:basedOn w:val="Pa70"/>
    <w:link w:val="11"/>
    <w:rPr>
      <w:rFonts w:ascii="Times New Roman" w:eastAsia="Times New Roman" w:hAnsi="Times New Roman" w:cs="Times New Roman"/>
      <w:sz w:val="26"/>
      <w:szCs w:val="26"/>
    </w:rPr>
  </w:style>
  <w:style w:type="paragraph" w:customStyle="1" w:styleId="a3">
    <w:name w:val="Исполнитель"/>
    <w:basedOn w:val="a"/>
    <w:autoRedefine/>
    <w:uiPriority w:val="99"/>
    <w:qFormat/>
    <w:pPr>
      <w:spacing w:after="0" w:line="240" w:lineRule="auto"/>
      <w:jc w:val="both"/>
    </w:pPr>
    <w:rPr>
      <w:sz w:val="24"/>
      <w:szCs w:val="24"/>
      <w:lang w:eastAsia="ru-RU"/>
    </w:rPr>
  </w:style>
  <w:style w:type="paragraph" w:styleId="a4">
    <w:name w:val="footer"/>
    <w:basedOn w:val="a"/>
    <w:link w:val="a5"/>
    <w:pPr>
      <w:tabs>
        <w:tab w:val="center" w:pos="4153"/>
        <w:tab w:val="right" w:pos="8306"/>
      </w:tabs>
      <w:spacing w:after="0" w:line="240" w:lineRule="auto"/>
    </w:pPr>
    <w:rPr>
      <w:rFonts w:eastAsia="Times New Roman"/>
      <w:sz w:val="24"/>
      <w:szCs w:val="24"/>
      <w:lang w:eastAsia="ru-RU"/>
    </w:rPr>
  </w:style>
  <w:style w:type="character" w:customStyle="1" w:styleId="a5">
    <w:name w:val="Нижний колонтитул Знак"/>
    <w:basedOn w:val="a0"/>
    <w:link w:val="a4"/>
    <w:rPr>
      <w:rFonts w:eastAsia="Times New Roman"/>
      <w:sz w:val="24"/>
      <w:szCs w:val="24"/>
      <w:lang w:eastAsia="ru-RU"/>
    </w:rPr>
  </w:style>
  <w:style w:type="paragraph" w:styleId="a6">
    <w:name w:val="List Paragraph"/>
    <w:aliases w:val="Абзац списка для документа,Маркер,Содержание. 2 уровень,ПАРАГРАФ,Абзац списка3,Bullet 1,Use Case List Paragraph,ТЗ список,Абзац списка литеральный,Булет1,1Булет,it_List1,Bullet List,FooterText,numbered,Список дефисный,List Paragraph,lp1"/>
    <w:basedOn w:val="a"/>
    <w:link w:val="a7"/>
    <w:uiPriority w:val="34"/>
    <w:qFormat/>
    <w:pPr>
      <w:ind w:left="720"/>
      <w:contextualSpacing/>
    </w:pPr>
    <w:rPr>
      <w:rFonts w:ascii="Calibri" w:eastAsia="Calibri" w:hAnsi="Calibri"/>
      <w:sz w:val="22"/>
      <w:szCs w:val="22"/>
    </w:rPr>
  </w:style>
  <w:style w:type="character" w:customStyle="1" w:styleId="a8">
    <w:name w:val="Основной текст_"/>
    <w:link w:val="13"/>
    <w:locked/>
    <w:rPr>
      <w:shd w:val="clear" w:color="auto" w:fill="FFFFFF"/>
    </w:rPr>
  </w:style>
  <w:style w:type="paragraph" w:customStyle="1" w:styleId="13">
    <w:name w:val="Основной текст1"/>
    <w:basedOn w:val="a"/>
    <w:link w:val="a8"/>
    <w:pPr>
      <w:shd w:val="clear" w:color="auto" w:fill="FFFFFF"/>
      <w:spacing w:after="900" w:line="240" w:lineRule="atLeast"/>
    </w:pPr>
  </w:style>
  <w:style w:type="character" w:styleId="a9">
    <w:name w:val="Hyperlink"/>
    <w:basedOn w:val="a0"/>
    <w:uiPriority w:val="99"/>
    <w:unhideWhenUsed/>
    <w:rPr>
      <w:color w:val="0000FF" w:themeColor="hyperlink"/>
      <w:u w:val="single"/>
    </w:rPr>
  </w:style>
  <w:style w:type="paragraph" w:styleId="aa">
    <w:name w:val="Balloon Text"/>
    <w:basedOn w:val="a"/>
    <w:link w:val="ab"/>
    <w:uiPriority w:val="99"/>
    <w:semiHidden/>
    <w:unhideWhenUsed/>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Pr>
      <w:rFonts w:ascii="Tahoma" w:hAnsi="Tahoma" w:cs="Tahoma"/>
      <w:sz w:val="16"/>
      <w:szCs w:val="16"/>
    </w:rPr>
  </w:style>
  <w:style w:type="paragraph" w:styleId="ac">
    <w:name w:val="header"/>
    <w:basedOn w:val="a"/>
    <w:link w:val="ad"/>
    <w:uiPriority w:val="99"/>
    <w:unhideWhenUsed/>
    <w:pPr>
      <w:tabs>
        <w:tab w:val="center" w:pos="4677"/>
        <w:tab w:val="right" w:pos="9355"/>
      </w:tabs>
      <w:spacing w:after="0" w:line="240" w:lineRule="auto"/>
    </w:pPr>
  </w:style>
  <w:style w:type="character" w:customStyle="1" w:styleId="ad">
    <w:name w:val="Верхний колонтитул Знак"/>
    <w:basedOn w:val="a0"/>
    <w:link w:val="ac"/>
    <w:uiPriority w:val="99"/>
  </w:style>
  <w:style w:type="character" w:customStyle="1" w:styleId="20">
    <w:name w:val="Заголовок 2 Знак"/>
    <w:basedOn w:val="a0"/>
    <w:link w:val="2"/>
    <w:rPr>
      <w:rFonts w:eastAsia="Calibri"/>
      <w:bCs/>
      <w:i/>
      <w:iCs/>
      <w:color w:val="000000"/>
      <w:spacing w:val="-5"/>
      <w:sz w:val="20"/>
      <w:szCs w:val="20"/>
      <w:shd w:val="clear" w:color="auto" w:fill="FFFFFF"/>
      <w:lang w:val="x-none" w:eastAsia="ru-RU"/>
    </w:rPr>
  </w:style>
  <w:style w:type="paragraph" w:styleId="ae">
    <w:name w:val="caption"/>
    <w:basedOn w:val="a"/>
    <w:next w:val="a"/>
    <w:uiPriority w:val="99"/>
    <w:unhideWhenUsed/>
    <w:qFormat/>
    <w:pPr>
      <w:spacing w:line="240" w:lineRule="auto"/>
    </w:pPr>
    <w:rPr>
      <w:b/>
      <w:bCs/>
      <w:color w:val="4F81BD" w:themeColor="accent1"/>
      <w:sz w:val="18"/>
      <w:szCs w:val="18"/>
    </w:rPr>
  </w:style>
  <w:style w:type="paragraph" w:styleId="af">
    <w:name w:val="No Spacing"/>
    <w:link w:val="af0"/>
    <w:uiPriority w:val="99"/>
    <w:qFormat/>
    <w:pPr>
      <w:spacing w:after="0" w:line="240" w:lineRule="auto"/>
    </w:pPr>
    <w:rPr>
      <w:rFonts w:eastAsia="Times New Roman"/>
      <w:sz w:val="24"/>
      <w:szCs w:val="24"/>
      <w:lang w:eastAsia="ru-RU"/>
    </w:rPr>
  </w:style>
  <w:style w:type="paragraph" w:styleId="af1">
    <w:name w:val="footnote text"/>
    <w:aliases w:val="Текст сноски Знак Знак Знак Знак,Знак4 Знак,Знак4,Знак4 Знак1,Сноски доклада,nienie,Table_Footnote_last Знак1,Table_Footnote_last Знак Знак Знак Знак,Текст сноски Знак1 Зн,Знак31"/>
    <w:basedOn w:val="a"/>
    <w:link w:val="af2"/>
    <w:uiPriority w:val="99"/>
    <w:semiHidden/>
    <w:unhideWhenUsed/>
    <w:qFormat/>
    <w:pPr>
      <w:spacing w:after="0" w:line="240" w:lineRule="auto"/>
    </w:pPr>
    <w:rPr>
      <w:rFonts w:asciiTheme="minorHAnsi" w:hAnsiTheme="minorHAnsi" w:cstheme="minorBidi"/>
      <w:sz w:val="20"/>
      <w:szCs w:val="20"/>
    </w:rPr>
  </w:style>
  <w:style w:type="character" w:customStyle="1" w:styleId="af2">
    <w:name w:val="Текст сноски Знак"/>
    <w:aliases w:val="Текст сноски Знак Знак Знак Знак Знак,Знак4 Знак Знак,Знак4 Знак2,Знак4 Знак1 Знак,Сноски доклада Знак,nienie Знак,Table_Footnote_last Знак1 Знак,Table_Footnote_last Знак Знак Знак Знак Знак,Текст сноски Знак1 Зн Знак,Знак31 Знак"/>
    <w:basedOn w:val="a0"/>
    <w:link w:val="af1"/>
    <w:uiPriority w:val="99"/>
    <w:semiHidden/>
    <w:rPr>
      <w:rFonts w:asciiTheme="minorHAnsi" w:hAnsiTheme="minorHAnsi" w:cstheme="minorBidi"/>
      <w:sz w:val="20"/>
      <w:szCs w:val="20"/>
    </w:rPr>
  </w:style>
  <w:style w:type="character" w:styleId="af3">
    <w:name w:val="footnote reference"/>
    <w:aliases w:val="Текст сновски,fr,Ciae niinee I,Footnotes refss,Знак сноски 1,Знак сноски-FN,Ciae niinee-FN,Appel note de bas de page,Referencia nota al pie,Footnote Reference Superscript,Footnote Reference Arial,BVI fnr,SUPERS,Footnote symbol"/>
    <w:basedOn w:val="a0"/>
    <w:uiPriority w:val="99"/>
    <w:semiHidden/>
    <w:unhideWhenUsed/>
    <w:rPr>
      <w:vertAlign w:val="superscript"/>
    </w:rPr>
  </w:style>
  <w:style w:type="paragraph" w:customStyle="1" w:styleId="ConsPlusNormal">
    <w:name w:val="ConsPlusNormal"/>
    <w:link w:val="ConsPlusNormal0"/>
    <w:pPr>
      <w:autoSpaceDE w:val="0"/>
      <w:autoSpaceDN w:val="0"/>
      <w:adjustRightInd w:val="0"/>
      <w:spacing w:after="0" w:line="240" w:lineRule="auto"/>
    </w:pPr>
    <w:rPr>
      <w:b/>
      <w:bCs/>
    </w:rPr>
  </w:style>
  <w:style w:type="paragraph" w:styleId="af4">
    <w:name w:val="Body Text Indent"/>
    <w:basedOn w:val="a"/>
    <w:link w:val="af5"/>
    <w:uiPriority w:val="99"/>
    <w:pPr>
      <w:spacing w:after="0" w:line="240" w:lineRule="auto"/>
      <w:ind w:firstLine="851"/>
      <w:jc w:val="both"/>
    </w:pPr>
    <w:rPr>
      <w:rFonts w:eastAsia="Times New Roman"/>
      <w:sz w:val="28"/>
      <w:szCs w:val="20"/>
      <w:lang w:eastAsia="ru-RU"/>
    </w:rPr>
  </w:style>
  <w:style w:type="character" w:customStyle="1" w:styleId="af5">
    <w:name w:val="Основной текст с отступом Знак"/>
    <w:basedOn w:val="a0"/>
    <w:link w:val="af4"/>
    <w:uiPriority w:val="99"/>
    <w:rPr>
      <w:rFonts w:eastAsia="Times New Roman"/>
      <w:sz w:val="28"/>
      <w:szCs w:val="20"/>
      <w:lang w:eastAsia="ru-RU"/>
    </w:rPr>
  </w:style>
  <w:style w:type="character" w:customStyle="1" w:styleId="a7">
    <w:name w:val="Абзац списка Знак"/>
    <w:aliases w:val="Абзац списка для документа Знак,Маркер Знак,Содержание. 2 уровень Знак,ПАРАГРАФ Знак,Абзац списка3 Знак,Bullet 1 Знак,Use Case List Paragraph Знак,ТЗ список Знак,Абзац списка литеральный Знак,Булет1 Знак,1Булет Знак,it_List1 Знак"/>
    <w:link w:val="a6"/>
    <w:uiPriority w:val="34"/>
    <w:qFormat/>
    <w:locked/>
    <w:rPr>
      <w:rFonts w:ascii="Calibri" w:eastAsia="Calibri" w:hAnsi="Calibri"/>
      <w:sz w:val="22"/>
      <w:szCs w:val="22"/>
    </w:rPr>
  </w:style>
  <w:style w:type="paragraph" w:styleId="af6">
    <w:name w:val="Normal (Web)"/>
    <w:aliases w:val="Обычный (Web) Знак,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w:basedOn w:val="a"/>
    <w:link w:val="af7"/>
    <w:uiPriority w:val="99"/>
    <w:qFormat/>
    <w:pPr>
      <w:spacing w:before="100" w:beforeAutospacing="1" w:after="100" w:afterAutospacing="1" w:line="240" w:lineRule="auto"/>
      <w:jc w:val="both"/>
    </w:pPr>
    <w:rPr>
      <w:rFonts w:eastAsia="Times New Roman"/>
      <w:sz w:val="24"/>
      <w:szCs w:val="24"/>
      <w:lang w:val="x-none" w:eastAsia="x-none"/>
    </w:rPr>
  </w:style>
  <w:style w:type="character" w:customStyle="1" w:styleId="af7">
    <w:name w:val="Обычный (веб) Знак"/>
    <w:aliases w:val="Обычный (Web) Знак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link w:val="af6"/>
    <w:uiPriority w:val="99"/>
    <w:locked/>
    <w:rPr>
      <w:rFonts w:eastAsia="Times New Roman"/>
      <w:sz w:val="24"/>
      <w:szCs w:val="24"/>
      <w:lang w:val="x-none" w:eastAsia="x-none"/>
    </w:rPr>
  </w:style>
  <w:style w:type="character" w:styleId="af8">
    <w:name w:val="Strong"/>
    <w:qFormat/>
    <w:rPr>
      <w:b/>
      <w:bCs/>
    </w:rPr>
  </w:style>
  <w:style w:type="paragraph" w:customStyle="1" w:styleId="Style42">
    <w:name w:val="Style42"/>
    <w:basedOn w:val="a"/>
    <w:pPr>
      <w:spacing w:after="0" w:line="278" w:lineRule="exact"/>
      <w:jc w:val="both"/>
    </w:pPr>
    <w:rPr>
      <w:rFonts w:eastAsia="Times New Roman"/>
      <w:sz w:val="20"/>
      <w:szCs w:val="20"/>
      <w:lang w:eastAsia="ru-RU"/>
    </w:rPr>
  </w:style>
  <w:style w:type="character" w:customStyle="1" w:styleId="CharStyle3">
    <w:name w:val="CharStyle3"/>
    <w:rPr>
      <w:rFonts w:ascii="Times New Roman" w:eastAsia="Times New Roman" w:hAnsi="Times New Roman" w:cs="Times New Roman"/>
      <w:b w:val="0"/>
      <w:bCs w:val="0"/>
      <w:i w:val="0"/>
      <w:iCs w:val="0"/>
      <w:smallCaps w:val="0"/>
      <w:sz w:val="22"/>
      <w:szCs w:val="22"/>
    </w:rPr>
  </w:style>
  <w:style w:type="paragraph" w:customStyle="1" w:styleId="Pa5">
    <w:name w:val="Pa5"/>
    <w:basedOn w:val="a"/>
    <w:next w:val="a"/>
    <w:uiPriority w:val="99"/>
    <w:pPr>
      <w:autoSpaceDE w:val="0"/>
      <w:autoSpaceDN w:val="0"/>
      <w:adjustRightInd w:val="0"/>
      <w:spacing w:after="0" w:line="241" w:lineRule="atLeast"/>
    </w:pPr>
    <w:rPr>
      <w:rFonts w:ascii="Octava" w:hAnsi="Octava" w:cstheme="minorBidi"/>
      <w:sz w:val="24"/>
      <w:szCs w:val="24"/>
    </w:rPr>
  </w:style>
  <w:style w:type="character" w:customStyle="1" w:styleId="af0">
    <w:name w:val="Без интервала Знак"/>
    <w:basedOn w:val="a0"/>
    <w:link w:val="af"/>
    <w:uiPriority w:val="99"/>
    <w:locked/>
    <w:rPr>
      <w:rFonts w:eastAsia="Times New Roman"/>
      <w:sz w:val="24"/>
      <w:szCs w:val="24"/>
      <w:lang w:eastAsia="ru-RU"/>
    </w:rPr>
  </w:style>
  <w:style w:type="character" w:customStyle="1" w:styleId="10">
    <w:name w:val="Заголовок 1 Знак"/>
    <w:basedOn w:val="a0"/>
    <w:link w:val="1"/>
    <w:rPr>
      <w:rFonts w:asciiTheme="majorHAnsi" w:eastAsiaTheme="majorEastAsia" w:hAnsiTheme="majorHAnsi" w:cstheme="majorBidi"/>
      <w:b/>
      <w:bCs/>
      <w:color w:val="365F91" w:themeColor="accent1" w:themeShade="BF"/>
      <w:sz w:val="28"/>
      <w:szCs w:val="28"/>
    </w:rPr>
  </w:style>
  <w:style w:type="character" w:customStyle="1" w:styleId="ConsPlusNormal0">
    <w:name w:val="ConsPlusNormal Знак"/>
    <w:link w:val="ConsPlusNormal"/>
    <w:locked/>
    <w:rPr>
      <w:b/>
      <w:bCs/>
    </w:rPr>
  </w:style>
  <w:style w:type="paragraph" w:styleId="af9">
    <w:name w:val="Body Text"/>
    <w:basedOn w:val="a"/>
    <w:link w:val="afa"/>
    <w:uiPriority w:val="99"/>
    <w:unhideWhenUsed/>
    <w:pPr>
      <w:spacing w:after="120"/>
    </w:pPr>
  </w:style>
  <w:style w:type="character" w:customStyle="1" w:styleId="afa">
    <w:name w:val="Основной текст Знак"/>
    <w:basedOn w:val="a0"/>
    <w:link w:val="af9"/>
    <w:uiPriority w:val="99"/>
    <w:semiHidden/>
  </w:style>
  <w:style w:type="paragraph" w:customStyle="1" w:styleId="afb">
    <w:name w:val="Текст док"/>
    <w:basedOn w:val="a"/>
    <w:link w:val="afc"/>
    <w:pPr>
      <w:suppressAutoHyphens/>
      <w:spacing w:after="0" w:line="240" w:lineRule="auto"/>
      <w:ind w:firstLine="709"/>
      <w:jc w:val="both"/>
    </w:pPr>
    <w:rPr>
      <w:rFonts w:eastAsia="Times New Roman" w:cs="Calibri"/>
      <w:sz w:val="28"/>
      <w:szCs w:val="20"/>
      <w:lang w:eastAsia="ar-SA"/>
    </w:rPr>
  </w:style>
  <w:style w:type="paragraph" w:customStyle="1" w:styleId="21">
    <w:name w:val="Основной текст2"/>
    <w:basedOn w:val="a"/>
    <w:uiPriority w:val="99"/>
    <w:pPr>
      <w:shd w:val="clear" w:color="auto" w:fill="FFFFFF"/>
      <w:spacing w:after="60" w:line="298" w:lineRule="exact"/>
      <w:jc w:val="both"/>
    </w:pPr>
    <w:rPr>
      <w:rFonts w:eastAsia="Times New Roman"/>
      <w:sz w:val="24"/>
      <w:szCs w:val="24"/>
      <w:lang w:eastAsia="ru-RU"/>
    </w:rPr>
  </w:style>
  <w:style w:type="character" w:customStyle="1" w:styleId="30">
    <w:name w:val="Заголовок 3 Знак"/>
    <w:basedOn w:val="a0"/>
    <w:link w:val="3"/>
    <w:uiPriority w:val="9"/>
    <w:semiHidden/>
    <w:rPr>
      <w:rFonts w:asciiTheme="majorHAnsi" w:eastAsiaTheme="majorEastAsia" w:hAnsiTheme="majorHAnsi" w:cstheme="majorBidi"/>
      <w:b/>
      <w:bCs/>
      <w:color w:val="4F81BD" w:themeColor="accent1"/>
    </w:rPr>
  </w:style>
  <w:style w:type="table" w:styleId="afd">
    <w:name w:val="Table Grid"/>
    <w:basedOn w:val="a1"/>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Emphasis"/>
    <w:qFormat/>
    <w:rPr>
      <w:i/>
      <w:iCs/>
    </w:rPr>
  </w:style>
  <w:style w:type="table" w:customStyle="1" w:styleId="14">
    <w:name w:val="Сетка таблицы1"/>
    <w:basedOn w:val="a1"/>
    <w:next w:val="afd"/>
    <w:uiPriority w:val="59"/>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
    <w:name w:val="Нет списка1"/>
    <w:next w:val="a2"/>
    <w:uiPriority w:val="99"/>
    <w:semiHidden/>
    <w:unhideWhenUsed/>
  </w:style>
  <w:style w:type="character" w:customStyle="1" w:styleId="16">
    <w:name w:val="Основной текст Знак1"/>
    <w:basedOn w:val="a0"/>
    <w:uiPriority w:val="99"/>
    <w:locked/>
    <w:rPr>
      <w:rFonts w:cs="Times New Roman"/>
      <w:shd w:val="clear" w:color="auto" w:fill="FFFFFF"/>
    </w:rPr>
  </w:style>
  <w:style w:type="character" w:customStyle="1" w:styleId="BodyTextChar1">
    <w:name w:val="Body Text Char1"/>
    <w:basedOn w:val="a0"/>
    <w:uiPriority w:val="99"/>
    <w:semiHidden/>
    <w:rPr>
      <w:lang w:eastAsia="en-US"/>
    </w:rPr>
  </w:style>
  <w:style w:type="character" w:customStyle="1" w:styleId="120">
    <w:name w:val="Заголовок №1 (2)_"/>
    <w:basedOn w:val="a0"/>
    <w:link w:val="121"/>
    <w:uiPriority w:val="99"/>
    <w:locked/>
    <w:rPr>
      <w:b/>
      <w:bCs/>
      <w:i/>
      <w:iCs/>
      <w:sz w:val="25"/>
      <w:szCs w:val="25"/>
      <w:shd w:val="clear" w:color="auto" w:fill="FFFFFF"/>
    </w:rPr>
  </w:style>
  <w:style w:type="character" w:customStyle="1" w:styleId="122">
    <w:name w:val="Заголовок №1 (2)"/>
    <w:basedOn w:val="120"/>
    <w:uiPriority w:val="99"/>
    <w:rPr>
      <w:b/>
      <w:bCs/>
      <w:i/>
      <w:iCs/>
      <w:sz w:val="25"/>
      <w:szCs w:val="25"/>
      <w:shd w:val="clear" w:color="auto" w:fill="FFFFFF"/>
    </w:rPr>
  </w:style>
  <w:style w:type="character" w:customStyle="1" w:styleId="4">
    <w:name w:val="Основной текст (4)_"/>
    <w:basedOn w:val="a0"/>
    <w:link w:val="41"/>
    <w:uiPriority w:val="99"/>
    <w:locked/>
    <w:rPr>
      <w:b/>
      <w:bCs/>
      <w:i/>
      <w:iCs/>
      <w:sz w:val="25"/>
      <w:szCs w:val="25"/>
      <w:shd w:val="clear" w:color="auto" w:fill="FFFFFF"/>
    </w:rPr>
  </w:style>
  <w:style w:type="character" w:customStyle="1" w:styleId="40">
    <w:name w:val="Основной текст (4)"/>
    <w:basedOn w:val="4"/>
    <w:uiPriority w:val="99"/>
    <w:rPr>
      <w:b/>
      <w:bCs/>
      <w:i/>
      <w:iCs/>
      <w:sz w:val="25"/>
      <w:szCs w:val="25"/>
      <w:shd w:val="clear" w:color="auto" w:fill="FFFFFF"/>
    </w:rPr>
  </w:style>
  <w:style w:type="paragraph" w:customStyle="1" w:styleId="121">
    <w:name w:val="Заголовок №1 (2)1"/>
    <w:basedOn w:val="a"/>
    <w:link w:val="120"/>
    <w:uiPriority w:val="99"/>
    <w:pPr>
      <w:shd w:val="clear" w:color="auto" w:fill="FFFFFF"/>
      <w:spacing w:after="240" w:line="298" w:lineRule="exact"/>
      <w:outlineLvl w:val="0"/>
    </w:pPr>
    <w:rPr>
      <w:b/>
      <w:bCs/>
      <w:i/>
      <w:iCs/>
      <w:sz w:val="25"/>
      <w:szCs w:val="25"/>
    </w:rPr>
  </w:style>
  <w:style w:type="paragraph" w:customStyle="1" w:styleId="41">
    <w:name w:val="Основной текст (4)1"/>
    <w:basedOn w:val="a"/>
    <w:link w:val="4"/>
    <w:uiPriority w:val="99"/>
    <w:pPr>
      <w:shd w:val="clear" w:color="auto" w:fill="FFFFFF"/>
      <w:spacing w:before="240" w:after="360" w:line="240" w:lineRule="atLeast"/>
    </w:pPr>
    <w:rPr>
      <w:b/>
      <w:bCs/>
      <w:i/>
      <w:iCs/>
      <w:sz w:val="25"/>
      <w:szCs w:val="25"/>
    </w:rPr>
  </w:style>
  <w:style w:type="table" w:customStyle="1" w:styleId="22">
    <w:name w:val="Сетка таблицы2"/>
    <w:basedOn w:val="a1"/>
    <w:next w:val="afd"/>
    <w:uiPriority w:val="59"/>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annotation reference"/>
    <w:basedOn w:val="a0"/>
    <w:uiPriority w:val="99"/>
    <w:semiHidden/>
    <w:rPr>
      <w:rFonts w:cs="Times New Roman"/>
      <w:sz w:val="16"/>
      <w:szCs w:val="16"/>
    </w:rPr>
  </w:style>
  <w:style w:type="paragraph" w:customStyle="1" w:styleId="aff0">
    <w:name w:val="Стиль"/>
    <w:uiPriority w:val="99"/>
    <w:pPr>
      <w:widowControl w:val="0"/>
      <w:autoSpaceDE w:val="0"/>
      <w:autoSpaceDN w:val="0"/>
      <w:adjustRightInd w:val="0"/>
      <w:spacing w:after="0" w:line="240" w:lineRule="auto"/>
    </w:pPr>
    <w:rPr>
      <w:rFonts w:eastAsia="Times New Roman"/>
      <w:sz w:val="24"/>
      <w:szCs w:val="24"/>
      <w:lang w:eastAsia="ru-RU"/>
    </w:rPr>
  </w:style>
  <w:style w:type="paragraph" w:customStyle="1" w:styleId="Style23">
    <w:name w:val="Style23"/>
    <w:basedOn w:val="a"/>
    <w:uiPriority w:val="99"/>
    <w:pPr>
      <w:widowControl w:val="0"/>
      <w:autoSpaceDE w:val="0"/>
      <w:autoSpaceDN w:val="0"/>
      <w:adjustRightInd w:val="0"/>
      <w:spacing w:after="0" w:line="278" w:lineRule="exact"/>
      <w:ind w:firstLine="778"/>
      <w:jc w:val="both"/>
    </w:pPr>
    <w:rPr>
      <w:rFonts w:eastAsia="Times New Roman"/>
      <w:sz w:val="24"/>
      <w:szCs w:val="24"/>
      <w:lang w:eastAsia="ru-RU"/>
    </w:rPr>
  </w:style>
  <w:style w:type="paragraph" w:customStyle="1" w:styleId="Normal1">
    <w:name w:val="Normal1"/>
    <w:uiPriority w:val="99"/>
    <w:pPr>
      <w:spacing w:after="0" w:line="240" w:lineRule="auto"/>
      <w:jc w:val="both"/>
    </w:pPr>
    <w:rPr>
      <w:rFonts w:eastAsia="Times New Roman"/>
      <w:sz w:val="20"/>
      <w:szCs w:val="20"/>
      <w:lang w:eastAsia="ru-RU"/>
    </w:rPr>
  </w:style>
  <w:style w:type="character" w:customStyle="1" w:styleId="aff1">
    <w:name w:val="Основной текст + Полужирный"/>
    <w:aliases w:val="Интервал 0 pt21"/>
    <w:uiPriority w:val="99"/>
    <w:rPr>
      <w:rFonts w:ascii="Times New Roman" w:hAnsi="Times New Roman"/>
      <w:b/>
      <w:sz w:val="26"/>
      <w:shd w:val="clear" w:color="auto" w:fill="FFFFFF"/>
    </w:rPr>
  </w:style>
  <w:style w:type="character" w:customStyle="1" w:styleId="aff2">
    <w:name w:val="Основной текст + Курсив"/>
    <w:uiPriority w:val="99"/>
    <w:rPr>
      <w:rFonts w:ascii="Times New Roman" w:hAnsi="Times New Roman"/>
      <w:i/>
      <w:spacing w:val="0"/>
      <w:sz w:val="25"/>
      <w:shd w:val="clear" w:color="auto" w:fill="FFFFFF"/>
    </w:rPr>
  </w:style>
  <w:style w:type="character" w:customStyle="1" w:styleId="9">
    <w:name w:val="Основной текст (9) + Не курсив"/>
    <w:uiPriority w:val="99"/>
    <w:rPr>
      <w:rFonts w:ascii="Times New Roman" w:hAnsi="Times New Roman"/>
      <w:i/>
      <w:spacing w:val="0"/>
      <w:sz w:val="25"/>
    </w:rPr>
  </w:style>
  <w:style w:type="paragraph" w:customStyle="1" w:styleId="42">
    <w:name w:val="Основной текст4"/>
    <w:basedOn w:val="a"/>
    <w:uiPriority w:val="99"/>
    <w:pPr>
      <w:shd w:val="clear" w:color="auto" w:fill="FFFFFF"/>
      <w:spacing w:before="240" w:after="360" w:line="240" w:lineRule="atLeast"/>
      <w:ind w:hanging="360"/>
    </w:pPr>
    <w:rPr>
      <w:rFonts w:eastAsia="Times New Roman"/>
      <w:color w:val="000000"/>
      <w:sz w:val="25"/>
      <w:szCs w:val="25"/>
      <w:lang w:eastAsia="ru-RU"/>
    </w:rPr>
  </w:style>
  <w:style w:type="paragraph" w:customStyle="1" w:styleId="ConsPlusCell">
    <w:name w:val="ConsPlusCell"/>
    <w:uiPriority w:val="99"/>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23">
    <w:name w:val="Body Text 2"/>
    <w:basedOn w:val="a"/>
    <w:link w:val="24"/>
    <w:uiPriority w:val="99"/>
    <w:pPr>
      <w:spacing w:after="120" w:line="480" w:lineRule="auto"/>
      <w:jc w:val="both"/>
    </w:pPr>
    <w:rPr>
      <w:rFonts w:ascii="Calibri" w:eastAsia="Calibri" w:hAnsi="Calibri"/>
      <w:sz w:val="22"/>
      <w:szCs w:val="22"/>
    </w:rPr>
  </w:style>
  <w:style w:type="character" w:customStyle="1" w:styleId="24">
    <w:name w:val="Основной текст 2 Знак"/>
    <w:basedOn w:val="a0"/>
    <w:link w:val="23"/>
    <w:uiPriority w:val="99"/>
    <w:rPr>
      <w:rFonts w:ascii="Calibri" w:eastAsia="Calibri" w:hAnsi="Calibri"/>
      <w:sz w:val="22"/>
      <w:szCs w:val="22"/>
    </w:rPr>
  </w:style>
  <w:style w:type="paragraph" w:customStyle="1" w:styleId="ConsPlusNonformat">
    <w:name w:val="ConsPlusNonformat"/>
    <w:pPr>
      <w:widowControl w:val="0"/>
      <w:spacing w:after="0" w:line="240" w:lineRule="auto"/>
      <w:jc w:val="both"/>
    </w:pPr>
    <w:rPr>
      <w:rFonts w:ascii="Courier New" w:eastAsia="Calibri" w:hAnsi="Courier New"/>
      <w:sz w:val="20"/>
      <w:szCs w:val="20"/>
      <w:lang w:eastAsia="ru-RU"/>
    </w:rPr>
  </w:style>
  <w:style w:type="character" w:customStyle="1" w:styleId="apple-converted-space">
    <w:name w:val="apple-converted-space"/>
    <w:uiPriority w:val="99"/>
  </w:style>
  <w:style w:type="paragraph" w:customStyle="1" w:styleId="aff3">
    <w:name w:val="Знак"/>
    <w:basedOn w:val="a"/>
    <w:uiPriority w:val="99"/>
    <w:pPr>
      <w:spacing w:after="160" w:line="240" w:lineRule="exact"/>
    </w:pPr>
    <w:rPr>
      <w:rFonts w:ascii="Verdana" w:eastAsia="Times New Roman" w:hAnsi="Verdana"/>
      <w:sz w:val="20"/>
      <w:szCs w:val="20"/>
      <w:lang w:val="en-US"/>
    </w:rPr>
  </w:style>
  <w:style w:type="character" w:customStyle="1" w:styleId="25">
    <w:name w:val="Заголовок №2_"/>
    <w:link w:val="26"/>
    <w:uiPriority w:val="99"/>
    <w:locked/>
    <w:rPr>
      <w:rFonts w:ascii="Century Schoolbook" w:hAnsi="Century Schoolbook"/>
      <w:i/>
      <w:shd w:val="clear" w:color="auto" w:fill="FFFFFF"/>
    </w:rPr>
  </w:style>
  <w:style w:type="paragraph" w:customStyle="1" w:styleId="26">
    <w:name w:val="Заголовок №2"/>
    <w:basedOn w:val="a"/>
    <w:link w:val="25"/>
    <w:uiPriority w:val="99"/>
    <w:pPr>
      <w:widowControl w:val="0"/>
      <w:shd w:val="clear" w:color="auto" w:fill="FFFFFF"/>
      <w:spacing w:before="360" w:after="360" w:line="240" w:lineRule="atLeast"/>
      <w:ind w:hanging="320"/>
      <w:jc w:val="both"/>
      <w:outlineLvl w:val="1"/>
    </w:pPr>
    <w:rPr>
      <w:rFonts w:ascii="Century Schoolbook" w:hAnsi="Century Schoolbook"/>
      <w:i/>
    </w:rPr>
  </w:style>
  <w:style w:type="character" w:customStyle="1" w:styleId="17">
    <w:name w:val="Заголовок №1_"/>
    <w:basedOn w:val="a0"/>
    <w:link w:val="110"/>
    <w:uiPriority w:val="99"/>
    <w:locked/>
    <w:rPr>
      <w:b/>
      <w:bCs/>
      <w:shd w:val="clear" w:color="auto" w:fill="FFFFFF"/>
    </w:rPr>
  </w:style>
  <w:style w:type="character" w:customStyle="1" w:styleId="19">
    <w:name w:val="Заголовок №19"/>
    <w:basedOn w:val="17"/>
    <w:uiPriority w:val="99"/>
    <w:rPr>
      <w:b/>
      <w:bCs/>
      <w:shd w:val="clear" w:color="auto" w:fill="FFFFFF"/>
    </w:rPr>
  </w:style>
  <w:style w:type="character" w:customStyle="1" w:styleId="18">
    <w:name w:val="Заголовок №18"/>
    <w:basedOn w:val="17"/>
    <w:uiPriority w:val="99"/>
    <w:rPr>
      <w:b/>
      <w:bCs/>
      <w:noProof/>
      <w:shd w:val="clear" w:color="auto" w:fill="FFFFFF"/>
    </w:rPr>
  </w:style>
  <w:style w:type="character" w:customStyle="1" w:styleId="170">
    <w:name w:val="Заголовок №17"/>
    <w:basedOn w:val="17"/>
    <w:uiPriority w:val="99"/>
    <w:rPr>
      <w:b/>
      <w:bCs/>
      <w:shd w:val="clear" w:color="auto" w:fill="FFFFFF"/>
    </w:rPr>
  </w:style>
  <w:style w:type="character" w:customStyle="1" w:styleId="160">
    <w:name w:val="Заголовок №16"/>
    <w:basedOn w:val="17"/>
    <w:uiPriority w:val="99"/>
    <w:rPr>
      <w:b/>
      <w:bCs/>
      <w:noProof/>
      <w:shd w:val="clear" w:color="auto" w:fill="FFFFFF"/>
    </w:rPr>
  </w:style>
  <w:style w:type="character" w:customStyle="1" w:styleId="150">
    <w:name w:val="Заголовок №15"/>
    <w:basedOn w:val="17"/>
    <w:uiPriority w:val="99"/>
    <w:rPr>
      <w:b/>
      <w:bCs/>
      <w:shd w:val="clear" w:color="auto" w:fill="FFFFFF"/>
    </w:rPr>
  </w:style>
  <w:style w:type="character" w:customStyle="1" w:styleId="140">
    <w:name w:val="Заголовок №14"/>
    <w:basedOn w:val="17"/>
    <w:uiPriority w:val="99"/>
    <w:rPr>
      <w:b/>
      <w:bCs/>
      <w:noProof/>
      <w:shd w:val="clear" w:color="auto" w:fill="FFFFFF"/>
    </w:rPr>
  </w:style>
  <w:style w:type="paragraph" w:customStyle="1" w:styleId="110">
    <w:name w:val="Заголовок №11"/>
    <w:basedOn w:val="a"/>
    <w:link w:val="17"/>
    <w:uiPriority w:val="99"/>
    <w:pPr>
      <w:shd w:val="clear" w:color="auto" w:fill="FFFFFF"/>
      <w:spacing w:before="240" w:after="360" w:line="240" w:lineRule="atLeast"/>
      <w:outlineLvl w:val="0"/>
    </w:pPr>
    <w:rPr>
      <w:b/>
      <w:bCs/>
    </w:rPr>
  </w:style>
  <w:style w:type="paragraph" w:customStyle="1" w:styleId="ListParagraph3">
    <w:name w:val="List Paragraph3"/>
    <w:basedOn w:val="a"/>
    <w:pPr>
      <w:spacing w:after="0" w:line="240" w:lineRule="auto"/>
      <w:ind w:left="720"/>
      <w:contextualSpacing/>
    </w:pPr>
    <w:rPr>
      <w:rFonts w:ascii="Cambria" w:eastAsia="MS ??" w:hAnsi="Cambria"/>
      <w:sz w:val="24"/>
      <w:szCs w:val="24"/>
      <w:lang w:eastAsia="ru-RU"/>
    </w:rPr>
  </w:style>
  <w:style w:type="paragraph" w:styleId="aff4">
    <w:name w:val="Plain Text"/>
    <w:basedOn w:val="a"/>
    <w:link w:val="aff5"/>
    <w:uiPriority w:val="99"/>
    <w:unhideWhenUsed/>
    <w:pPr>
      <w:spacing w:after="0" w:line="240" w:lineRule="auto"/>
    </w:pPr>
    <w:rPr>
      <w:rFonts w:ascii="Consolas" w:eastAsia="Calibri" w:hAnsi="Consolas"/>
      <w:sz w:val="21"/>
      <w:szCs w:val="21"/>
      <w:lang w:eastAsia="ru-RU"/>
    </w:rPr>
  </w:style>
  <w:style w:type="character" w:customStyle="1" w:styleId="aff5">
    <w:name w:val="Текст Знак"/>
    <w:basedOn w:val="a0"/>
    <w:link w:val="aff4"/>
    <w:uiPriority w:val="99"/>
    <w:rPr>
      <w:rFonts w:ascii="Consolas" w:eastAsia="Calibri" w:hAnsi="Consolas"/>
      <w:sz w:val="21"/>
      <w:szCs w:val="21"/>
      <w:lang w:eastAsia="ru-RU"/>
    </w:rPr>
  </w:style>
  <w:style w:type="paragraph" w:styleId="aff6">
    <w:name w:val="TOC Heading"/>
    <w:basedOn w:val="1"/>
    <w:next w:val="a"/>
    <w:uiPriority w:val="39"/>
    <w:semiHidden/>
    <w:unhideWhenUsed/>
    <w:qFormat/>
    <w:pPr>
      <w:outlineLvl w:val="9"/>
    </w:pPr>
    <w:rPr>
      <w:lang w:eastAsia="ru-RU"/>
    </w:rPr>
  </w:style>
  <w:style w:type="paragraph" w:customStyle="1" w:styleId="210">
    <w:name w:val="Оглавление 21"/>
    <w:basedOn w:val="a"/>
    <w:next w:val="a"/>
    <w:autoRedefine/>
    <w:uiPriority w:val="39"/>
    <w:unhideWhenUsed/>
    <w:qFormat/>
    <w:locked/>
    <w:pPr>
      <w:spacing w:after="100"/>
      <w:ind w:left="220"/>
    </w:pPr>
    <w:rPr>
      <w:rFonts w:ascii="Calibri" w:eastAsia="Times New Roman" w:hAnsi="Calibri"/>
      <w:sz w:val="22"/>
      <w:szCs w:val="22"/>
      <w:lang w:eastAsia="ru-RU"/>
    </w:rPr>
  </w:style>
  <w:style w:type="paragraph" w:customStyle="1" w:styleId="111">
    <w:name w:val="Оглавление 11"/>
    <w:basedOn w:val="a"/>
    <w:next w:val="a"/>
    <w:autoRedefine/>
    <w:uiPriority w:val="39"/>
    <w:unhideWhenUsed/>
    <w:qFormat/>
    <w:locked/>
    <w:pPr>
      <w:spacing w:after="100"/>
    </w:pPr>
    <w:rPr>
      <w:rFonts w:ascii="Calibri" w:eastAsia="Times New Roman" w:hAnsi="Calibri"/>
      <w:sz w:val="22"/>
      <w:szCs w:val="22"/>
      <w:lang w:eastAsia="ru-RU"/>
    </w:rPr>
  </w:style>
  <w:style w:type="paragraph" w:customStyle="1" w:styleId="31">
    <w:name w:val="Оглавление 31"/>
    <w:basedOn w:val="a"/>
    <w:next w:val="a"/>
    <w:autoRedefine/>
    <w:uiPriority w:val="39"/>
    <w:unhideWhenUsed/>
    <w:qFormat/>
    <w:locked/>
    <w:pPr>
      <w:spacing w:after="100"/>
      <w:ind w:left="440"/>
    </w:pPr>
    <w:rPr>
      <w:rFonts w:ascii="Calibri" w:eastAsia="Times New Roman" w:hAnsi="Calibri"/>
      <w:sz w:val="22"/>
      <w:szCs w:val="22"/>
      <w:lang w:eastAsia="ru-RU"/>
    </w:rPr>
  </w:style>
  <w:style w:type="paragraph" w:customStyle="1" w:styleId="Pa8">
    <w:name w:val="Pa8"/>
    <w:basedOn w:val="a"/>
    <w:next w:val="a"/>
    <w:uiPriority w:val="99"/>
    <w:pPr>
      <w:autoSpaceDE w:val="0"/>
      <w:autoSpaceDN w:val="0"/>
      <w:adjustRightInd w:val="0"/>
      <w:spacing w:after="0" w:line="161" w:lineRule="atLeast"/>
    </w:pPr>
    <w:rPr>
      <w:rFonts w:ascii="Octava" w:hAnsi="Octava"/>
      <w:sz w:val="24"/>
      <w:szCs w:val="24"/>
    </w:rPr>
  </w:style>
  <w:style w:type="paragraph" w:styleId="aff7">
    <w:name w:val="Title"/>
    <w:basedOn w:val="a"/>
    <w:link w:val="aff8"/>
    <w:qFormat/>
    <w:pPr>
      <w:spacing w:after="0" w:line="240" w:lineRule="auto"/>
      <w:jc w:val="center"/>
    </w:pPr>
    <w:rPr>
      <w:rFonts w:eastAsia="Times New Roman"/>
      <w:sz w:val="32"/>
      <w:lang w:eastAsia="ru-RU"/>
    </w:rPr>
  </w:style>
  <w:style w:type="character" w:customStyle="1" w:styleId="aff8">
    <w:name w:val="Название Знак"/>
    <w:basedOn w:val="a0"/>
    <w:link w:val="aff7"/>
    <w:rPr>
      <w:rFonts w:eastAsia="Times New Roman"/>
      <w:sz w:val="32"/>
      <w:lang w:eastAsia="ru-RU"/>
    </w:rPr>
  </w:style>
  <w:style w:type="paragraph" w:styleId="aff9">
    <w:name w:val="annotation text"/>
    <w:basedOn w:val="a"/>
    <w:link w:val="affa"/>
    <w:uiPriority w:val="99"/>
    <w:unhideWhenUsed/>
    <w:pPr>
      <w:spacing w:line="240" w:lineRule="auto"/>
    </w:pPr>
    <w:rPr>
      <w:sz w:val="20"/>
      <w:szCs w:val="20"/>
    </w:rPr>
  </w:style>
  <w:style w:type="character" w:customStyle="1" w:styleId="affa">
    <w:name w:val="Текст примечания Знак"/>
    <w:basedOn w:val="a0"/>
    <w:link w:val="aff9"/>
    <w:uiPriority w:val="99"/>
    <w:rPr>
      <w:sz w:val="20"/>
      <w:szCs w:val="20"/>
    </w:rPr>
  </w:style>
  <w:style w:type="paragraph" w:styleId="affb">
    <w:name w:val="annotation subject"/>
    <w:basedOn w:val="aff9"/>
    <w:next w:val="aff9"/>
    <w:link w:val="affc"/>
    <w:uiPriority w:val="99"/>
    <w:semiHidden/>
    <w:unhideWhenUsed/>
    <w:rPr>
      <w:b/>
      <w:bCs/>
    </w:rPr>
  </w:style>
  <w:style w:type="character" w:customStyle="1" w:styleId="affc">
    <w:name w:val="Тема примечания Знак"/>
    <w:basedOn w:val="affa"/>
    <w:link w:val="affb"/>
    <w:uiPriority w:val="99"/>
    <w:semiHidden/>
    <w:rPr>
      <w:b/>
      <w:bCs/>
      <w:sz w:val="20"/>
      <w:szCs w:val="20"/>
    </w:rPr>
  </w:style>
  <w:style w:type="paragraph" w:styleId="27">
    <w:name w:val="toc 2"/>
    <w:basedOn w:val="a"/>
    <w:next w:val="a"/>
    <w:autoRedefine/>
    <w:uiPriority w:val="39"/>
    <w:unhideWhenUsed/>
    <w:pPr>
      <w:spacing w:after="100"/>
      <w:ind w:left="426" w:hanging="142"/>
    </w:pPr>
  </w:style>
  <w:style w:type="paragraph" w:styleId="1a">
    <w:name w:val="toc 1"/>
    <w:basedOn w:val="a"/>
    <w:next w:val="a"/>
    <w:autoRedefine/>
    <w:uiPriority w:val="39"/>
    <w:semiHidden/>
    <w:unhideWhenUsed/>
    <w:pPr>
      <w:spacing w:after="100"/>
    </w:pPr>
  </w:style>
  <w:style w:type="paragraph" w:styleId="32">
    <w:name w:val="toc 3"/>
    <w:basedOn w:val="a"/>
    <w:next w:val="a"/>
    <w:autoRedefine/>
    <w:uiPriority w:val="39"/>
    <w:semiHidden/>
    <w:unhideWhenUsed/>
    <w:pPr>
      <w:spacing w:after="100"/>
      <w:ind w:left="520"/>
    </w:pPr>
  </w:style>
  <w:style w:type="paragraph" w:customStyle="1" w:styleId="Pa1">
    <w:name w:val="Pa1"/>
    <w:basedOn w:val="a"/>
    <w:next w:val="a"/>
    <w:uiPriority w:val="99"/>
    <w:pPr>
      <w:autoSpaceDE w:val="0"/>
      <w:autoSpaceDN w:val="0"/>
      <w:adjustRightInd w:val="0"/>
      <w:spacing w:after="0" w:line="241" w:lineRule="atLeast"/>
    </w:pPr>
    <w:rPr>
      <w:rFonts w:ascii="TextBookC" w:hAnsi="TextBookC" w:cstheme="minorBidi"/>
      <w:sz w:val="24"/>
      <w:szCs w:val="24"/>
    </w:rPr>
  </w:style>
  <w:style w:type="paragraph" w:customStyle="1" w:styleId="Pa6">
    <w:name w:val="Pa6"/>
    <w:basedOn w:val="a"/>
    <w:next w:val="a"/>
    <w:uiPriority w:val="99"/>
    <w:pPr>
      <w:autoSpaceDE w:val="0"/>
      <w:autoSpaceDN w:val="0"/>
      <w:adjustRightInd w:val="0"/>
      <w:spacing w:after="0" w:line="241" w:lineRule="atLeast"/>
    </w:pPr>
    <w:rPr>
      <w:rFonts w:ascii="TextBookC" w:hAnsi="TextBookC" w:cstheme="minorBidi"/>
      <w:sz w:val="24"/>
      <w:szCs w:val="24"/>
    </w:rPr>
  </w:style>
  <w:style w:type="paragraph" w:customStyle="1" w:styleId="Pa20">
    <w:name w:val="Pa20"/>
    <w:basedOn w:val="Default"/>
    <w:next w:val="Default"/>
    <w:uiPriority w:val="99"/>
    <w:pPr>
      <w:spacing w:line="181" w:lineRule="atLeast"/>
    </w:pPr>
    <w:rPr>
      <w:rFonts w:ascii="Octava" w:hAnsi="Octava" w:cstheme="minorBidi"/>
      <w:color w:val="auto"/>
    </w:rPr>
  </w:style>
  <w:style w:type="paragraph" w:customStyle="1" w:styleId="affd">
    <w:name w:val="Знак"/>
    <w:basedOn w:val="a"/>
    <w:pPr>
      <w:spacing w:after="160" w:line="240" w:lineRule="exact"/>
    </w:pPr>
    <w:rPr>
      <w:rFonts w:ascii="Verdana" w:eastAsia="Times New Roman" w:hAnsi="Verdana"/>
      <w:sz w:val="20"/>
      <w:szCs w:val="20"/>
      <w:lang w:val="en-US"/>
    </w:rPr>
  </w:style>
  <w:style w:type="paragraph" w:customStyle="1" w:styleId="1b">
    <w:name w:val="Обычный1"/>
    <w:pPr>
      <w:widowControl w:val="0"/>
      <w:spacing w:after="0" w:line="300" w:lineRule="auto"/>
      <w:ind w:firstLine="540"/>
      <w:jc w:val="both"/>
    </w:pPr>
    <w:rPr>
      <w:rFonts w:eastAsia="Times New Roman"/>
      <w:snapToGrid w:val="0"/>
      <w:sz w:val="24"/>
      <w:szCs w:val="20"/>
      <w:lang w:eastAsia="ru-RU"/>
    </w:rPr>
  </w:style>
  <w:style w:type="paragraph" w:customStyle="1" w:styleId="affe">
    <w:name w:val="Игорь"/>
    <w:basedOn w:val="a"/>
    <w:link w:val="afff"/>
    <w:uiPriority w:val="99"/>
    <w:pPr>
      <w:spacing w:after="0" w:line="240" w:lineRule="auto"/>
      <w:ind w:firstLine="709"/>
      <w:jc w:val="both"/>
    </w:pPr>
    <w:rPr>
      <w:rFonts w:eastAsia="Times New Roman"/>
      <w:color w:val="000080"/>
      <w:sz w:val="28"/>
      <w:szCs w:val="20"/>
      <w:lang w:eastAsia="ru-RU"/>
    </w:rPr>
  </w:style>
  <w:style w:type="character" w:customStyle="1" w:styleId="afff">
    <w:name w:val="Игорь Знак"/>
    <w:link w:val="affe"/>
    <w:uiPriority w:val="99"/>
    <w:rPr>
      <w:rFonts w:eastAsia="Times New Roman"/>
      <w:color w:val="000080"/>
      <w:sz w:val="28"/>
      <w:szCs w:val="20"/>
      <w:lang w:eastAsia="ru-RU"/>
    </w:rPr>
  </w:style>
  <w:style w:type="character" w:customStyle="1" w:styleId="afc">
    <w:name w:val="Текст док Знак"/>
    <w:link w:val="afb"/>
    <w:rPr>
      <w:rFonts w:eastAsia="Times New Roman" w:cs="Calibri"/>
      <w:sz w:val="28"/>
      <w:szCs w:val="20"/>
      <w:lang w:eastAsia="ar-SA"/>
    </w:rPr>
  </w:style>
  <w:style w:type="paragraph" w:customStyle="1" w:styleId="Pa2">
    <w:name w:val="Pa2"/>
    <w:basedOn w:val="Default"/>
    <w:next w:val="Default"/>
    <w:uiPriority w:val="99"/>
    <w:pPr>
      <w:spacing w:line="241" w:lineRule="atLeast"/>
    </w:pPr>
    <w:rPr>
      <w:rFonts w:ascii="Octava" w:hAnsi="Octava" w:cstheme="minorBidi"/>
      <w:color w:val="auto"/>
    </w:rPr>
  </w:style>
  <w:style w:type="character" w:customStyle="1" w:styleId="A90">
    <w:name w:val="A9"/>
    <w:uiPriority w:val="99"/>
    <w:rPr>
      <w:rFonts w:cs="Octava"/>
      <w:color w:val="000000"/>
      <w:sz w:val="30"/>
      <w:szCs w:val="30"/>
    </w:rPr>
  </w:style>
  <w:style w:type="paragraph" w:customStyle="1" w:styleId="Pa4">
    <w:name w:val="Pa4"/>
    <w:basedOn w:val="a"/>
    <w:next w:val="a"/>
    <w:uiPriority w:val="99"/>
    <w:pPr>
      <w:autoSpaceDE w:val="0"/>
      <w:autoSpaceDN w:val="0"/>
      <w:adjustRightInd w:val="0"/>
      <w:spacing w:after="0" w:line="241" w:lineRule="atLeast"/>
    </w:pPr>
    <w:rPr>
      <w:rFonts w:ascii="JournalC" w:hAnsi="JournalC" w:cstheme="minorBidi"/>
      <w:sz w:val="24"/>
      <w:szCs w:val="24"/>
    </w:rPr>
  </w:style>
  <w:style w:type="character" w:customStyle="1" w:styleId="extended-textshort">
    <w:name w:val="extended-text__short"/>
    <w:basedOn w:val="a0"/>
  </w:style>
  <w:style w:type="paragraph" w:customStyle="1" w:styleId="Pa3">
    <w:name w:val="Pa3"/>
    <w:basedOn w:val="a"/>
    <w:next w:val="a"/>
    <w:uiPriority w:val="99"/>
    <w:pPr>
      <w:autoSpaceDE w:val="0"/>
      <w:autoSpaceDN w:val="0"/>
      <w:adjustRightInd w:val="0"/>
      <w:spacing w:after="0" w:line="241" w:lineRule="atLeast"/>
    </w:pPr>
    <w:rPr>
      <w:rFonts w:ascii="Octava" w:eastAsia="Times New Roman" w:hAnsi="Octava"/>
      <w:sz w:val="24"/>
      <w:szCs w:val="24"/>
      <w:lang w:eastAsia="ru-RU"/>
    </w:rPr>
  </w:style>
  <w:style w:type="paragraph" w:customStyle="1" w:styleId="afff0">
    <w:name w:val="Знак"/>
    <w:basedOn w:val="a"/>
    <w:pPr>
      <w:spacing w:after="160" w:line="240" w:lineRule="exact"/>
    </w:pPr>
    <w:rPr>
      <w:rFonts w:ascii="Verdana" w:eastAsia="Times New Roman" w:hAnsi="Verdana"/>
      <w:sz w:val="20"/>
      <w:szCs w:val="20"/>
      <w:lang w:val="en-US"/>
    </w:rPr>
  </w:style>
  <w:style w:type="paragraph" w:customStyle="1" w:styleId="Pa11">
    <w:name w:val="Pa11"/>
    <w:basedOn w:val="a"/>
    <w:next w:val="a"/>
    <w:uiPriority w:val="99"/>
    <w:pPr>
      <w:autoSpaceDE w:val="0"/>
      <w:autoSpaceDN w:val="0"/>
      <w:adjustRightInd w:val="0"/>
      <w:spacing w:after="0" w:line="261" w:lineRule="atLeast"/>
    </w:pPr>
    <w:rPr>
      <w:rFonts w:ascii="Octava" w:hAnsi="Octava" w:cstheme="minorBidi"/>
      <w:sz w:val="24"/>
      <w:szCs w:val="24"/>
    </w:rPr>
  </w:style>
  <w:style w:type="character" w:customStyle="1" w:styleId="A80">
    <w:name w:val="A8"/>
    <w:uiPriority w:val="99"/>
    <w:rPr>
      <w:rFonts w:cs="Octava"/>
      <w:color w:val="000000"/>
      <w:sz w:val="20"/>
      <w:szCs w:val="20"/>
    </w:rPr>
  </w:style>
  <w:style w:type="character" w:customStyle="1" w:styleId="6">
    <w:name w:val="Основной текст (6)_"/>
    <w:link w:val="60"/>
    <w:locked/>
    <w:rPr>
      <w:b/>
      <w:bCs/>
      <w:shd w:val="clear" w:color="auto" w:fill="FFFFFF"/>
    </w:rPr>
  </w:style>
  <w:style w:type="paragraph" w:customStyle="1" w:styleId="60">
    <w:name w:val="Основной текст (6)"/>
    <w:basedOn w:val="a"/>
    <w:link w:val="6"/>
    <w:pPr>
      <w:widowControl w:val="0"/>
      <w:shd w:val="clear" w:color="auto" w:fill="FFFFFF"/>
      <w:spacing w:after="0" w:line="307" w:lineRule="exact"/>
      <w:jc w:val="center"/>
    </w:pPr>
    <w:rPr>
      <w:b/>
      <w:bCs/>
    </w:rPr>
  </w:style>
  <w:style w:type="character" w:customStyle="1" w:styleId="28">
    <w:name w:val="Основной текст (2)_"/>
    <w:basedOn w:val="a0"/>
    <w:link w:val="29"/>
    <w:locked/>
    <w:rPr>
      <w:rFonts w:ascii="Arial Narrow" w:eastAsia="Arial Narrow" w:hAnsi="Arial Narrow" w:cs="Arial Narrow"/>
      <w:shd w:val="clear" w:color="auto" w:fill="FFFFFF"/>
    </w:rPr>
  </w:style>
  <w:style w:type="paragraph" w:customStyle="1" w:styleId="29">
    <w:name w:val="Основной текст (2)"/>
    <w:basedOn w:val="a"/>
    <w:link w:val="28"/>
    <w:pPr>
      <w:widowControl w:val="0"/>
      <w:shd w:val="clear" w:color="auto" w:fill="FFFFFF"/>
      <w:spacing w:after="240" w:line="266" w:lineRule="exact"/>
      <w:jc w:val="both"/>
    </w:pPr>
    <w:rPr>
      <w:rFonts w:ascii="Arial Narrow" w:eastAsia="Arial Narrow" w:hAnsi="Arial Narrow" w:cs="Arial Narrow"/>
    </w:rPr>
  </w:style>
  <w:style w:type="paragraph" w:styleId="afff1">
    <w:name w:val="endnote text"/>
    <w:basedOn w:val="a"/>
    <w:link w:val="afff2"/>
    <w:uiPriority w:val="99"/>
    <w:semiHidden/>
    <w:unhideWhenUsed/>
    <w:pPr>
      <w:spacing w:after="0" w:line="240" w:lineRule="auto"/>
    </w:pPr>
    <w:rPr>
      <w:sz w:val="20"/>
      <w:szCs w:val="20"/>
    </w:rPr>
  </w:style>
  <w:style w:type="character" w:customStyle="1" w:styleId="afff2">
    <w:name w:val="Текст концевой сноски Знак"/>
    <w:basedOn w:val="a0"/>
    <w:link w:val="afff1"/>
    <w:uiPriority w:val="99"/>
    <w:semiHidden/>
    <w:rPr>
      <w:sz w:val="20"/>
      <w:szCs w:val="20"/>
    </w:rPr>
  </w:style>
  <w:style w:type="character" w:styleId="afff3">
    <w:name w:val="endnote reference"/>
    <w:basedOn w:val="a0"/>
    <w:uiPriority w:val="99"/>
    <w:semiHidden/>
    <w:unhideWhenUsed/>
    <w:rPr>
      <w:vertAlign w:val="superscript"/>
    </w:rPr>
  </w:style>
  <w:style w:type="paragraph" w:styleId="afff4">
    <w:name w:val="Document Map"/>
    <w:basedOn w:val="a"/>
    <w:link w:val="afff5"/>
    <w:uiPriority w:val="99"/>
    <w:semiHidden/>
    <w:unhideWhenUsed/>
    <w:pPr>
      <w:spacing w:after="0" w:line="240" w:lineRule="auto"/>
    </w:pPr>
    <w:rPr>
      <w:rFonts w:ascii="Tahoma" w:hAnsi="Tahoma" w:cs="Tahoma"/>
      <w:sz w:val="16"/>
      <w:szCs w:val="16"/>
    </w:rPr>
  </w:style>
  <w:style w:type="character" w:customStyle="1" w:styleId="afff5">
    <w:name w:val="Схема документа Знак"/>
    <w:basedOn w:val="a0"/>
    <w:link w:val="afff4"/>
    <w:uiPriority w:val="99"/>
    <w:semiHidden/>
    <w:rPr>
      <w:rFonts w:ascii="Tahoma" w:hAnsi="Tahoma" w:cs="Tahoma"/>
      <w:sz w:val="16"/>
      <w:szCs w:val="16"/>
    </w:rPr>
  </w:style>
  <w:style w:type="paragraph" w:customStyle="1" w:styleId="db9fe9049761426654245bb2dd862eecmsonormal">
    <w:name w:val="db9fe9049761426654245bb2dd862eecmsonormal"/>
    <w:basedOn w:val="a"/>
    <w:pPr>
      <w:spacing w:before="100" w:beforeAutospacing="1" w:after="100" w:afterAutospacing="1" w:line="240" w:lineRule="auto"/>
    </w:pPr>
    <w:rPr>
      <w:rFonts w:eastAsia="Times New Roman"/>
      <w:sz w:val="24"/>
      <w:szCs w:val="24"/>
      <w:lang w:eastAsia="ru-RU"/>
    </w:rPr>
  </w:style>
  <w:style w:type="paragraph" w:customStyle="1" w:styleId="paragraphscxw301626bcx0">
    <w:name w:val="paragraph scxw301626 bcx0"/>
    <w:basedOn w:val="a"/>
    <w:pPr>
      <w:spacing w:before="100" w:beforeAutospacing="1" w:after="100" w:afterAutospacing="1" w:line="240" w:lineRule="auto"/>
    </w:pPr>
    <w:rPr>
      <w:rFonts w:eastAsia="Times New Roman"/>
      <w:sz w:val="24"/>
      <w:szCs w:val="24"/>
      <w:lang w:eastAsia="ru-RU"/>
    </w:rPr>
  </w:style>
  <w:style w:type="character" w:customStyle="1" w:styleId="normaltextrunscxw301626bcx0">
    <w:name w:val="normaltextrun scxw301626 bcx0"/>
    <w:basedOn w:val="a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footer" w:uiPriority="0"/>
    <w:lsdException w:name="caption" w:qFormat="1"/>
    <w:lsdException w:name="Title" w:semiHidden="0" w:uiPriority="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qFormat="1"/>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pPr>
      <w:keepNext/>
      <w:shd w:val="clear" w:color="auto" w:fill="FFFFFF"/>
      <w:tabs>
        <w:tab w:val="left" w:pos="787"/>
      </w:tabs>
      <w:spacing w:before="5" w:after="0" w:line="226" w:lineRule="exact"/>
      <w:jc w:val="both"/>
      <w:outlineLvl w:val="1"/>
    </w:pPr>
    <w:rPr>
      <w:rFonts w:eastAsia="Calibri"/>
      <w:bCs/>
      <w:i/>
      <w:iCs/>
      <w:color w:val="000000"/>
      <w:spacing w:val="-5"/>
      <w:sz w:val="20"/>
      <w:szCs w:val="20"/>
      <w:lang w:val="x-none" w:eastAsia="ru-RU"/>
    </w:rPr>
  </w:style>
  <w:style w:type="paragraph" w:styleId="3">
    <w:name w:val="heading 3"/>
    <w:basedOn w:val="a"/>
    <w:next w:val="a"/>
    <w:link w:val="30"/>
    <w:uiPriority w:val="9"/>
    <w:semiHidden/>
    <w:unhideWhenUsed/>
    <w:qFormat/>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7">
    <w:name w:val="Pa7"/>
    <w:basedOn w:val="a"/>
    <w:next w:val="a"/>
    <w:link w:val="Pa70"/>
    <w:uiPriority w:val="99"/>
    <w:pPr>
      <w:autoSpaceDE w:val="0"/>
      <w:autoSpaceDN w:val="0"/>
      <w:adjustRightInd w:val="0"/>
      <w:spacing w:after="0" w:line="281" w:lineRule="atLeast"/>
    </w:pPr>
    <w:rPr>
      <w:rFonts w:ascii="JournalC" w:hAnsi="JournalC"/>
      <w:sz w:val="24"/>
      <w:szCs w:val="24"/>
    </w:rPr>
  </w:style>
  <w:style w:type="paragraph" w:customStyle="1" w:styleId="Default">
    <w:name w:val="Default"/>
    <w:pPr>
      <w:autoSpaceDE w:val="0"/>
      <w:autoSpaceDN w:val="0"/>
      <w:adjustRightInd w:val="0"/>
      <w:spacing w:after="0" w:line="240" w:lineRule="auto"/>
    </w:pPr>
    <w:rPr>
      <w:color w:val="000000"/>
      <w:sz w:val="24"/>
      <w:szCs w:val="24"/>
    </w:rPr>
  </w:style>
  <w:style w:type="paragraph" w:customStyle="1" w:styleId="11">
    <w:name w:val="Стиль1"/>
    <w:basedOn w:val="Pa7"/>
    <w:link w:val="12"/>
    <w:qFormat/>
    <w:pPr>
      <w:spacing w:line="240" w:lineRule="auto"/>
      <w:ind w:firstLine="567"/>
      <w:jc w:val="both"/>
    </w:pPr>
    <w:rPr>
      <w:rFonts w:ascii="Times New Roman" w:eastAsia="Times New Roman" w:hAnsi="Times New Roman"/>
      <w:sz w:val="26"/>
      <w:szCs w:val="26"/>
    </w:rPr>
  </w:style>
  <w:style w:type="character" w:customStyle="1" w:styleId="Pa70">
    <w:name w:val="Pa7 Знак"/>
    <w:basedOn w:val="a0"/>
    <w:link w:val="Pa7"/>
    <w:uiPriority w:val="99"/>
    <w:rPr>
      <w:rFonts w:ascii="JournalC" w:hAnsi="JournalC"/>
      <w:sz w:val="24"/>
      <w:szCs w:val="24"/>
    </w:rPr>
  </w:style>
  <w:style w:type="character" w:customStyle="1" w:styleId="12">
    <w:name w:val="Стиль1 Знак"/>
    <w:basedOn w:val="Pa70"/>
    <w:link w:val="11"/>
    <w:rPr>
      <w:rFonts w:ascii="Times New Roman" w:eastAsia="Times New Roman" w:hAnsi="Times New Roman" w:cs="Times New Roman"/>
      <w:sz w:val="26"/>
      <w:szCs w:val="26"/>
    </w:rPr>
  </w:style>
  <w:style w:type="paragraph" w:customStyle="1" w:styleId="a3">
    <w:name w:val="Исполнитель"/>
    <w:basedOn w:val="a"/>
    <w:autoRedefine/>
    <w:uiPriority w:val="99"/>
    <w:qFormat/>
    <w:pPr>
      <w:spacing w:after="0" w:line="240" w:lineRule="auto"/>
      <w:jc w:val="both"/>
    </w:pPr>
    <w:rPr>
      <w:sz w:val="24"/>
      <w:szCs w:val="24"/>
      <w:lang w:eastAsia="ru-RU"/>
    </w:rPr>
  </w:style>
  <w:style w:type="paragraph" w:styleId="a4">
    <w:name w:val="footer"/>
    <w:basedOn w:val="a"/>
    <w:link w:val="a5"/>
    <w:pPr>
      <w:tabs>
        <w:tab w:val="center" w:pos="4153"/>
        <w:tab w:val="right" w:pos="8306"/>
      </w:tabs>
      <w:spacing w:after="0" w:line="240" w:lineRule="auto"/>
    </w:pPr>
    <w:rPr>
      <w:rFonts w:eastAsia="Times New Roman"/>
      <w:sz w:val="24"/>
      <w:szCs w:val="24"/>
      <w:lang w:eastAsia="ru-RU"/>
    </w:rPr>
  </w:style>
  <w:style w:type="character" w:customStyle="1" w:styleId="a5">
    <w:name w:val="Нижний колонтитул Знак"/>
    <w:basedOn w:val="a0"/>
    <w:link w:val="a4"/>
    <w:rPr>
      <w:rFonts w:eastAsia="Times New Roman"/>
      <w:sz w:val="24"/>
      <w:szCs w:val="24"/>
      <w:lang w:eastAsia="ru-RU"/>
    </w:rPr>
  </w:style>
  <w:style w:type="paragraph" w:styleId="a6">
    <w:name w:val="List Paragraph"/>
    <w:aliases w:val="Абзац списка для документа,Маркер,Содержание. 2 уровень,ПАРАГРАФ,Абзац списка3,Bullet 1,Use Case List Paragraph,ТЗ список,Абзац списка литеральный,Булет1,1Булет,it_List1,Bullet List,FooterText,numbered,Список дефисный,List Paragraph,lp1"/>
    <w:basedOn w:val="a"/>
    <w:link w:val="a7"/>
    <w:uiPriority w:val="34"/>
    <w:qFormat/>
    <w:pPr>
      <w:ind w:left="720"/>
      <w:contextualSpacing/>
    </w:pPr>
    <w:rPr>
      <w:rFonts w:ascii="Calibri" w:eastAsia="Calibri" w:hAnsi="Calibri"/>
      <w:sz w:val="22"/>
      <w:szCs w:val="22"/>
    </w:rPr>
  </w:style>
  <w:style w:type="character" w:customStyle="1" w:styleId="a8">
    <w:name w:val="Основной текст_"/>
    <w:link w:val="13"/>
    <w:locked/>
    <w:rPr>
      <w:shd w:val="clear" w:color="auto" w:fill="FFFFFF"/>
    </w:rPr>
  </w:style>
  <w:style w:type="paragraph" w:customStyle="1" w:styleId="13">
    <w:name w:val="Основной текст1"/>
    <w:basedOn w:val="a"/>
    <w:link w:val="a8"/>
    <w:pPr>
      <w:shd w:val="clear" w:color="auto" w:fill="FFFFFF"/>
      <w:spacing w:after="900" w:line="240" w:lineRule="atLeast"/>
    </w:pPr>
  </w:style>
  <w:style w:type="character" w:styleId="a9">
    <w:name w:val="Hyperlink"/>
    <w:basedOn w:val="a0"/>
    <w:uiPriority w:val="99"/>
    <w:unhideWhenUsed/>
    <w:rPr>
      <w:color w:val="0000FF" w:themeColor="hyperlink"/>
      <w:u w:val="single"/>
    </w:rPr>
  </w:style>
  <w:style w:type="paragraph" w:styleId="aa">
    <w:name w:val="Balloon Text"/>
    <w:basedOn w:val="a"/>
    <w:link w:val="ab"/>
    <w:uiPriority w:val="99"/>
    <w:semiHidden/>
    <w:unhideWhenUsed/>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Pr>
      <w:rFonts w:ascii="Tahoma" w:hAnsi="Tahoma" w:cs="Tahoma"/>
      <w:sz w:val="16"/>
      <w:szCs w:val="16"/>
    </w:rPr>
  </w:style>
  <w:style w:type="paragraph" w:styleId="ac">
    <w:name w:val="header"/>
    <w:basedOn w:val="a"/>
    <w:link w:val="ad"/>
    <w:uiPriority w:val="99"/>
    <w:unhideWhenUsed/>
    <w:pPr>
      <w:tabs>
        <w:tab w:val="center" w:pos="4677"/>
        <w:tab w:val="right" w:pos="9355"/>
      </w:tabs>
      <w:spacing w:after="0" w:line="240" w:lineRule="auto"/>
    </w:pPr>
  </w:style>
  <w:style w:type="character" w:customStyle="1" w:styleId="ad">
    <w:name w:val="Верхний колонтитул Знак"/>
    <w:basedOn w:val="a0"/>
    <w:link w:val="ac"/>
    <w:uiPriority w:val="99"/>
  </w:style>
  <w:style w:type="character" w:customStyle="1" w:styleId="20">
    <w:name w:val="Заголовок 2 Знак"/>
    <w:basedOn w:val="a0"/>
    <w:link w:val="2"/>
    <w:rPr>
      <w:rFonts w:eastAsia="Calibri"/>
      <w:bCs/>
      <w:i/>
      <w:iCs/>
      <w:color w:val="000000"/>
      <w:spacing w:val="-5"/>
      <w:sz w:val="20"/>
      <w:szCs w:val="20"/>
      <w:shd w:val="clear" w:color="auto" w:fill="FFFFFF"/>
      <w:lang w:val="x-none" w:eastAsia="ru-RU"/>
    </w:rPr>
  </w:style>
  <w:style w:type="paragraph" w:styleId="ae">
    <w:name w:val="caption"/>
    <w:basedOn w:val="a"/>
    <w:next w:val="a"/>
    <w:uiPriority w:val="99"/>
    <w:unhideWhenUsed/>
    <w:qFormat/>
    <w:pPr>
      <w:spacing w:line="240" w:lineRule="auto"/>
    </w:pPr>
    <w:rPr>
      <w:b/>
      <w:bCs/>
      <w:color w:val="4F81BD" w:themeColor="accent1"/>
      <w:sz w:val="18"/>
      <w:szCs w:val="18"/>
    </w:rPr>
  </w:style>
  <w:style w:type="paragraph" w:styleId="af">
    <w:name w:val="No Spacing"/>
    <w:link w:val="af0"/>
    <w:uiPriority w:val="99"/>
    <w:qFormat/>
    <w:pPr>
      <w:spacing w:after="0" w:line="240" w:lineRule="auto"/>
    </w:pPr>
    <w:rPr>
      <w:rFonts w:eastAsia="Times New Roman"/>
      <w:sz w:val="24"/>
      <w:szCs w:val="24"/>
      <w:lang w:eastAsia="ru-RU"/>
    </w:rPr>
  </w:style>
  <w:style w:type="paragraph" w:styleId="af1">
    <w:name w:val="footnote text"/>
    <w:aliases w:val="Текст сноски Знак Знак Знак Знак,Знак4 Знак,Знак4,Знак4 Знак1,Сноски доклада,nienie,Table_Footnote_last Знак1,Table_Footnote_last Знак Знак Знак Знак,Текст сноски Знак1 Зн,Знак31"/>
    <w:basedOn w:val="a"/>
    <w:link w:val="af2"/>
    <w:uiPriority w:val="99"/>
    <w:semiHidden/>
    <w:unhideWhenUsed/>
    <w:qFormat/>
    <w:pPr>
      <w:spacing w:after="0" w:line="240" w:lineRule="auto"/>
    </w:pPr>
    <w:rPr>
      <w:rFonts w:asciiTheme="minorHAnsi" w:hAnsiTheme="minorHAnsi" w:cstheme="minorBidi"/>
      <w:sz w:val="20"/>
      <w:szCs w:val="20"/>
    </w:rPr>
  </w:style>
  <w:style w:type="character" w:customStyle="1" w:styleId="af2">
    <w:name w:val="Текст сноски Знак"/>
    <w:aliases w:val="Текст сноски Знак Знак Знак Знак Знак,Знак4 Знак Знак,Знак4 Знак2,Знак4 Знак1 Знак,Сноски доклада Знак,nienie Знак,Table_Footnote_last Знак1 Знак,Table_Footnote_last Знак Знак Знак Знак Знак,Текст сноски Знак1 Зн Знак,Знак31 Знак"/>
    <w:basedOn w:val="a0"/>
    <w:link w:val="af1"/>
    <w:uiPriority w:val="99"/>
    <w:semiHidden/>
    <w:rPr>
      <w:rFonts w:asciiTheme="minorHAnsi" w:hAnsiTheme="minorHAnsi" w:cstheme="minorBidi"/>
      <w:sz w:val="20"/>
      <w:szCs w:val="20"/>
    </w:rPr>
  </w:style>
  <w:style w:type="character" w:styleId="af3">
    <w:name w:val="footnote reference"/>
    <w:aliases w:val="Текст сновски,fr,Ciae niinee I,Footnotes refss,Знак сноски 1,Знак сноски-FN,Ciae niinee-FN,Appel note de bas de page,Referencia nota al pie,Footnote Reference Superscript,Footnote Reference Arial,BVI fnr,SUPERS,Footnote symbol"/>
    <w:basedOn w:val="a0"/>
    <w:uiPriority w:val="99"/>
    <w:semiHidden/>
    <w:unhideWhenUsed/>
    <w:rPr>
      <w:vertAlign w:val="superscript"/>
    </w:rPr>
  </w:style>
  <w:style w:type="paragraph" w:customStyle="1" w:styleId="ConsPlusNormal">
    <w:name w:val="ConsPlusNormal"/>
    <w:link w:val="ConsPlusNormal0"/>
    <w:pPr>
      <w:autoSpaceDE w:val="0"/>
      <w:autoSpaceDN w:val="0"/>
      <w:adjustRightInd w:val="0"/>
      <w:spacing w:after="0" w:line="240" w:lineRule="auto"/>
    </w:pPr>
    <w:rPr>
      <w:b/>
      <w:bCs/>
    </w:rPr>
  </w:style>
  <w:style w:type="paragraph" w:styleId="af4">
    <w:name w:val="Body Text Indent"/>
    <w:basedOn w:val="a"/>
    <w:link w:val="af5"/>
    <w:uiPriority w:val="99"/>
    <w:pPr>
      <w:spacing w:after="0" w:line="240" w:lineRule="auto"/>
      <w:ind w:firstLine="851"/>
      <w:jc w:val="both"/>
    </w:pPr>
    <w:rPr>
      <w:rFonts w:eastAsia="Times New Roman"/>
      <w:sz w:val="28"/>
      <w:szCs w:val="20"/>
      <w:lang w:eastAsia="ru-RU"/>
    </w:rPr>
  </w:style>
  <w:style w:type="character" w:customStyle="1" w:styleId="af5">
    <w:name w:val="Основной текст с отступом Знак"/>
    <w:basedOn w:val="a0"/>
    <w:link w:val="af4"/>
    <w:uiPriority w:val="99"/>
    <w:rPr>
      <w:rFonts w:eastAsia="Times New Roman"/>
      <w:sz w:val="28"/>
      <w:szCs w:val="20"/>
      <w:lang w:eastAsia="ru-RU"/>
    </w:rPr>
  </w:style>
  <w:style w:type="character" w:customStyle="1" w:styleId="a7">
    <w:name w:val="Абзац списка Знак"/>
    <w:aliases w:val="Абзац списка для документа Знак,Маркер Знак,Содержание. 2 уровень Знак,ПАРАГРАФ Знак,Абзац списка3 Знак,Bullet 1 Знак,Use Case List Paragraph Знак,ТЗ список Знак,Абзац списка литеральный Знак,Булет1 Знак,1Булет Знак,it_List1 Знак"/>
    <w:link w:val="a6"/>
    <w:uiPriority w:val="34"/>
    <w:qFormat/>
    <w:locked/>
    <w:rPr>
      <w:rFonts w:ascii="Calibri" w:eastAsia="Calibri" w:hAnsi="Calibri"/>
      <w:sz w:val="22"/>
      <w:szCs w:val="22"/>
    </w:rPr>
  </w:style>
  <w:style w:type="paragraph" w:styleId="af6">
    <w:name w:val="Normal (Web)"/>
    <w:aliases w:val="Обычный (Web) Знак,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w:basedOn w:val="a"/>
    <w:link w:val="af7"/>
    <w:uiPriority w:val="99"/>
    <w:qFormat/>
    <w:pPr>
      <w:spacing w:before="100" w:beforeAutospacing="1" w:after="100" w:afterAutospacing="1" w:line="240" w:lineRule="auto"/>
      <w:jc w:val="both"/>
    </w:pPr>
    <w:rPr>
      <w:rFonts w:eastAsia="Times New Roman"/>
      <w:sz w:val="24"/>
      <w:szCs w:val="24"/>
      <w:lang w:val="x-none" w:eastAsia="x-none"/>
    </w:rPr>
  </w:style>
  <w:style w:type="character" w:customStyle="1" w:styleId="af7">
    <w:name w:val="Обычный (веб) Знак"/>
    <w:aliases w:val="Обычный (Web) Знак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link w:val="af6"/>
    <w:uiPriority w:val="99"/>
    <w:locked/>
    <w:rPr>
      <w:rFonts w:eastAsia="Times New Roman"/>
      <w:sz w:val="24"/>
      <w:szCs w:val="24"/>
      <w:lang w:val="x-none" w:eastAsia="x-none"/>
    </w:rPr>
  </w:style>
  <w:style w:type="character" w:styleId="af8">
    <w:name w:val="Strong"/>
    <w:qFormat/>
    <w:rPr>
      <w:b/>
      <w:bCs/>
    </w:rPr>
  </w:style>
  <w:style w:type="paragraph" w:customStyle="1" w:styleId="Style42">
    <w:name w:val="Style42"/>
    <w:basedOn w:val="a"/>
    <w:pPr>
      <w:spacing w:after="0" w:line="278" w:lineRule="exact"/>
      <w:jc w:val="both"/>
    </w:pPr>
    <w:rPr>
      <w:rFonts w:eastAsia="Times New Roman"/>
      <w:sz w:val="20"/>
      <w:szCs w:val="20"/>
      <w:lang w:eastAsia="ru-RU"/>
    </w:rPr>
  </w:style>
  <w:style w:type="character" w:customStyle="1" w:styleId="CharStyle3">
    <w:name w:val="CharStyle3"/>
    <w:rPr>
      <w:rFonts w:ascii="Times New Roman" w:eastAsia="Times New Roman" w:hAnsi="Times New Roman" w:cs="Times New Roman"/>
      <w:b w:val="0"/>
      <w:bCs w:val="0"/>
      <w:i w:val="0"/>
      <w:iCs w:val="0"/>
      <w:smallCaps w:val="0"/>
      <w:sz w:val="22"/>
      <w:szCs w:val="22"/>
    </w:rPr>
  </w:style>
  <w:style w:type="paragraph" w:customStyle="1" w:styleId="Pa5">
    <w:name w:val="Pa5"/>
    <w:basedOn w:val="a"/>
    <w:next w:val="a"/>
    <w:uiPriority w:val="99"/>
    <w:pPr>
      <w:autoSpaceDE w:val="0"/>
      <w:autoSpaceDN w:val="0"/>
      <w:adjustRightInd w:val="0"/>
      <w:spacing w:after="0" w:line="241" w:lineRule="atLeast"/>
    </w:pPr>
    <w:rPr>
      <w:rFonts w:ascii="Octava" w:hAnsi="Octava" w:cstheme="minorBidi"/>
      <w:sz w:val="24"/>
      <w:szCs w:val="24"/>
    </w:rPr>
  </w:style>
  <w:style w:type="character" w:customStyle="1" w:styleId="af0">
    <w:name w:val="Без интервала Знак"/>
    <w:basedOn w:val="a0"/>
    <w:link w:val="af"/>
    <w:uiPriority w:val="99"/>
    <w:locked/>
    <w:rPr>
      <w:rFonts w:eastAsia="Times New Roman"/>
      <w:sz w:val="24"/>
      <w:szCs w:val="24"/>
      <w:lang w:eastAsia="ru-RU"/>
    </w:rPr>
  </w:style>
  <w:style w:type="character" w:customStyle="1" w:styleId="10">
    <w:name w:val="Заголовок 1 Знак"/>
    <w:basedOn w:val="a0"/>
    <w:link w:val="1"/>
    <w:rPr>
      <w:rFonts w:asciiTheme="majorHAnsi" w:eastAsiaTheme="majorEastAsia" w:hAnsiTheme="majorHAnsi" w:cstheme="majorBidi"/>
      <w:b/>
      <w:bCs/>
      <w:color w:val="365F91" w:themeColor="accent1" w:themeShade="BF"/>
      <w:sz w:val="28"/>
      <w:szCs w:val="28"/>
    </w:rPr>
  </w:style>
  <w:style w:type="character" w:customStyle="1" w:styleId="ConsPlusNormal0">
    <w:name w:val="ConsPlusNormal Знак"/>
    <w:link w:val="ConsPlusNormal"/>
    <w:locked/>
    <w:rPr>
      <w:b/>
      <w:bCs/>
    </w:rPr>
  </w:style>
  <w:style w:type="paragraph" w:styleId="af9">
    <w:name w:val="Body Text"/>
    <w:basedOn w:val="a"/>
    <w:link w:val="afa"/>
    <w:uiPriority w:val="99"/>
    <w:unhideWhenUsed/>
    <w:pPr>
      <w:spacing w:after="120"/>
    </w:pPr>
  </w:style>
  <w:style w:type="character" w:customStyle="1" w:styleId="afa">
    <w:name w:val="Основной текст Знак"/>
    <w:basedOn w:val="a0"/>
    <w:link w:val="af9"/>
    <w:uiPriority w:val="99"/>
    <w:semiHidden/>
  </w:style>
  <w:style w:type="paragraph" w:customStyle="1" w:styleId="afb">
    <w:name w:val="Текст док"/>
    <w:basedOn w:val="a"/>
    <w:link w:val="afc"/>
    <w:pPr>
      <w:suppressAutoHyphens/>
      <w:spacing w:after="0" w:line="240" w:lineRule="auto"/>
      <w:ind w:firstLine="709"/>
      <w:jc w:val="both"/>
    </w:pPr>
    <w:rPr>
      <w:rFonts w:eastAsia="Times New Roman" w:cs="Calibri"/>
      <w:sz w:val="28"/>
      <w:szCs w:val="20"/>
      <w:lang w:eastAsia="ar-SA"/>
    </w:rPr>
  </w:style>
  <w:style w:type="paragraph" w:customStyle="1" w:styleId="21">
    <w:name w:val="Основной текст2"/>
    <w:basedOn w:val="a"/>
    <w:uiPriority w:val="99"/>
    <w:pPr>
      <w:shd w:val="clear" w:color="auto" w:fill="FFFFFF"/>
      <w:spacing w:after="60" w:line="298" w:lineRule="exact"/>
      <w:jc w:val="both"/>
    </w:pPr>
    <w:rPr>
      <w:rFonts w:eastAsia="Times New Roman"/>
      <w:sz w:val="24"/>
      <w:szCs w:val="24"/>
      <w:lang w:eastAsia="ru-RU"/>
    </w:rPr>
  </w:style>
  <w:style w:type="character" w:customStyle="1" w:styleId="30">
    <w:name w:val="Заголовок 3 Знак"/>
    <w:basedOn w:val="a0"/>
    <w:link w:val="3"/>
    <w:uiPriority w:val="9"/>
    <w:semiHidden/>
    <w:rPr>
      <w:rFonts w:asciiTheme="majorHAnsi" w:eastAsiaTheme="majorEastAsia" w:hAnsiTheme="majorHAnsi" w:cstheme="majorBidi"/>
      <w:b/>
      <w:bCs/>
      <w:color w:val="4F81BD" w:themeColor="accent1"/>
    </w:rPr>
  </w:style>
  <w:style w:type="table" w:styleId="afd">
    <w:name w:val="Table Grid"/>
    <w:basedOn w:val="a1"/>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Emphasis"/>
    <w:qFormat/>
    <w:rPr>
      <w:i/>
      <w:iCs/>
    </w:rPr>
  </w:style>
  <w:style w:type="table" w:customStyle="1" w:styleId="14">
    <w:name w:val="Сетка таблицы1"/>
    <w:basedOn w:val="a1"/>
    <w:next w:val="afd"/>
    <w:uiPriority w:val="59"/>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
    <w:name w:val="Нет списка1"/>
    <w:next w:val="a2"/>
    <w:uiPriority w:val="99"/>
    <w:semiHidden/>
    <w:unhideWhenUsed/>
  </w:style>
  <w:style w:type="character" w:customStyle="1" w:styleId="16">
    <w:name w:val="Основной текст Знак1"/>
    <w:basedOn w:val="a0"/>
    <w:uiPriority w:val="99"/>
    <w:locked/>
    <w:rPr>
      <w:rFonts w:cs="Times New Roman"/>
      <w:shd w:val="clear" w:color="auto" w:fill="FFFFFF"/>
    </w:rPr>
  </w:style>
  <w:style w:type="character" w:customStyle="1" w:styleId="BodyTextChar1">
    <w:name w:val="Body Text Char1"/>
    <w:basedOn w:val="a0"/>
    <w:uiPriority w:val="99"/>
    <w:semiHidden/>
    <w:rPr>
      <w:lang w:eastAsia="en-US"/>
    </w:rPr>
  </w:style>
  <w:style w:type="character" w:customStyle="1" w:styleId="120">
    <w:name w:val="Заголовок №1 (2)_"/>
    <w:basedOn w:val="a0"/>
    <w:link w:val="121"/>
    <w:uiPriority w:val="99"/>
    <w:locked/>
    <w:rPr>
      <w:b/>
      <w:bCs/>
      <w:i/>
      <w:iCs/>
      <w:sz w:val="25"/>
      <w:szCs w:val="25"/>
      <w:shd w:val="clear" w:color="auto" w:fill="FFFFFF"/>
    </w:rPr>
  </w:style>
  <w:style w:type="character" w:customStyle="1" w:styleId="122">
    <w:name w:val="Заголовок №1 (2)"/>
    <w:basedOn w:val="120"/>
    <w:uiPriority w:val="99"/>
    <w:rPr>
      <w:b/>
      <w:bCs/>
      <w:i/>
      <w:iCs/>
      <w:sz w:val="25"/>
      <w:szCs w:val="25"/>
      <w:shd w:val="clear" w:color="auto" w:fill="FFFFFF"/>
    </w:rPr>
  </w:style>
  <w:style w:type="character" w:customStyle="1" w:styleId="4">
    <w:name w:val="Основной текст (4)_"/>
    <w:basedOn w:val="a0"/>
    <w:link w:val="41"/>
    <w:uiPriority w:val="99"/>
    <w:locked/>
    <w:rPr>
      <w:b/>
      <w:bCs/>
      <w:i/>
      <w:iCs/>
      <w:sz w:val="25"/>
      <w:szCs w:val="25"/>
      <w:shd w:val="clear" w:color="auto" w:fill="FFFFFF"/>
    </w:rPr>
  </w:style>
  <w:style w:type="character" w:customStyle="1" w:styleId="40">
    <w:name w:val="Основной текст (4)"/>
    <w:basedOn w:val="4"/>
    <w:uiPriority w:val="99"/>
    <w:rPr>
      <w:b/>
      <w:bCs/>
      <w:i/>
      <w:iCs/>
      <w:sz w:val="25"/>
      <w:szCs w:val="25"/>
      <w:shd w:val="clear" w:color="auto" w:fill="FFFFFF"/>
    </w:rPr>
  </w:style>
  <w:style w:type="paragraph" w:customStyle="1" w:styleId="121">
    <w:name w:val="Заголовок №1 (2)1"/>
    <w:basedOn w:val="a"/>
    <w:link w:val="120"/>
    <w:uiPriority w:val="99"/>
    <w:pPr>
      <w:shd w:val="clear" w:color="auto" w:fill="FFFFFF"/>
      <w:spacing w:after="240" w:line="298" w:lineRule="exact"/>
      <w:outlineLvl w:val="0"/>
    </w:pPr>
    <w:rPr>
      <w:b/>
      <w:bCs/>
      <w:i/>
      <w:iCs/>
      <w:sz w:val="25"/>
      <w:szCs w:val="25"/>
    </w:rPr>
  </w:style>
  <w:style w:type="paragraph" w:customStyle="1" w:styleId="41">
    <w:name w:val="Основной текст (4)1"/>
    <w:basedOn w:val="a"/>
    <w:link w:val="4"/>
    <w:uiPriority w:val="99"/>
    <w:pPr>
      <w:shd w:val="clear" w:color="auto" w:fill="FFFFFF"/>
      <w:spacing w:before="240" w:after="360" w:line="240" w:lineRule="atLeast"/>
    </w:pPr>
    <w:rPr>
      <w:b/>
      <w:bCs/>
      <w:i/>
      <w:iCs/>
      <w:sz w:val="25"/>
      <w:szCs w:val="25"/>
    </w:rPr>
  </w:style>
  <w:style w:type="table" w:customStyle="1" w:styleId="22">
    <w:name w:val="Сетка таблицы2"/>
    <w:basedOn w:val="a1"/>
    <w:next w:val="afd"/>
    <w:uiPriority w:val="59"/>
    <w:pPr>
      <w:spacing w:after="0"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annotation reference"/>
    <w:basedOn w:val="a0"/>
    <w:uiPriority w:val="99"/>
    <w:semiHidden/>
    <w:rPr>
      <w:rFonts w:cs="Times New Roman"/>
      <w:sz w:val="16"/>
      <w:szCs w:val="16"/>
    </w:rPr>
  </w:style>
  <w:style w:type="paragraph" w:customStyle="1" w:styleId="aff0">
    <w:name w:val="Стиль"/>
    <w:uiPriority w:val="99"/>
    <w:pPr>
      <w:widowControl w:val="0"/>
      <w:autoSpaceDE w:val="0"/>
      <w:autoSpaceDN w:val="0"/>
      <w:adjustRightInd w:val="0"/>
      <w:spacing w:after="0" w:line="240" w:lineRule="auto"/>
    </w:pPr>
    <w:rPr>
      <w:rFonts w:eastAsia="Times New Roman"/>
      <w:sz w:val="24"/>
      <w:szCs w:val="24"/>
      <w:lang w:eastAsia="ru-RU"/>
    </w:rPr>
  </w:style>
  <w:style w:type="paragraph" w:customStyle="1" w:styleId="Style23">
    <w:name w:val="Style23"/>
    <w:basedOn w:val="a"/>
    <w:uiPriority w:val="99"/>
    <w:pPr>
      <w:widowControl w:val="0"/>
      <w:autoSpaceDE w:val="0"/>
      <w:autoSpaceDN w:val="0"/>
      <w:adjustRightInd w:val="0"/>
      <w:spacing w:after="0" w:line="278" w:lineRule="exact"/>
      <w:ind w:firstLine="778"/>
      <w:jc w:val="both"/>
    </w:pPr>
    <w:rPr>
      <w:rFonts w:eastAsia="Times New Roman"/>
      <w:sz w:val="24"/>
      <w:szCs w:val="24"/>
      <w:lang w:eastAsia="ru-RU"/>
    </w:rPr>
  </w:style>
  <w:style w:type="paragraph" w:customStyle="1" w:styleId="Normal1">
    <w:name w:val="Normal1"/>
    <w:uiPriority w:val="99"/>
    <w:pPr>
      <w:spacing w:after="0" w:line="240" w:lineRule="auto"/>
      <w:jc w:val="both"/>
    </w:pPr>
    <w:rPr>
      <w:rFonts w:eastAsia="Times New Roman"/>
      <w:sz w:val="20"/>
      <w:szCs w:val="20"/>
      <w:lang w:eastAsia="ru-RU"/>
    </w:rPr>
  </w:style>
  <w:style w:type="character" w:customStyle="1" w:styleId="aff1">
    <w:name w:val="Основной текст + Полужирный"/>
    <w:aliases w:val="Интервал 0 pt21"/>
    <w:uiPriority w:val="99"/>
    <w:rPr>
      <w:rFonts w:ascii="Times New Roman" w:hAnsi="Times New Roman"/>
      <w:b/>
      <w:sz w:val="26"/>
      <w:shd w:val="clear" w:color="auto" w:fill="FFFFFF"/>
    </w:rPr>
  </w:style>
  <w:style w:type="character" w:customStyle="1" w:styleId="aff2">
    <w:name w:val="Основной текст + Курсив"/>
    <w:uiPriority w:val="99"/>
    <w:rPr>
      <w:rFonts w:ascii="Times New Roman" w:hAnsi="Times New Roman"/>
      <w:i/>
      <w:spacing w:val="0"/>
      <w:sz w:val="25"/>
      <w:shd w:val="clear" w:color="auto" w:fill="FFFFFF"/>
    </w:rPr>
  </w:style>
  <w:style w:type="character" w:customStyle="1" w:styleId="9">
    <w:name w:val="Основной текст (9) + Не курсив"/>
    <w:uiPriority w:val="99"/>
    <w:rPr>
      <w:rFonts w:ascii="Times New Roman" w:hAnsi="Times New Roman"/>
      <w:i/>
      <w:spacing w:val="0"/>
      <w:sz w:val="25"/>
    </w:rPr>
  </w:style>
  <w:style w:type="paragraph" w:customStyle="1" w:styleId="42">
    <w:name w:val="Основной текст4"/>
    <w:basedOn w:val="a"/>
    <w:uiPriority w:val="99"/>
    <w:pPr>
      <w:shd w:val="clear" w:color="auto" w:fill="FFFFFF"/>
      <w:spacing w:before="240" w:after="360" w:line="240" w:lineRule="atLeast"/>
      <w:ind w:hanging="360"/>
    </w:pPr>
    <w:rPr>
      <w:rFonts w:eastAsia="Times New Roman"/>
      <w:color w:val="000000"/>
      <w:sz w:val="25"/>
      <w:szCs w:val="25"/>
      <w:lang w:eastAsia="ru-RU"/>
    </w:rPr>
  </w:style>
  <w:style w:type="paragraph" w:customStyle="1" w:styleId="ConsPlusCell">
    <w:name w:val="ConsPlusCell"/>
    <w:uiPriority w:val="99"/>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23">
    <w:name w:val="Body Text 2"/>
    <w:basedOn w:val="a"/>
    <w:link w:val="24"/>
    <w:uiPriority w:val="99"/>
    <w:pPr>
      <w:spacing w:after="120" w:line="480" w:lineRule="auto"/>
      <w:jc w:val="both"/>
    </w:pPr>
    <w:rPr>
      <w:rFonts w:ascii="Calibri" w:eastAsia="Calibri" w:hAnsi="Calibri"/>
      <w:sz w:val="22"/>
      <w:szCs w:val="22"/>
    </w:rPr>
  </w:style>
  <w:style w:type="character" w:customStyle="1" w:styleId="24">
    <w:name w:val="Основной текст 2 Знак"/>
    <w:basedOn w:val="a0"/>
    <w:link w:val="23"/>
    <w:uiPriority w:val="99"/>
    <w:rPr>
      <w:rFonts w:ascii="Calibri" w:eastAsia="Calibri" w:hAnsi="Calibri"/>
      <w:sz w:val="22"/>
      <w:szCs w:val="22"/>
    </w:rPr>
  </w:style>
  <w:style w:type="paragraph" w:customStyle="1" w:styleId="ConsPlusNonformat">
    <w:name w:val="ConsPlusNonformat"/>
    <w:pPr>
      <w:widowControl w:val="0"/>
      <w:spacing w:after="0" w:line="240" w:lineRule="auto"/>
      <w:jc w:val="both"/>
    </w:pPr>
    <w:rPr>
      <w:rFonts w:ascii="Courier New" w:eastAsia="Calibri" w:hAnsi="Courier New"/>
      <w:sz w:val="20"/>
      <w:szCs w:val="20"/>
      <w:lang w:eastAsia="ru-RU"/>
    </w:rPr>
  </w:style>
  <w:style w:type="character" w:customStyle="1" w:styleId="apple-converted-space">
    <w:name w:val="apple-converted-space"/>
    <w:uiPriority w:val="99"/>
  </w:style>
  <w:style w:type="paragraph" w:customStyle="1" w:styleId="aff3">
    <w:name w:val="Знак"/>
    <w:basedOn w:val="a"/>
    <w:uiPriority w:val="99"/>
    <w:pPr>
      <w:spacing w:after="160" w:line="240" w:lineRule="exact"/>
    </w:pPr>
    <w:rPr>
      <w:rFonts w:ascii="Verdana" w:eastAsia="Times New Roman" w:hAnsi="Verdana"/>
      <w:sz w:val="20"/>
      <w:szCs w:val="20"/>
      <w:lang w:val="en-US"/>
    </w:rPr>
  </w:style>
  <w:style w:type="character" w:customStyle="1" w:styleId="25">
    <w:name w:val="Заголовок №2_"/>
    <w:link w:val="26"/>
    <w:uiPriority w:val="99"/>
    <w:locked/>
    <w:rPr>
      <w:rFonts w:ascii="Century Schoolbook" w:hAnsi="Century Schoolbook"/>
      <w:i/>
      <w:shd w:val="clear" w:color="auto" w:fill="FFFFFF"/>
    </w:rPr>
  </w:style>
  <w:style w:type="paragraph" w:customStyle="1" w:styleId="26">
    <w:name w:val="Заголовок №2"/>
    <w:basedOn w:val="a"/>
    <w:link w:val="25"/>
    <w:uiPriority w:val="99"/>
    <w:pPr>
      <w:widowControl w:val="0"/>
      <w:shd w:val="clear" w:color="auto" w:fill="FFFFFF"/>
      <w:spacing w:before="360" w:after="360" w:line="240" w:lineRule="atLeast"/>
      <w:ind w:hanging="320"/>
      <w:jc w:val="both"/>
      <w:outlineLvl w:val="1"/>
    </w:pPr>
    <w:rPr>
      <w:rFonts w:ascii="Century Schoolbook" w:hAnsi="Century Schoolbook"/>
      <w:i/>
    </w:rPr>
  </w:style>
  <w:style w:type="character" w:customStyle="1" w:styleId="17">
    <w:name w:val="Заголовок №1_"/>
    <w:basedOn w:val="a0"/>
    <w:link w:val="110"/>
    <w:uiPriority w:val="99"/>
    <w:locked/>
    <w:rPr>
      <w:b/>
      <w:bCs/>
      <w:shd w:val="clear" w:color="auto" w:fill="FFFFFF"/>
    </w:rPr>
  </w:style>
  <w:style w:type="character" w:customStyle="1" w:styleId="19">
    <w:name w:val="Заголовок №19"/>
    <w:basedOn w:val="17"/>
    <w:uiPriority w:val="99"/>
    <w:rPr>
      <w:b/>
      <w:bCs/>
      <w:shd w:val="clear" w:color="auto" w:fill="FFFFFF"/>
    </w:rPr>
  </w:style>
  <w:style w:type="character" w:customStyle="1" w:styleId="18">
    <w:name w:val="Заголовок №18"/>
    <w:basedOn w:val="17"/>
    <w:uiPriority w:val="99"/>
    <w:rPr>
      <w:b/>
      <w:bCs/>
      <w:noProof/>
      <w:shd w:val="clear" w:color="auto" w:fill="FFFFFF"/>
    </w:rPr>
  </w:style>
  <w:style w:type="character" w:customStyle="1" w:styleId="170">
    <w:name w:val="Заголовок №17"/>
    <w:basedOn w:val="17"/>
    <w:uiPriority w:val="99"/>
    <w:rPr>
      <w:b/>
      <w:bCs/>
      <w:shd w:val="clear" w:color="auto" w:fill="FFFFFF"/>
    </w:rPr>
  </w:style>
  <w:style w:type="character" w:customStyle="1" w:styleId="160">
    <w:name w:val="Заголовок №16"/>
    <w:basedOn w:val="17"/>
    <w:uiPriority w:val="99"/>
    <w:rPr>
      <w:b/>
      <w:bCs/>
      <w:noProof/>
      <w:shd w:val="clear" w:color="auto" w:fill="FFFFFF"/>
    </w:rPr>
  </w:style>
  <w:style w:type="character" w:customStyle="1" w:styleId="150">
    <w:name w:val="Заголовок №15"/>
    <w:basedOn w:val="17"/>
    <w:uiPriority w:val="99"/>
    <w:rPr>
      <w:b/>
      <w:bCs/>
      <w:shd w:val="clear" w:color="auto" w:fill="FFFFFF"/>
    </w:rPr>
  </w:style>
  <w:style w:type="character" w:customStyle="1" w:styleId="140">
    <w:name w:val="Заголовок №14"/>
    <w:basedOn w:val="17"/>
    <w:uiPriority w:val="99"/>
    <w:rPr>
      <w:b/>
      <w:bCs/>
      <w:noProof/>
      <w:shd w:val="clear" w:color="auto" w:fill="FFFFFF"/>
    </w:rPr>
  </w:style>
  <w:style w:type="paragraph" w:customStyle="1" w:styleId="110">
    <w:name w:val="Заголовок №11"/>
    <w:basedOn w:val="a"/>
    <w:link w:val="17"/>
    <w:uiPriority w:val="99"/>
    <w:pPr>
      <w:shd w:val="clear" w:color="auto" w:fill="FFFFFF"/>
      <w:spacing w:before="240" w:after="360" w:line="240" w:lineRule="atLeast"/>
      <w:outlineLvl w:val="0"/>
    </w:pPr>
    <w:rPr>
      <w:b/>
      <w:bCs/>
    </w:rPr>
  </w:style>
  <w:style w:type="paragraph" w:customStyle="1" w:styleId="ListParagraph3">
    <w:name w:val="List Paragraph3"/>
    <w:basedOn w:val="a"/>
    <w:pPr>
      <w:spacing w:after="0" w:line="240" w:lineRule="auto"/>
      <w:ind w:left="720"/>
      <w:contextualSpacing/>
    </w:pPr>
    <w:rPr>
      <w:rFonts w:ascii="Cambria" w:eastAsia="MS ??" w:hAnsi="Cambria"/>
      <w:sz w:val="24"/>
      <w:szCs w:val="24"/>
      <w:lang w:eastAsia="ru-RU"/>
    </w:rPr>
  </w:style>
  <w:style w:type="paragraph" w:styleId="aff4">
    <w:name w:val="Plain Text"/>
    <w:basedOn w:val="a"/>
    <w:link w:val="aff5"/>
    <w:uiPriority w:val="99"/>
    <w:unhideWhenUsed/>
    <w:pPr>
      <w:spacing w:after="0" w:line="240" w:lineRule="auto"/>
    </w:pPr>
    <w:rPr>
      <w:rFonts w:ascii="Consolas" w:eastAsia="Calibri" w:hAnsi="Consolas"/>
      <w:sz w:val="21"/>
      <w:szCs w:val="21"/>
      <w:lang w:eastAsia="ru-RU"/>
    </w:rPr>
  </w:style>
  <w:style w:type="character" w:customStyle="1" w:styleId="aff5">
    <w:name w:val="Текст Знак"/>
    <w:basedOn w:val="a0"/>
    <w:link w:val="aff4"/>
    <w:uiPriority w:val="99"/>
    <w:rPr>
      <w:rFonts w:ascii="Consolas" w:eastAsia="Calibri" w:hAnsi="Consolas"/>
      <w:sz w:val="21"/>
      <w:szCs w:val="21"/>
      <w:lang w:eastAsia="ru-RU"/>
    </w:rPr>
  </w:style>
  <w:style w:type="paragraph" w:styleId="aff6">
    <w:name w:val="TOC Heading"/>
    <w:basedOn w:val="1"/>
    <w:next w:val="a"/>
    <w:uiPriority w:val="39"/>
    <w:semiHidden/>
    <w:unhideWhenUsed/>
    <w:qFormat/>
    <w:pPr>
      <w:outlineLvl w:val="9"/>
    </w:pPr>
    <w:rPr>
      <w:lang w:eastAsia="ru-RU"/>
    </w:rPr>
  </w:style>
  <w:style w:type="paragraph" w:customStyle="1" w:styleId="210">
    <w:name w:val="Оглавление 21"/>
    <w:basedOn w:val="a"/>
    <w:next w:val="a"/>
    <w:autoRedefine/>
    <w:uiPriority w:val="39"/>
    <w:unhideWhenUsed/>
    <w:qFormat/>
    <w:locked/>
    <w:pPr>
      <w:spacing w:after="100"/>
      <w:ind w:left="220"/>
    </w:pPr>
    <w:rPr>
      <w:rFonts w:ascii="Calibri" w:eastAsia="Times New Roman" w:hAnsi="Calibri"/>
      <w:sz w:val="22"/>
      <w:szCs w:val="22"/>
      <w:lang w:eastAsia="ru-RU"/>
    </w:rPr>
  </w:style>
  <w:style w:type="paragraph" w:customStyle="1" w:styleId="111">
    <w:name w:val="Оглавление 11"/>
    <w:basedOn w:val="a"/>
    <w:next w:val="a"/>
    <w:autoRedefine/>
    <w:uiPriority w:val="39"/>
    <w:unhideWhenUsed/>
    <w:qFormat/>
    <w:locked/>
    <w:pPr>
      <w:spacing w:after="100"/>
    </w:pPr>
    <w:rPr>
      <w:rFonts w:ascii="Calibri" w:eastAsia="Times New Roman" w:hAnsi="Calibri"/>
      <w:sz w:val="22"/>
      <w:szCs w:val="22"/>
      <w:lang w:eastAsia="ru-RU"/>
    </w:rPr>
  </w:style>
  <w:style w:type="paragraph" w:customStyle="1" w:styleId="31">
    <w:name w:val="Оглавление 31"/>
    <w:basedOn w:val="a"/>
    <w:next w:val="a"/>
    <w:autoRedefine/>
    <w:uiPriority w:val="39"/>
    <w:unhideWhenUsed/>
    <w:qFormat/>
    <w:locked/>
    <w:pPr>
      <w:spacing w:after="100"/>
      <w:ind w:left="440"/>
    </w:pPr>
    <w:rPr>
      <w:rFonts w:ascii="Calibri" w:eastAsia="Times New Roman" w:hAnsi="Calibri"/>
      <w:sz w:val="22"/>
      <w:szCs w:val="22"/>
      <w:lang w:eastAsia="ru-RU"/>
    </w:rPr>
  </w:style>
  <w:style w:type="paragraph" w:customStyle="1" w:styleId="Pa8">
    <w:name w:val="Pa8"/>
    <w:basedOn w:val="a"/>
    <w:next w:val="a"/>
    <w:uiPriority w:val="99"/>
    <w:pPr>
      <w:autoSpaceDE w:val="0"/>
      <w:autoSpaceDN w:val="0"/>
      <w:adjustRightInd w:val="0"/>
      <w:spacing w:after="0" w:line="161" w:lineRule="atLeast"/>
    </w:pPr>
    <w:rPr>
      <w:rFonts w:ascii="Octava" w:hAnsi="Octava"/>
      <w:sz w:val="24"/>
      <w:szCs w:val="24"/>
    </w:rPr>
  </w:style>
  <w:style w:type="paragraph" w:styleId="aff7">
    <w:name w:val="Title"/>
    <w:basedOn w:val="a"/>
    <w:link w:val="aff8"/>
    <w:qFormat/>
    <w:pPr>
      <w:spacing w:after="0" w:line="240" w:lineRule="auto"/>
      <w:jc w:val="center"/>
    </w:pPr>
    <w:rPr>
      <w:rFonts w:eastAsia="Times New Roman"/>
      <w:sz w:val="32"/>
      <w:lang w:eastAsia="ru-RU"/>
    </w:rPr>
  </w:style>
  <w:style w:type="character" w:customStyle="1" w:styleId="aff8">
    <w:name w:val="Название Знак"/>
    <w:basedOn w:val="a0"/>
    <w:link w:val="aff7"/>
    <w:rPr>
      <w:rFonts w:eastAsia="Times New Roman"/>
      <w:sz w:val="32"/>
      <w:lang w:eastAsia="ru-RU"/>
    </w:rPr>
  </w:style>
  <w:style w:type="paragraph" w:styleId="aff9">
    <w:name w:val="annotation text"/>
    <w:basedOn w:val="a"/>
    <w:link w:val="affa"/>
    <w:uiPriority w:val="99"/>
    <w:unhideWhenUsed/>
    <w:pPr>
      <w:spacing w:line="240" w:lineRule="auto"/>
    </w:pPr>
    <w:rPr>
      <w:sz w:val="20"/>
      <w:szCs w:val="20"/>
    </w:rPr>
  </w:style>
  <w:style w:type="character" w:customStyle="1" w:styleId="affa">
    <w:name w:val="Текст примечания Знак"/>
    <w:basedOn w:val="a0"/>
    <w:link w:val="aff9"/>
    <w:uiPriority w:val="99"/>
    <w:rPr>
      <w:sz w:val="20"/>
      <w:szCs w:val="20"/>
    </w:rPr>
  </w:style>
  <w:style w:type="paragraph" w:styleId="affb">
    <w:name w:val="annotation subject"/>
    <w:basedOn w:val="aff9"/>
    <w:next w:val="aff9"/>
    <w:link w:val="affc"/>
    <w:uiPriority w:val="99"/>
    <w:semiHidden/>
    <w:unhideWhenUsed/>
    <w:rPr>
      <w:b/>
      <w:bCs/>
    </w:rPr>
  </w:style>
  <w:style w:type="character" w:customStyle="1" w:styleId="affc">
    <w:name w:val="Тема примечания Знак"/>
    <w:basedOn w:val="affa"/>
    <w:link w:val="affb"/>
    <w:uiPriority w:val="99"/>
    <w:semiHidden/>
    <w:rPr>
      <w:b/>
      <w:bCs/>
      <w:sz w:val="20"/>
      <w:szCs w:val="20"/>
    </w:rPr>
  </w:style>
  <w:style w:type="paragraph" w:styleId="27">
    <w:name w:val="toc 2"/>
    <w:basedOn w:val="a"/>
    <w:next w:val="a"/>
    <w:autoRedefine/>
    <w:uiPriority w:val="39"/>
    <w:unhideWhenUsed/>
    <w:pPr>
      <w:spacing w:after="100"/>
      <w:ind w:left="426" w:hanging="142"/>
    </w:pPr>
  </w:style>
  <w:style w:type="paragraph" w:styleId="1a">
    <w:name w:val="toc 1"/>
    <w:basedOn w:val="a"/>
    <w:next w:val="a"/>
    <w:autoRedefine/>
    <w:uiPriority w:val="39"/>
    <w:semiHidden/>
    <w:unhideWhenUsed/>
    <w:pPr>
      <w:spacing w:after="100"/>
    </w:pPr>
  </w:style>
  <w:style w:type="paragraph" w:styleId="32">
    <w:name w:val="toc 3"/>
    <w:basedOn w:val="a"/>
    <w:next w:val="a"/>
    <w:autoRedefine/>
    <w:uiPriority w:val="39"/>
    <w:semiHidden/>
    <w:unhideWhenUsed/>
    <w:pPr>
      <w:spacing w:after="100"/>
      <w:ind w:left="520"/>
    </w:pPr>
  </w:style>
  <w:style w:type="paragraph" w:customStyle="1" w:styleId="Pa1">
    <w:name w:val="Pa1"/>
    <w:basedOn w:val="a"/>
    <w:next w:val="a"/>
    <w:uiPriority w:val="99"/>
    <w:pPr>
      <w:autoSpaceDE w:val="0"/>
      <w:autoSpaceDN w:val="0"/>
      <w:adjustRightInd w:val="0"/>
      <w:spacing w:after="0" w:line="241" w:lineRule="atLeast"/>
    </w:pPr>
    <w:rPr>
      <w:rFonts w:ascii="TextBookC" w:hAnsi="TextBookC" w:cstheme="minorBidi"/>
      <w:sz w:val="24"/>
      <w:szCs w:val="24"/>
    </w:rPr>
  </w:style>
  <w:style w:type="paragraph" w:customStyle="1" w:styleId="Pa6">
    <w:name w:val="Pa6"/>
    <w:basedOn w:val="a"/>
    <w:next w:val="a"/>
    <w:uiPriority w:val="99"/>
    <w:pPr>
      <w:autoSpaceDE w:val="0"/>
      <w:autoSpaceDN w:val="0"/>
      <w:adjustRightInd w:val="0"/>
      <w:spacing w:after="0" w:line="241" w:lineRule="atLeast"/>
    </w:pPr>
    <w:rPr>
      <w:rFonts w:ascii="TextBookC" w:hAnsi="TextBookC" w:cstheme="minorBidi"/>
      <w:sz w:val="24"/>
      <w:szCs w:val="24"/>
    </w:rPr>
  </w:style>
  <w:style w:type="paragraph" w:customStyle="1" w:styleId="Pa20">
    <w:name w:val="Pa20"/>
    <w:basedOn w:val="Default"/>
    <w:next w:val="Default"/>
    <w:uiPriority w:val="99"/>
    <w:pPr>
      <w:spacing w:line="181" w:lineRule="atLeast"/>
    </w:pPr>
    <w:rPr>
      <w:rFonts w:ascii="Octava" w:hAnsi="Octava" w:cstheme="minorBidi"/>
      <w:color w:val="auto"/>
    </w:rPr>
  </w:style>
  <w:style w:type="paragraph" w:customStyle="1" w:styleId="affd">
    <w:name w:val="Знак"/>
    <w:basedOn w:val="a"/>
    <w:pPr>
      <w:spacing w:after="160" w:line="240" w:lineRule="exact"/>
    </w:pPr>
    <w:rPr>
      <w:rFonts w:ascii="Verdana" w:eastAsia="Times New Roman" w:hAnsi="Verdana"/>
      <w:sz w:val="20"/>
      <w:szCs w:val="20"/>
      <w:lang w:val="en-US"/>
    </w:rPr>
  </w:style>
  <w:style w:type="paragraph" w:customStyle="1" w:styleId="1b">
    <w:name w:val="Обычный1"/>
    <w:pPr>
      <w:widowControl w:val="0"/>
      <w:spacing w:after="0" w:line="300" w:lineRule="auto"/>
      <w:ind w:firstLine="540"/>
      <w:jc w:val="both"/>
    </w:pPr>
    <w:rPr>
      <w:rFonts w:eastAsia="Times New Roman"/>
      <w:snapToGrid w:val="0"/>
      <w:sz w:val="24"/>
      <w:szCs w:val="20"/>
      <w:lang w:eastAsia="ru-RU"/>
    </w:rPr>
  </w:style>
  <w:style w:type="paragraph" w:customStyle="1" w:styleId="affe">
    <w:name w:val="Игорь"/>
    <w:basedOn w:val="a"/>
    <w:link w:val="afff"/>
    <w:uiPriority w:val="99"/>
    <w:pPr>
      <w:spacing w:after="0" w:line="240" w:lineRule="auto"/>
      <w:ind w:firstLine="709"/>
      <w:jc w:val="both"/>
    </w:pPr>
    <w:rPr>
      <w:rFonts w:eastAsia="Times New Roman"/>
      <w:color w:val="000080"/>
      <w:sz w:val="28"/>
      <w:szCs w:val="20"/>
      <w:lang w:eastAsia="ru-RU"/>
    </w:rPr>
  </w:style>
  <w:style w:type="character" w:customStyle="1" w:styleId="afff">
    <w:name w:val="Игорь Знак"/>
    <w:link w:val="affe"/>
    <w:uiPriority w:val="99"/>
    <w:rPr>
      <w:rFonts w:eastAsia="Times New Roman"/>
      <w:color w:val="000080"/>
      <w:sz w:val="28"/>
      <w:szCs w:val="20"/>
      <w:lang w:eastAsia="ru-RU"/>
    </w:rPr>
  </w:style>
  <w:style w:type="character" w:customStyle="1" w:styleId="afc">
    <w:name w:val="Текст док Знак"/>
    <w:link w:val="afb"/>
    <w:rPr>
      <w:rFonts w:eastAsia="Times New Roman" w:cs="Calibri"/>
      <w:sz w:val="28"/>
      <w:szCs w:val="20"/>
      <w:lang w:eastAsia="ar-SA"/>
    </w:rPr>
  </w:style>
  <w:style w:type="paragraph" w:customStyle="1" w:styleId="Pa2">
    <w:name w:val="Pa2"/>
    <w:basedOn w:val="Default"/>
    <w:next w:val="Default"/>
    <w:uiPriority w:val="99"/>
    <w:pPr>
      <w:spacing w:line="241" w:lineRule="atLeast"/>
    </w:pPr>
    <w:rPr>
      <w:rFonts w:ascii="Octava" w:hAnsi="Octava" w:cstheme="minorBidi"/>
      <w:color w:val="auto"/>
    </w:rPr>
  </w:style>
  <w:style w:type="character" w:customStyle="1" w:styleId="A90">
    <w:name w:val="A9"/>
    <w:uiPriority w:val="99"/>
    <w:rPr>
      <w:rFonts w:cs="Octava"/>
      <w:color w:val="000000"/>
      <w:sz w:val="30"/>
      <w:szCs w:val="30"/>
    </w:rPr>
  </w:style>
  <w:style w:type="paragraph" w:customStyle="1" w:styleId="Pa4">
    <w:name w:val="Pa4"/>
    <w:basedOn w:val="a"/>
    <w:next w:val="a"/>
    <w:uiPriority w:val="99"/>
    <w:pPr>
      <w:autoSpaceDE w:val="0"/>
      <w:autoSpaceDN w:val="0"/>
      <w:adjustRightInd w:val="0"/>
      <w:spacing w:after="0" w:line="241" w:lineRule="atLeast"/>
    </w:pPr>
    <w:rPr>
      <w:rFonts w:ascii="JournalC" w:hAnsi="JournalC" w:cstheme="minorBidi"/>
      <w:sz w:val="24"/>
      <w:szCs w:val="24"/>
    </w:rPr>
  </w:style>
  <w:style w:type="character" w:customStyle="1" w:styleId="extended-textshort">
    <w:name w:val="extended-text__short"/>
    <w:basedOn w:val="a0"/>
  </w:style>
  <w:style w:type="paragraph" w:customStyle="1" w:styleId="Pa3">
    <w:name w:val="Pa3"/>
    <w:basedOn w:val="a"/>
    <w:next w:val="a"/>
    <w:uiPriority w:val="99"/>
    <w:pPr>
      <w:autoSpaceDE w:val="0"/>
      <w:autoSpaceDN w:val="0"/>
      <w:adjustRightInd w:val="0"/>
      <w:spacing w:after="0" w:line="241" w:lineRule="atLeast"/>
    </w:pPr>
    <w:rPr>
      <w:rFonts w:ascii="Octava" w:eastAsia="Times New Roman" w:hAnsi="Octava"/>
      <w:sz w:val="24"/>
      <w:szCs w:val="24"/>
      <w:lang w:eastAsia="ru-RU"/>
    </w:rPr>
  </w:style>
  <w:style w:type="paragraph" w:customStyle="1" w:styleId="afff0">
    <w:name w:val="Знак"/>
    <w:basedOn w:val="a"/>
    <w:pPr>
      <w:spacing w:after="160" w:line="240" w:lineRule="exact"/>
    </w:pPr>
    <w:rPr>
      <w:rFonts w:ascii="Verdana" w:eastAsia="Times New Roman" w:hAnsi="Verdana"/>
      <w:sz w:val="20"/>
      <w:szCs w:val="20"/>
      <w:lang w:val="en-US"/>
    </w:rPr>
  </w:style>
  <w:style w:type="paragraph" w:customStyle="1" w:styleId="Pa11">
    <w:name w:val="Pa11"/>
    <w:basedOn w:val="a"/>
    <w:next w:val="a"/>
    <w:uiPriority w:val="99"/>
    <w:pPr>
      <w:autoSpaceDE w:val="0"/>
      <w:autoSpaceDN w:val="0"/>
      <w:adjustRightInd w:val="0"/>
      <w:spacing w:after="0" w:line="261" w:lineRule="atLeast"/>
    </w:pPr>
    <w:rPr>
      <w:rFonts w:ascii="Octava" w:hAnsi="Octava" w:cstheme="minorBidi"/>
      <w:sz w:val="24"/>
      <w:szCs w:val="24"/>
    </w:rPr>
  </w:style>
  <w:style w:type="character" w:customStyle="1" w:styleId="A80">
    <w:name w:val="A8"/>
    <w:uiPriority w:val="99"/>
    <w:rPr>
      <w:rFonts w:cs="Octava"/>
      <w:color w:val="000000"/>
      <w:sz w:val="20"/>
      <w:szCs w:val="20"/>
    </w:rPr>
  </w:style>
  <w:style w:type="character" w:customStyle="1" w:styleId="6">
    <w:name w:val="Основной текст (6)_"/>
    <w:link w:val="60"/>
    <w:locked/>
    <w:rPr>
      <w:b/>
      <w:bCs/>
      <w:shd w:val="clear" w:color="auto" w:fill="FFFFFF"/>
    </w:rPr>
  </w:style>
  <w:style w:type="paragraph" w:customStyle="1" w:styleId="60">
    <w:name w:val="Основной текст (6)"/>
    <w:basedOn w:val="a"/>
    <w:link w:val="6"/>
    <w:pPr>
      <w:widowControl w:val="0"/>
      <w:shd w:val="clear" w:color="auto" w:fill="FFFFFF"/>
      <w:spacing w:after="0" w:line="307" w:lineRule="exact"/>
      <w:jc w:val="center"/>
    </w:pPr>
    <w:rPr>
      <w:b/>
      <w:bCs/>
    </w:rPr>
  </w:style>
  <w:style w:type="character" w:customStyle="1" w:styleId="28">
    <w:name w:val="Основной текст (2)_"/>
    <w:basedOn w:val="a0"/>
    <w:link w:val="29"/>
    <w:locked/>
    <w:rPr>
      <w:rFonts w:ascii="Arial Narrow" w:eastAsia="Arial Narrow" w:hAnsi="Arial Narrow" w:cs="Arial Narrow"/>
      <w:shd w:val="clear" w:color="auto" w:fill="FFFFFF"/>
    </w:rPr>
  </w:style>
  <w:style w:type="paragraph" w:customStyle="1" w:styleId="29">
    <w:name w:val="Основной текст (2)"/>
    <w:basedOn w:val="a"/>
    <w:link w:val="28"/>
    <w:pPr>
      <w:widowControl w:val="0"/>
      <w:shd w:val="clear" w:color="auto" w:fill="FFFFFF"/>
      <w:spacing w:after="240" w:line="266" w:lineRule="exact"/>
      <w:jc w:val="both"/>
    </w:pPr>
    <w:rPr>
      <w:rFonts w:ascii="Arial Narrow" w:eastAsia="Arial Narrow" w:hAnsi="Arial Narrow" w:cs="Arial Narrow"/>
    </w:rPr>
  </w:style>
  <w:style w:type="paragraph" w:styleId="afff1">
    <w:name w:val="endnote text"/>
    <w:basedOn w:val="a"/>
    <w:link w:val="afff2"/>
    <w:uiPriority w:val="99"/>
    <w:semiHidden/>
    <w:unhideWhenUsed/>
    <w:pPr>
      <w:spacing w:after="0" w:line="240" w:lineRule="auto"/>
    </w:pPr>
    <w:rPr>
      <w:sz w:val="20"/>
      <w:szCs w:val="20"/>
    </w:rPr>
  </w:style>
  <w:style w:type="character" w:customStyle="1" w:styleId="afff2">
    <w:name w:val="Текст концевой сноски Знак"/>
    <w:basedOn w:val="a0"/>
    <w:link w:val="afff1"/>
    <w:uiPriority w:val="99"/>
    <w:semiHidden/>
    <w:rPr>
      <w:sz w:val="20"/>
      <w:szCs w:val="20"/>
    </w:rPr>
  </w:style>
  <w:style w:type="character" w:styleId="afff3">
    <w:name w:val="endnote reference"/>
    <w:basedOn w:val="a0"/>
    <w:uiPriority w:val="99"/>
    <w:semiHidden/>
    <w:unhideWhenUsed/>
    <w:rPr>
      <w:vertAlign w:val="superscript"/>
    </w:rPr>
  </w:style>
  <w:style w:type="paragraph" w:styleId="afff4">
    <w:name w:val="Document Map"/>
    <w:basedOn w:val="a"/>
    <w:link w:val="afff5"/>
    <w:uiPriority w:val="99"/>
    <w:semiHidden/>
    <w:unhideWhenUsed/>
    <w:pPr>
      <w:spacing w:after="0" w:line="240" w:lineRule="auto"/>
    </w:pPr>
    <w:rPr>
      <w:rFonts w:ascii="Tahoma" w:hAnsi="Tahoma" w:cs="Tahoma"/>
      <w:sz w:val="16"/>
      <w:szCs w:val="16"/>
    </w:rPr>
  </w:style>
  <w:style w:type="character" w:customStyle="1" w:styleId="afff5">
    <w:name w:val="Схема документа Знак"/>
    <w:basedOn w:val="a0"/>
    <w:link w:val="afff4"/>
    <w:uiPriority w:val="99"/>
    <w:semiHidden/>
    <w:rPr>
      <w:rFonts w:ascii="Tahoma" w:hAnsi="Tahoma" w:cs="Tahoma"/>
      <w:sz w:val="16"/>
      <w:szCs w:val="16"/>
    </w:rPr>
  </w:style>
  <w:style w:type="paragraph" w:customStyle="1" w:styleId="db9fe9049761426654245bb2dd862eecmsonormal">
    <w:name w:val="db9fe9049761426654245bb2dd862eecmsonormal"/>
    <w:basedOn w:val="a"/>
    <w:pPr>
      <w:spacing w:before="100" w:beforeAutospacing="1" w:after="100" w:afterAutospacing="1" w:line="240" w:lineRule="auto"/>
    </w:pPr>
    <w:rPr>
      <w:rFonts w:eastAsia="Times New Roman"/>
      <w:sz w:val="24"/>
      <w:szCs w:val="24"/>
      <w:lang w:eastAsia="ru-RU"/>
    </w:rPr>
  </w:style>
  <w:style w:type="paragraph" w:customStyle="1" w:styleId="paragraphscxw301626bcx0">
    <w:name w:val="paragraph scxw301626 bcx0"/>
    <w:basedOn w:val="a"/>
    <w:pPr>
      <w:spacing w:before="100" w:beforeAutospacing="1" w:after="100" w:afterAutospacing="1" w:line="240" w:lineRule="auto"/>
    </w:pPr>
    <w:rPr>
      <w:rFonts w:eastAsia="Times New Roman"/>
      <w:sz w:val="24"/>
      <w:szCs w:val="24"/>
      <w:lang w:eastAsia="ru-RU"/>
    </w:rPr>
  </w:style>
  <w:style w:type="character" w:customStyle="1" w:styleId="normaltextrunscxw301626bcx0">
    <w:name w:val="normaltextrun scxw301626 bcx0"/>
    <w:basedOn w:val="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73887">
      <w:bodyDiv w:val="1"/>
      <w:marLeft w:val="0"/>
      <w:marRight w:val="0"/>
      <w:marTop w:val="0"/>
      <w:marBottom w:val="0"/>
      <w:divBdr>
        <w:top w:val="none" w:sz="0" w:space="0" w:color="auto"/>
        <w:left w:val="none" w:sz="0" w:space="0" w:color="auto"/>
        <w:bottom w:val="none" w:sz="0" w:space="0" w:color="auto"/>
        <w:right w:val="none" w:sz="0" w:space="0" w:color="auto"/>
      </w:divBdr>
    </w:div>
    <w:div w:id="11421317">
      <w:bodyDiv w:val="1"/>
      <w:marLeft w:val="0"/>
      <w:marRight w:val="0"/>
      <w:marTop w:val="0"/>
      <w:marBottom w:val="0"/>
      <w:divBdr>
        <w:top w:val="none" w:sz="0" w:space="0" w:color="auto"/>
        <w:left w:val="none" w:sz="0" w:space="0" w:color="auto"/>
        <w:bottom w:val="none" w:sz="0" w:space="0" w:color="auto"/>
        <w:right w:val="none" w:sz="0" w:space="0" w:color="auto"/>
      </w:divBdr>
    </w:div>
    <w:div w:id="16590778">
      <w:bodyDiv w:val="1"/>
      <w:marLeft w:val="0"/>
      <w:marRight w:val="0"/>
      <w:marTop w:val="0"/>
      <w:marBottom w:val="0"/>
      <w:divBdr>
        <w:top w:val="none" w:sz="0" w:space="0" w:color="auto"/>
        <w:left w:val="none" w:sz="0" w:space="0" w:color="auto"/>
        <w:bottom w:val="none" w:sz="0" w:space="0" w:color="auto"/>
        <w:right w:val="none" w:sz="0" w:space="0" w:color="auto"/>
      </w:divBdr>
    </w:div>
    <w:div w:id="30301607">
      <w:bodyDiv w:val="1"/>
      <w:marLeft w:val="0"/>
      <w:marRight w:val="0"/>
      <w:marTop w:val="0"/>
      <w:marBottom w:val="0"/>
      <w:divBdr>
        <w:top w:val="none" w:sz="0" w:space="0" w:color="auto"/>
        <w:left w:val="none" w:sz="0" w:space="0" w:color="auto"/>
        <w:bottom w:val="none" w:sz="0" w:space="0" w:color="auto"/>
        <w:right w:val="none" w:sz="0" w:space="0" w:color="auto"/>
      </w:divBdr>
    </w:div>
    <w:div w:id="50010442">
      <w:bodyDiv w:val="1"/>
      <w:marLeft w:val="0"/>
      <w:marRight w:val="0"/>
      <w:marTop w:val="0"/>
      <w:marBottom w:val="0"/>
      <w:divBdr>
        <w:top w:val="none" w:sz="0" w:space="0" w:color="auto"/>
        <w:left w:val="none" w:sz="0" w:space="0" w:color="auto"/>
        <w:bottom w:val="none" w:sz="0" w:space="0" w:color="auto"/>
        <w:right w:val="none" w:sz="0" w:space="0" w:color="auto"/>
      </w:divBdr>
    </w:div>
    <w:div w:id="77607100">
      <w:bodyDiv w:val="1"/>
      <w:marLeft w:val="0"/>
      <w:marRight w:val="0"/>
      <w:marTop w:val="0"/>
      <w:marBottom w:val="0"/>
      <w:divBdr>
        <w:top w:val="none" w:sz="0" w:space="0" w:color="auto"/>
        <w:left w:val="none" w:sz="0" w:space="0" w:color="auto"/>
        <w:bottom w:val="none" w:sz="0" w:space="0" w:color="auto"/>
        <w:right w:val="none" w:sz="0" w:space="0" w:color="auto"/>
      </w:divBdr>
    </w:div>
    <w:div w:id="80882321">
      <w:bodyDiv w:val="1"/>
      <w:marLeft w:val="0"/>
      <w:marRight w:val="0"/>
      <w:marTop w:val="0"/>
      <w:marBottom w:val="0"/>
      <w:divBdr>
        <w:top w:val="none" w:sz="0" w:space="0" w:color="auto"/>
        <w:left w:val="none" w:sz="0" w:space="0" w:color="auto"/>
        <w:bottom w:val="none" w:sz="0" w:space="0" w:color="auto"/>
        <w:right w:val="none" w:sz="0" w:space="0" w:color="auto"/>
      </w:divBdr>
    </w:div>
    <w:div w:id="84233795">
      <w:bodyDiv w:val="1"/>
      <w:marLeft w:val="0"/>
      <w:marRight w:val="0"/>
      <w:marTop w:val="0"/>
      <w:marBottom w:val="0"/>
      <w:divBdr>
        <w:top w:val="none" w:sz="0" w:space="0" w:color="auto"/>
        <w:left w:val="none" w:sz="0" w:space="0" w:color="auto"/>
        <w:bottom w:val="none" w:sz="0" w:space="0" w:color="auto"/>
        <w:right w:val="none" w:sz="0" w:space="0" w:color="auto"/>
      </w:divBdr>
    </w:div>
    <w:div w:id="96025455">
      <w:bodyDiv w:val="1"/>
      <w:marLeft w:val="0"/>
      <w:marRight w:val="0"/>
      <w:marTop w:val="0"/>
      <w:marBottom w:val="0"/>
      <w:divBdr>
        <w:top w:val="none" w:sz="0" w:space="0" w:color="auto"/>
        <w:left w:val="none" w:sz="0" w:space="0" w:color="auto"/>
        <w:bottom w:val="none" w:sz="0" w:space="0" w:color="auto"/>
        <w:right w:val="none" w:sz="0" w:space="0" w:color="auto"/>
      </w:divBdr>
    </w:div>
    <w:div w:id="99686484">
      <w:bodyDiv w:val="1"/>
      <w:marLeft w:val="0"/>
      <w:marRight w:val="0"/>
      <w:marTop w:val="0"/>
      <w:marBottom w:val="0"/>
      <w:divBdr>
        <w:top w:val="none" w:sz="0" w:space="0" w:color="auto"/>
        <w:left w:val="none" w:sz="0" w:space="0" w:color="auto"/>
        <w:bottom w:val="none" w:sz="0" w:space="0" w:color="auto"/>
        <w:right w:val="none" w:sz="0" w:space="0" w:color="auto"/>
      </w:divBdr>
    </w:div>
    <w:div w:id="113792456">
      <w:bodyDiv w:val="1"/>
      <w:marLeft w:val="0"/>
      <w:marRight w:val="0"/>
      <w:marTop w:val="0"/>
      <w:marBottom w:val="0"/>
      <w:divBdr>
        <w:top w:val="none" w:sz="0" w:space="0" w:color="auto"/>
        <w:left w:val="none" w:sz="0" w:space="0" w:color="auto"/>
        <w:bottom w:val="none" w:sz="0" w:space="0" w:color="auto"/>
        <w:right w:val="none" w:sz="0" w:space="0" w:color="auto"/>
      </w:divBdr>
    </w:div>
    <w:div w:id="120849130">
      <w:bodyDiv w:val="1"/>
      <w:marLeft w:val="0"/>
      <w:marRight w:val="0"/>
      <w:marTop w:val="0"/>
      <w:marBottom w:val="0"/>
      <w:divBdr>
        <w:top w:val="none" w:sz="0" w:space="0" w:color="auto"/>
        <w:left w:val="none" w:sz="0" w:space="0" w:color="auto"/>
        <w:bottom w:val="none" w:sz="0" w:space="0" w:color="auto"/>
        <w:right w:val="none" w:sz="0" w:space="0" w:color="auto"/>
      </w:divBdr>
    </w:div>
    <w:div w:id="121582939">
      <w:bodyDiv w:val="1"/>
      <w:marLeft w:val="0"/>
      <w:marRight w:val="0"/>
      <w:marTop w:val="0"/>
      <w:marBottom w:val="0"/>
      <w:divBdr>
        <w:top w:val="none" w:sz="0" w:space="0" w:color="auto"/>
        <w:left w:val="none" w:sz="0" w:space="0" w:color="auto"/>
        <w:bottom w:val="none" w:sz="0" w:space="0" w:color="auto"/>
        <w:right w:val="none" w:sz="0" w:space="0" w:color="auto"/>
      </w:divBdr>
    </w:div>
    <w:div w:id="133377743">
      <w:bodyDiv w:val="1"/>
      <w:marLeft w:val="0"/>
      <w:marRight w:val="0"/>
      <w:marTop w:val="0"/>
      <w:marBottom w:val="0"/>
      <w:divBdr>
        <w:top w:val="none" w:sz="0" w:space="0" w:color="auto"/>
        <w:left w:val="none" w:sz="0" w:space="0" w:color="auto"/>
        <w:bottom w:val="none" w:sz="0" w:space="0" w:color="auto"/>
        <w:right w:val="none" w:sz="0" w:space="0" w:color="auto"/>
      </w:divBdr>
    </w:div>
    <w:div w:id="140927781">
      <w:bodyDiv w:val="1"/>
      <w:marLeft w:val="0"/>
      <w:marRight w:val="0"/>
      <w:marTop w:val="0"/>
      <w:marBottom w:val="0"/>
      <w:divBdr>
        <w:top w:val="none" w:sz="0" w:space="0" w:color="auto"/>
        <w:left w:val="none" w:sz="0" w:space="0" w:color="auto"/>
        <w:bottom w:val="none" w:sz="0" w:space="0" w:color="auto"/>
        <w:right w:val="none" w:sz="0" w:space="0" w:color="auto"/>
      </w:divBdr>
    </w:div>
    <w:div w:id="203644597">
      <w:bodyDiv w:val="1"/>
      <w:marLeft w:val="0"/>
      <w:marRight w:val="0"/>
      <w:marTop w:val="0"/>
      <w:marBottom w:val="0"/>
      <w:divBdr>
        <w:top w:val="none" w:sz="0" w:space="0" w:color="auto"/>
        <w:left w:val="none" w:sz="0" w:space="0" w:color="auto"/>
        <w:bottom w:val="none" w:sz="0" w:space="0" w:color="auto"/>
        <w:right w:val="none" w:sz="0" w:space="0" w:color="auto"/>
      </w:divBdr>
    </w:div>
    <w:div w:id="218058769">
      <w:bodyDiv w:val="1"/>
      <w:marLeft w:val="0"/>
      <w:marRight w:val="0"/>
      <w:marTop w:val="0"/>
      <w:marBottom w:val="0"/>
      <w:divBdr>
        <w:top w:val="none" w:sz="0" w:space="0" w:color="auto"/>
        <w:left w:val="none" w:sz="0" w:space="0" w:color="auto"/>
        <w:bottom w:val="none" w:sz="0" w:space="0" w:color="auto"/>
        <w:right w:val="none" w:sz="0" w:space="0" w:color="auto"/>
      </w:divBdr>
    </w:div>
    <w:div w:id="218712430">
      <w:bodyDiv w:val="1"/>
      <w:marLeft w:val="0"/>
      <w:marRight w:val="0"/>
      <w:marTop w:val="0"/>
      <w:marBottom w:val="0"/>
      <w:divBdr>
        <w:top w:val="none" w:sz="0" w:space="0" w:color="auto"/>
        <w:left w:val="none" w:sz="0" w:space="0" w:color="auto"/>
        <w:bottom w:val="none" w:sz="0" w:space="0" w:color="auto"/>
        <w:right w:val="none" w:sz="0" w:space="0" w:color="auto"/>
      </w:divBdr>
    </w:div>
    <w:div w:id="238295997">
      <w:bodyDiv w:val="1"/>
      <w:marLeft w:val="0"/>
      <w:marRight w:val="0"/>
      <w:marTop w:val="0"/>
      <w:marBottom w:val="0"/>
      <w:divBdr>
        <w:top w:val="none" w:sz="0" w:space="0" w:color="auto"/>
        <w:left w:val="none" w:sz="0" w:space="0" w:color="auto"/>
        <w:bottom w:val="none" w:sz="0" w:space="0" w:color="auto"/>
        <w:right w:val="none" w:sz="0" w:space="0" w:color="auto"/>
      </w:divBdr>
    </w:div>
    <w:div w:id="268587232">
      <w:bodyDiv w:val="1"/>
      <w:marLeft w:val="0"/>
      <w:marRight w:val="0"/>
      <w:marTop w:val="0"/>
      <w:marBottom w:val="0"/>
      <w:divBdr>
        <w:top w:val="none" w:sz="0" w:space="0" w:color="auto"/>
        <w:left w:val="none" w:sz="0" w:space="0" w:color="auto"/>
        <w:bottom w:val="none" w:sz="0" w:space="0" w:color="auto"/>
        <w:right w:val="none" w:sz="0" w:space="0" w:color="auto"/>
      </w:divBdr>
    </w:div>
    <w:div w:id="270283805">
      <w:bodyDiv w:val="1"/>
      <w:marLeft w:val="0"/>
      <w:marRight w:val="0"/>
      <w:marTop w:val="0"/>
      <w:marBottom w:val="0"/>
      <w:divBdr>
        <w:top w:val="none" w:sz="0" w:space="0" w:color="auto"/>
        <w:left w:val="none" w:sz="0" w:space="0" w:color="auto"/>
        <w:bottom w:val="none" w:sz="0" w:space="0" w:color="auto"/>
        <w:right w:val="none" w:sz="0" w:space="0" w:color="auto"/>
      </w:divBdr>
    </w:div>
    <w:div w:id="272565400">
      <w:bodyDiv w:val="1"/>
      <w:marLeft w:val="0"/>
      <w:marRight w:val="0"/>
      <w:marTop w:val="0"/>
      <w:marBottom w:val="0"/>
      <w:divBdr>
        <w:top w:val="none" w:sz="0" w:space="0" w:color="auto"/>
        <w:left w:val="none" w:sz="0" w:space="0" w:color="auto"/>
        <w:bottom w:val="none" w:sz="0" w:space="0" w:color="auto"/>
        <w:right w:val="none" w:sz="0" w:space="0" w:color="auto"/>
      </w:divBdr>
    </w:div>
    <w:div w:id="275984825">
      <w:bodyDiv w:val="1"/>
      <w:marLeft w:val="0"/>
      <w:marRight w:val="0"/>
      <w:marTop w:val="0"/>
      <w:marBottom w:val="0"/>
      <w:divBdr>
        <w:top w:val="none" w:sz="0" w:space="0" w:color="auto"/>
        <w:left w:val="none" w:sz="0" w:space="0" w:color="auto"/>
        <w:bottom w:val="none" w:sz="0" w:space="0" w:color="auto"/>
        <w:right w:val="none" w:sz="0" w:space="0" w:color="auto"/>
      </w:divBdr>
    </w:div>
    <w:div w:id="295378837">
      <w:bodyDiv w:val="1"/>
      <w:marLeft w:val="0"/>
      <w:marRight w:val="0"/>
      <w:marTop w:val="0"/>
      <w:marBottom w:val="0"/>
      <w:divBdr>
        <w:top w:val="none" w:sz="0" w:space="0" w:color="auto"/>
        <w:left w:val="none" w:sz="0" w:space="0" w:color="auto"/>
        <w:bottom w:val="none" w:sz="0" w:space="0" w:color="auto"/>
        <w:right w:val="none" w:sz="0" w:space="0" w:color="auto"/>
      </w:divBdr>
    </w:div>
    <w:div w:id="316107129">
      <w:bodyDiv w:val="1"/>
      <w:marLeft w:val="0"/>
      <w:marRight w:val="0"/>
      <w:marTop w:val="0"/>
      <w:marBottom w:val="0"/>
      <w:divBdr>
        <w:top w:val="none" w:sz="0" w:space="0" w:color="auto"/>
        <w:left w:val="none" w:sz="0" w:space="0" w:color="auto"/>
        <w:bottom w:val="none" w:sz="0" w:space="0" w:color="auto"/>
        <w:right w:val="none" w:sz="0" w:space="0" w:color="auto"/>
      </w:divBdr>
    </w:div>
    <w:div w:id="318385870">
      <w:bodyDiv w:val="1"/>
      <w:marLeft w:val="0"/>
      <w:marRight w:val="0"/>
      <w:marTop w:val="0"/>
      <w:marBottom w:val="0"/>
      <w:divBdr>
        <w:top w:val="none" w:sz="0" w:space="0" w:color="auto"/>
        <w:left w:val="none" w:sz="0" w:space="0" w:color="auto"/>
        <w:bottom w:val="none" w:sz="0" w:space="0" w:color="auto"/>
        <w:right w:val="none" w:sz="0" w:space="0" w:color="auto"/>
      </w:divBdr>
    </w:div>
    <w:div w:id="355739430">
      <w:bodyDiv w:val="1"/>
      <w:marLeft w:val="0"/>
      <w:marRight w:val="0"/>
      <w:marTop w:val="0"/>
      <w:marBottom w:val="0"/>
      <w:divBdr>
        <w:top w:val="none" w:sz="0" w:space="0" w:color="auto"/>
        <w:left w:val="none" w:sz="0" w:space="0" w:color="auto"/>
        <w:bottom w:val="none" w:sz="0" w:space="0" w:color="auto"/>
        <w:right w:val="none" w:sz="0" w:space="0" w:color="auto"/>
      </w:divBdr>
    </w:div>
    <w:div w:id="366029657">
      <w:bodyDiv w:val="1"/>
      <w:marLeft w:val="0"/>
      <w:marRight w:val="0"/>
      <w:marTop w:val="0"/>
      <w:marBottom w:val="0"/>
      <w:divBdr>
        <w:top w:val="none" w:sz="0" w:space="0" w:color="auto"/>
        <w:left w:val="none" w:sz="0" w:space="0" w:color="auto"/>
        <w:bottom w:val="none" w:sz="0" w:space="0" w:color="auto"/>
        <w:right w:val="none" w:sz="0" w:space="0" w:color="auto"/>
      </w:divBdr>
    </w:div>
    <w:div w:id="366876690">
      <w:bodyDiv w:val="1"/>
      <w:marLeft w:val="0"/>
      <w:marRight w:val="0"/>
      <w:marTop w:val="0"/>
      <w:marBottom w:val="0"/>
      <w:divBdr>
        <w:top w:val="none" w:sz="0" w:space="0" w:color="auto"/>
        <w:left w:val="none" w:sz="0" w:space="0" w:color="auto"/>
        <w:bottom w:val="none" w:sz="0" w:space="0" w:color="auto"/>
        <w:right w:val="none" w:sz="0" w:space="0" w:color="auto"/>
      </w:divBdr>
    </w:div>
    <w:div w:id="374693740">
      <w:bodyDiv w:val="1"/>
      <w:marLeft w:val="0"/>
      <w:marRight w:val="0"/>
      <w:marTop w:val="0"/>
      <w:marBottom w:val="0"/>
      <w:divBdr>
        <w:top w:val="none" w:sz="0" w:space="0" w:color="auto"/>
        <w:left w:val="none" w:sz="0" w:space="0" w:color="auto"/>
        <w:bottom w:val="none" w:sz="0" w:space="0" w:color="auto"/>
        <w:right w:val="none" w:sz="0" w:space="0" w:color="auto"/>
      </w:divBdr>
    </w:div>
    <w:div w:id="375156117">
      <w:bodyDiv w:val="1"/>
      <w:marLeft w:val="0"/>
      <w:marRight w:val="0"/>
      <w:marTop w:val="0"/>
      <w:marBottom w:val="0"/>
      <w:divBdr>
        <w:top w:val="none" w:sz="0" w:space="0" w:color="auto"/>
        <w:left w:val="none" w:sz="0" w:space="0" w:color="auto"/>
        <w:bottom w:val="none" w:sz="0" w:space="0" w:color="auto"/>
        <w:right w:val="none" w:sz="0" w:space="0" w:color="auto"/>
      </w:divBdr>
    </w:div>
    <w:div w:id="393239420">
      <w:bodyDiv w:val="1"/>
      <w:marLeft w:val="0"/>
      <w:marRight w:val="0"/>
      <w:marTop w:val="0"/>
      <w:marBottom w:val="0"/>
      <w:divBdr>
        <w:top w:val="none" w:sz="0" w:space="0" w:color="auto"/>
        <w:left w:val="none" w:sz="0" w:space="0" w:color="auto"/>
        <w:bottom w:val="none" w:sz="0" w:space="0" w:color="auto"/>
        <w:right w:val="none" w:sz="0" w:space="0" w:color="auto"/>
      </w:divBdr>
    </w:div>
    <w:div w:id="400762357">
      <w:bodyDiv w:val="1"/>
      <w:marLeft w:val="0"/>
      <w:marRight w:val="0"/>
      <w:marTop w:val="0"/>
      <w:marBottom w:val="0"/>
      <w:divBdr>
        <w:top w:val="none" w:sz="0" w:space="0" w:color="auto"/>
        <w:left w:val="none" w:sz="0" w:space="0" w:color="auto"/>
        <w:bottom w:val="none" w:sz="0" w:space="0" w:color="auto"/>
        <w:right w:val="none" w:sz="0" w:space="0" w:color="auto"/>
      </w:divBdr>
    </w:div>
    <w:div w:id="412093238">
      <w:bodyDiv w:val="1"/>
      <w:marLeft w:val="0"/>
      <w:marRight w:val="0"/>
      <w:marTop w:val="0"/>
      <w:marBottom w:val="0"/>
      <w:divBdr>
        <w:top w:val="none" w:sz="0" w:space="0" w:color="auto"/>
        <w:left w:val="none" w:sz="0" w:space="0" w:color="auto"/>
        <w:bottom w:val="none" w:sz="0" w:space="0" w:color="auto"/>
        <w:right w:val="none" w:sz="0" w:space="0" w:color="auto"/>
      </w:divBdr>
    </w:div>
    <w:div w:id="414086734">
      <w:bodyDiv w:val="1"/>
      <w:marLeft w:val="0"/>
      <w:marRight w:val="0"/>
      <w:marTop w:val="0"/>
      <w:marBottom w:val="0"/>
      <w:divBdr>
        <w:top w:val="none" w:sz="0" w:space="0" w:color="auto"/>
        <w:left w:val="none" w:sz="0" w:space="0" w:color="auto"/>
        <w:bottom w:val="none" w:sz="0" w:space="0" w:color="auto"/>
        <w:right w:val="none" w:sz="0" w:space="0" w:color="auto"/>
      </w:divBdr>
    </w:div>
    <w:div w:id="414205056">
      <w:bodyDiv w:val="1"/>
      <w:marLeft w:val="0"/>
      <w:marRight w:val="0"/>
      <w:marTop w:val="0"/>
      <w:marBottom w:val="0"/>
      <w:divBdr>
        <w:top w:val="none" w:sz="0" w:space="0" w:color="auto"/>
        <w:left w:val="none" w:sz="0" w:space="0" w:color="auto"/>
        <w:bottom w:val="none" w:sz="0" w:space="0" w:color="auto"/>
        <w:right w:val="none" w:sz="0" w:space="0" w:color="auto"/>
      </w:divBdr>
    </w:div>
    <w:div w:id="415253724">
      <w:bodyDiv w:val="1"/>
      <w:marLeft w:val="0"/>
      <w:marRight w:val="0"/>
      <w:marTop w:val="0"/>
      <w:marBottom w:val="0"/>
      <w:divBdr>
        <w:top w:val="none" w:sz="0" w:space="0" w:color="auto"/>
        <w:left w:val="none" w:sz="0" w:space="0" w:color="auto"/>
        <w:bottom w:val="none" w:sz="0" w:space="0" w:color="auto"/>
        <w:right w:val="none" w:sz="0" w:space="0" w:color="auto"/>
      </w:divBdr>
    </w:div>
    <w:div w:id="419369962">
      <w:bodyDiv w:val="1"/>
      <w:marLeft w:val="0"/>
      <w:marRight w:val="0"/>
      <w:marTop w:val="0"/>
      <w:marBottom w:val="0"/>
      <w:divBdr>
        <w:top w:val="none" w:sz="0" w:space="0" w:color="auto"/>
        <w:left w:val="none" w:sz="0" w:space="0" w:color="auto"/>
        <w:bottom w:val="none" w:sz="0" w:space="0" w:color="auto"/>
        <w:right w:val="none" w:sz="0" w:space="0" w:color="auto"/>
      </w:divBdr>
    </w:div>
    <w:div w:id="432479134">
      <w:bodyDiv w:val="1"/>
      <w:marLeft w:val="0"/>
      <w:marRight w:val="0"/>
      <w:marTop w:val="0"/>
      <w:marBottom w:val="0"/>
      <w:divBdr>
        <w:top w:val="none" w:sz="0" w:space="0" w:color="auto"/>
        <w:left w:val="none" w:sz="0" w:space="0" w:color="auto"/>
        <w:bottom w:val="none" w:sz="0" w:space="0" w:color="auto"/>
        <w:right w:val="none" w:sz="0" w:space="0" w:color="auto"/>
      </w:divBdr>
    </w:div>
    <w:div w:id="436829445">
      <w:bodyDiv w:val="1"/>
      <w:marLeft w:val="0"/>
      <w:marRight w:val="0"/>
      <w:marTop w:val="0"/>
      <w:marBottom w:val="0"/>
      <w:divBdr>
        <w:top w:val="none" w:sz="0" w:space="0" w:color="auto"/>
        <w:left w:val="none" w:sz="0" w:space="0" w:color="auto"/>
        <w:bottom w:val="none" w:sz="0" w:space="0" w:color="auto"/>
        <w:right w:val="none" w:sz="0" w:space="0" w:color="auto"/>
      </w:divBdr>
    </w:div>
    <w:div w:id="442116474">
      <w:bodyDiv w:val="1"/>
      <w:marLeft w:val="0"/>
      <w:marRight w:val="0"/>
      <w:marTop w:val="0"/>
      <w:marBottom w:val="0"/>
      <w:divBdr>
        <w:top w:val="none" w:sz="0" w:space="0" w:color="auto"/>
        <w:left w:val="none" w:sz="0" w:space="0" w:color="auto"/>
        <w:bottom w:val="none" w:sz="0" w:space="0" w:color="auto"/>
        <w:right w:val="none" w:sz="0" w:space="0" w:color="auto"/>
      </w:divBdr>
    </w:div>
    <w:div w:id="445007071">
      <w:bodyDiv w:val="1"/>
      <w:marLeft w:val="0"/>
      <w:marRight w:val="0"/>
      <w:marTop w:val="0"/>
      <w:marBottom w:val="0"/>
      <w:divBdr>
        <w:top w:val="none" w:sz="0" w:space="0" w:color="auto"/>
        <w:left w:val="none" w:sz="0" w:space="0" w:color="auto"/>
        <w:bottom w:val="none" w:sz="0" w:space="0" w:color="auto"/>
        <w:right w:val="none" w:sz="0" w:space="0" w:color="auto"/>
      </w:divBdr>
    </w:div>
    <w:div w:id="470439040">
      <w:bodyDiv w:val="1"/>
      <w:marLeft w:val="0"/>
      <w:marRight w:val="0"/>
      <w:marTop w:val="0"/>
      <w:marBottom w:val="0"/>
      <w:divBdr>
        <w:top w:val="none" w:sz="0" w:space="0" w:color="auto"/>
        <w:left w:val="none" w:sz="0" w:space="0" w:color="auto"/>
        <w:bottom w:val="none" w:sz="0" w:space="0" w:color="auto"/>
        <w:right w:val="none" w:sz="0" w:space="0" w:color="auto"/>
      </w:divBdr>
    </w:div>
    <w:div w:id="471754614">
      <w:bodyDiv w:val="1"/>
      <w:marLeft w:val="0"/>
      <w:marRight w:val="0"/>
      <w:marTop w:val="0"/>
      <w:marBottom w:val="0"/>
      <w:divBdr>
        <w:top w:val="none" w:sz="0" w:space="0" w:color="auto"/>
        <w:left w:val="none" w:sz="0" w:space="0" w:color="auto"/>
        <w:bottom w:val="none" w:sz="0" w:space="0" w:color="auto"/>
        <w:right w:val="none" w:sz="0" w:space="0" w:color="auto"/>
      </w:divBdr>
    </w:div>
    <w:div w:id="487400064">
      <w:bodyDiv w:val="1"/>
      <w:marLeft w:val="0"/>
      <w:marRight w:val="0"/>
      <w:marTop w:val="0"/>
      <w:marBottom w:val="0"/>
      <w:divBdr>
        <w:top w:val="none" w:sz="0" w:space="0" w:color="auto"/>
        <w:left w:val="none" w:sz="0" w:space="0" w:color="auto"/>
        <w:bottom w:val="none" w:sz="0" w:space="0" w:color="auto"/>
        <w:right w:val="none" w:sz="0" w:space="0" w:color="auto"/>
      </w:divBdr>
    </w:div>
    <w:div w:id="490368888">
      <w:bodyDiv w:val="1"/>
      <w:marLeft w:val="0"/>
      <w:marRight w:val="0"/>
      <w:marTop w:val="0"/>
      <w:marBottom w:val="0"/>
      <w:divBdr>
        <w:top w:val="none" w:sz="0" w:space="0" w:color="auto"/>
        <w:left w:val="none" w:sz="0" w:space="0" w:color="auto"/>
        <w:bottom w:val="none" w:sz="0" w:space="0" w:color="auto"/>
        <w:right w:val="none" w:sz="0" w:space="0" w:color="auto"/>
      </w:divBdr>
    </w:div>
    <w:div w:id="492642408">
      <w:bodyDiv w:val="1"/>
      <w:marLeft w:val="0"/>
      <w:marRight w:val="0"/>
      <w:marTop w:val="0"/>
      <w:marBottom w:val="0"/>
      <w:divBdr>
        <w:top w:val="none" w:sz="0" w:space="0" w:color="auto"/>
        <w:left w:val="none" w:sz="0" w:space="0" w:color="auto"/>
        <w:bottom w:val="none" w:sz="0" w:space="0" w:color="auto"/>
        <w:right w:val="none" w:sz="0" w:space="0" w:color="auto"/>
      </w:divBdr>
    </w:div>
    <w:div w:id="497381833">
      <w:bodyDiv w:val="1"/>
      <w:marLeft w:val="0"/>
      <w:marRight w:val="0"/>
      <w:marTop w:val="0"/>
      <w:marBottom w:val="0"/>
      <w:divBdr>
        <w:top w:val="none" w:sz="0" w:space="0" w:color="auto"/>
        <w:left w:val="none" w:sz="0" w:space="0" w:color="auto"/>
        <w:bottom w:val="none" w:sz="0" w:space="0" w:color="auto"/>
        <w:right w:val="none" w:sz="0" w:space="0" w:color="auto"/>
      </w:divBdr>
    </w:div>
    <w:div w:id="498078302">
      <w:bodyDiv w:val="1"/>
      <w:marLeft w:val="0"/>
      <w:marRight w:val="0"/>
      <w:marTop w:val="0"/>
      <w:marBottom w:val="0"/>
      <w:divBdr>
        <w:top w:val="none" w:sz="0" w:space="0" w:color="auto"/>
        <w:left w:val="none" w:sz="0" w:space="0" w:color="auto"/>
        <w:bottom w:val="none" w:sz="0" w:space="0" w:color="auto"/>
        <w:right w:val="none" w:sz="0" w:space="0" w:color="auto"/>
      </w:divBdr>
    </w:div>
    <w:div w:id="505246804">
      <w:bodyDiv w:val="1"/>
      <w:marLeft w:val="0"/>
      <w:marRight w:val="0"/>
      <w:marTop w:val="0"/>
      <w:marBottom w:val="0"/>
      <w:divBdr>
        <w:top w:val="none" w:sz="0" w:space="0" w:color="auto"/>
        <w:left w:val="none" w:sz="0" w:space="0" w:color="auto"/>
        <w:bottom w:val="none" w:sz="0" w:space="0" w:color="auto"/>
        <w:right w:val="none" w:sz="0" w:space="0" w:color="auto"/>
      </w:divBdr>
    </w:div>
    <w:div w:id="523594246">
      <w:bodyDiv w:val="1"/>
      <w:marLeft w:val="0"/>
      <w:marRight w:val="0"/>
      <w:marTop w:val="0"/>
      <w:marBottom w:val="0"/>
      <w:divBdr>
        <w:top w:val="none" w:sz="0" w:space="0" w:color="auto"/>
        <w:left w:val="none" w:sz="0" w:space="0" w:color="auto"/>
        <w:bottom w:val="none" w:sz="0" w:space="0" w:color="auto"/>
        <w:right w:val="none" w:sz="0" w:space="0" w:color="auto"/>
      </w:divBdr>
    </w:div>
    <w:div w:id="531918196">
      <w:bodyDiv w:val="1"/>
      <w:marLeft w:val="0"/>
      <w:marRight w:val="0"/>
      <w:marTop w:val="0"/>
      <w:marBottom w:val="0"/>
      <w:divBdr>
        <w:top w:val="none" w:sz="0" w:space="0" w:color="auto"/>
        <w:left w:val="none" w:sz="0" w:space="0" w:color="auto"/>
        <w:bottom w:val="none" w:sz="0" w:space="0" w:color="auto"/>
        <w:right w:val="none" w:sz="0" w:space="0" w:color="auto"/>
      </w:divBdr>
    </w:div>
    <w:div w:id="554897007">
      <w:bodyDiv w:val="1"/>
      <w:marLeft w:val="0"/>
      <w:marRight w:val="0"/>
      <w:marTop w:val="0"/>
      <w:marBottom w:val="0"/>
      <w:divBdr>
        <w:top w:val="none" w:sz="0" w:space="0" w:color="auto"/>
        <w:left w:val="none" w:sz="0" w:space="0" w:color="auto"/>
        <w:bottom w:val="none" w:sz="0" w:space="0" w:color="auto"/>
        <w:right w:val="none" w:sz="0" w:space="0" w:color="auto"/>
      </w:divBdr>
    </w:div>
    <w:div w:id="577595871">
      <w:bodyDiv w:val="1"/>
      <w:marLeft w:val="0"/>
      <w:marRight w:val="0"/>
      <w:marTop w:val="0"/>
      <w:marBottom w:val="0"/>
      <w:divBdr>
        <w:top w:val="none" w:sz="0" w:space="0" w:color="auto"/>
        <w:left w:val="none" w:sz="0" w:space="0" w:color="auto"/>
        <w:bottom w:val="none" w:sz="0" w:space="0" w:color="auto"/>
        <w:right w:val="none" w:sz="0" w:space="0" w:color="auto"/>
      </w:divBdr>
    </w:div>
    <w:div w:id="578562693">
      <w:bodyDiv w:val="1"/>
      <w:marLeft w:val="0"/>
      <w:marRight w:val="0"/>
      <w:marTop w:val="0"/>
      <w:marBottom w:val="0"/>
      <w:divBdr>
        <w:top w:val="none" w:sz="0" w:space="0" w:color="auto"/>
        <w:left w:val="none" w:sz="0" w:space="0" w:color="auto"/>
        <w:bottom w:val="none" w:sz="0" w:space="0" w:color="auto"/>
        <w:right w:val="none" w:sz="0" w:space="0" w:color="auto"/>
      </w:divBdr>
    </w:div>
    <w:div w:id="583419940">
      <w:bodyDiv w:val="1"/>
      <w:marLeft w:val="0"/>
      <w:marRight w:val="0"/>
      <w:marTop w:val="0"/>
      <w:marBottom w:val="0"/>
      <w:divBdr>
        <w:top w:val="none" w:sz="0" w:space="0" w:color="auto"/>
        <w:left w:val="none" w:sz="0" w:space="0" w:color="auto"/>
        <w:bottom w:val="none" w:sz="0" w:space="0" w:color="auto"/>
        <w:right w:val="none" w:sz="0" w:space="0" w:color="auto"/>
      </w:divBdr>
    </w:div>
    <w:div w:id="592013212">
      <w:bodyDiv w:val="1"/>
      <w:marLeft w:val="0"/>
      <w:marRight w:val="0"/>
      <w:marTop w:val="0"/>
      <w:marBottom w:val="0"/>
      <w:divBdr>
        <w:top w:val="none" w:sz="0" w:space="0" w:color="auto"/>
        <w:left w:val="none" w:sz="0" w:space="0" w:color="auto"/>
        <w:bottom w:val="none" w:sz="0" w:space="0" w:color="auto"/>
        <w:right w:val="none" w:sz="0" w:space="0" w:color="auto"/>
      </w:divBdr>
    </w:div>
    <w:div w:id="611937392">
      <w:bodyDiv w:val="1"/>
      <w:marLeft w:val="0"/>
      <w:marRight w:val="0"/>
      <w:marTop w:val="0"/>
      <w:marBottom w:val="0"/>
      <w:divBdr>
        <w:top w:val="none" w:sz="0" w:space="0" w:color="auto"/>
        <w:left w:val="none" w:sz="0" w:space="0" w:color="auto"/>
        <w:bottom w:val="none" w:sz="0" w:space="0" w:color="auto"/>
        <w:right w:val="none" w:sz="0" w:space="0" w:color="auto"/>
      </w:divBdr>
    </w:div>
    <w:div w:id="619453082">
      <w:bodyDiv w:val="1"/>
      <w:marLeft w:val="0"/>
      <w:marRight w:val="0"/>
      <w:marTop w:val="0"/>
      <w:marBottom w:val="0"/>
      <w:divBdr>
        <w:top w:val="none" w:sz="0" w:space="0" w:color="auto"/>
        <w:left w:val="none" w:sz="0" w:space="0" w:color="auto"/>
        <w:bottom w:val="none" w:sz="0" w:space="0" w:color="auto"/>
        <w:right w:val="none" w:sz="0" w:space="0" w:color="auto"/>
      </w:divBdr>
    </w:div>
    <w:div w:id="661934790">
      <w:bodyDiv w:val="1"/>
      <w:marLeft w:val="0"/>
      <w:marRight w:val="0"/>
      <w:marTop w:val="0"/>
      <w:marBottom w:val="0"/>
      <w:divBdr>
        <w:top w:val="none" w:sz="0" w:space="0" w:color="auto"/>
        <w:left w:val="none" w:sz="0" w:space="0" w:color="auto"/>
        <w:bottom w:val="none" w:sz="0" w:space="0" w:color="auto"/>
        <w:right w:val="none" w:sz="0" w:space="0" w:color="auto"/>
      </w:divBdr>
    </w:div>
    <w:div w:id="662977259">
      <w:bodyDiv w:val="1"/>
      <w:marLeft w:val="0"/>
      <w:marRight w:val="0"/>
      <w:marTop w:val="0"/>
      <w:marBottom w:val="0"/>
      <w:divBdr>
        <w:top w:val="none" w:sz="0" w:space="0" w:color="auto"/>
        <w:left w:val="none" w:sz="0" w:space="0" w:color="auto"/>
        <w:bottom w:val="none" w:sz="0" w:space="0" w:color="auto"/>
        <w:right w:val="none" w:sz="0" w:space="0" w:color="auto"/>
      </w:divBdr>
    </w:div>
    <w:div w:id="717121897">
      <w:bodyDiv w:val="1"/>
      <w:marLeft w:val="0"/>
      <w:marRight w:val="0"/>
      <w:marTop w:val="0"/>
      <w:marBottom w:val="0"/>
      <w:divBdr>
        <w:top w:val="none" w:sz="0" w:space="0" w:color="auto"/>
        <w:left w:val="none" w:sz="0" w:space="0" w:color="auto"/>
        <w:bottom w:val="none" w:sz="0" w:space="0" w:color="auto"/>
        <w:right w:val="none" w:sz="0" w:space="0" w:color="auto"/>
      </w:divBdr>
    </w:div>
    <w:div w:id="734208457">
      <w:bodyDiv w:val="1"/>
      <w:marLeft w:val="0"/>
      <w:marRight w:val="0"/>
      <w:marTop w:val="0"/>
      <w:marBottom w:val="0"/>
      <w:divBdr>
        <w:top w:val="none" w:sz="0" w:space="0" w:color="auto"/>
        <w:left w:val="none" w:sz="0" w:space="0" w:color="auto"/>
        <w:bottom w:val="none" w:sz="0" w:space="0" w:color="auto"/>
        <w:right w:val="none" w:sz="0" w:space="0" w:color="auto"/>
      </w:divBdr>
    </w:div>
    <w:div w:id="735249071">
      <w:bodyDiv w:val="1"/>
      <w:marLeft w:val="0"/>
      <w:marRight w:val="0"/>
      <w:marTop w:val="0"/>
      <w:marBottom w:val="0"/>
      <w:divBdr>
        <w:top w:val="none" w:sz="0" w:space="0" w:color="auto"/>
        <w:left w:val="none" w:sz="0" w:space="0" w:color="auto"/>
        <w:bottom w:val="none" w:sz="0" w:space="0" w:color="auto"/>
        <w:right w:val="none" w:sz="0" w:space="0" w:color="auto"/>
      </w:divBdr>
    </w:div>
    <w:div w:id="750006617">
      <w:bodyDiv w:val="1"/>
      <w:marLeft w:val="0"/>
      <w:marRight w:val="0"/>
      <w:marTop w:val="0"/>
      <w:marBottom w:val="0"/>
      <w:divBdr>
        <w:top w:val="none" w:sz="0" w:space="0" w:color="auto"/>
        <w:left w:val="none" w:sz="0" w:space="0" w:color="auto"/>
        <w:bottom w:val="none" w:sz="0" w:space="0" w:color="auto"/>
        <w:right w:val="none" w:sz="0" w:space="0" w:color="auto"/>
      </w:divBdr>
    </w:div>
    <w:div w:id="763301682">
      <w:bodyDiv w:val="1"/>
      <w:marLeft w:val="0"/>
      <w:marRight w:val="0"/>
      <w:marTop w:val="0"/>
      <w:marBottom w:val="0"/>
      <w:divBdr>
        <w:top w:val="none" w:sz="0" w:space="0" w:color="auto"/>
        <w:left w:val="none" w:sz="0" w:space="0" w:color="auto"/>
        <w:bottom w:val="none" w:sz="0" w:space="0" w:color="auto"/>
        <w:right w:val="none" w:sz="0" w:space="0" w:color="auto"/>
      </w:divBdr>
    </w:div>
    <w:div w:id="775173908">
      <w:bodyDiv w:val="1"/>
      <w:marLeft w:val="0"/>
      <w:marRight w:val="0"/>
      <w:marTop w:val="0"/>
      <w:marBottom w:val="0"/>
      <w:divBdr>
        <w:top w:val="none" w:sz="0" w:space="0" w:color="auto"/>
        <w:left w:val="none" w:sz="0" w:space="0" w:color="auto"/>
        <w:bottom w:val="none" w:sz="0" w:space="0" w:color="auto"/>
        <w:right w:val="none" w:sz="0" w:space="0" w:color="auto"/>
      </w:divBdr>
    </w:div>
    <w:div w:id="802888299">
      <w:bodyDiv w:val="1"/>
      <w:marLeft w:val="0"/>
      <w:marRight w:val="0"/>
      <w:marTop w:val="0"/>
      <w:marBottom w:val="0"/>
      <w:divBdr>
        <w:top w:val="none" w:sz="0" w:space="0" w:color="auto"/>
        <w:left w:val="none" w:sz="0" w:space="0" w:color="auto"/>
        <w:bottom w:val="none" w:sz="0" w:space="0" w:color="auto"/>
        <w:right w:val="none" w:sz="0" w:space="0" w:color="auto"/>
      </w:divBdr>
    </w:div>
    <w:div w:id="812068404">
      <w:bodyDiv w:val="1"/>
      <w:marLeft w:val="0"/>
      <w:marRight w:val="0"/>
      <w:marTop w:val="0"/>
      <w:marBottom w:val="0"/>
      <w:divBdr>
        <w:top w:val="none" w:sz="0" w:space="0" w:color="auto"/>
        <w:left w:val="none" w:sz="0" w:space="0" w:color="auto"/>
        <w:bottom w:val="none" w:sz="0" w:space="0" w:color="auto"/>
        <w:right w:val="none" w:sz="0" w:space="0" w:color="auto"/>
      </w:divBdr>
    </w:div>
    <w:div w:id="837579625">
      <w:bodyDiv w:val="1"/>
      <w:marLeft w:val="0"/>
      <w:marRight w:val="0"/>
      <w:marTop w:val="0"/>
      <w:marBottom w:val="0"/>
      <w:divBdr>
        <w:top w:val="none" w:sz="0" w:space="0" w:color="auto"/>
        <w:left w:val="none" w:sz="0" w:space="0" w:color="auto"/>
        <w:bottom w:val="none" w:sz="0" w:space="0" w:color="auto"/>
        <w:right w:val="none" w:sz="0" w:space="0" w:color="auto"/>
      </w:divBdr>
    </w:div>
    <w:div w:id="859008367">
      <w:bodyDiv w:val="1"/>
      <w:marLeft w:val="0"/>
      <w:marRight w:val="0"/>
      <w:marTop w:val="0"/>
      <w:marBottom w:val="0"/>
      <w:divBdr>
        <w:top w:val="none" w:sz="0" w:space="0" w:color="auto"/>
        <w:left w:val="none" w:sz="0" w:space="0" w:color="auto"/>
        <w:bottom w:val="none" w:sz="0" w:space="0" w:color="auto"/>
        <w:right w:val="none" w:sz="0" w:space="0" w:color="auto"/>
      </w:divBdr>
    </w:div>
    <w:div w:id="866722895">
      <w:bodyDiv w:val="1"/>
      <w:marLeft w:val="0"/>
      <w:marRight w:val="0"/>
      <w:marTop w:val="0"/>
      <w:marBottom w:val="0"/>
      <w:divBdr>
        <w:top w:val="none" w:sz="0" w:space="0" w:color="auto"/>
        <w:left w:val="none" w:sz="0" w:space="0" w:color="auto"/>
        <w:bottom w:val="none" w:sz="0" w:space="0" w:color="auto"/>
        <w:right w:val="none" w:sz="0" w:space="0" w:color="auto"/>
      </w:divBdr>
    </w:div>
    <w:div w:id="869996935">
      <w:bodyDiv w:val="1"/>
      <w:marLeft w:val="0"/>
      <w:marRight w:val="0"/>
      <w:marTop w:val="0"/>
      <w:marBottom w:val="0"/>
      <w:divBdr>
        <w:top w:val="none" w:sz="0" w:space="0" w:color="auto"/>
        <w:left w:val="none" w:sz="0" w:space="0" w:color="auto"/>
        <w:bottom w:val="none" w:sz="0" w:space="0" w:color="auto"/>
        <w:right w:val="none" w:sz="0" w:space="0" w:color="auto"/>
      </w:divBdr>
    </w:div>
    <w:div w:id="874848742">
      <w:bodyDiv w:val="1"/>
      <w:marLeft w:val="0"/>
      <w:marRight w:val="0"/>
      <w:marTop w:val="0"/>
      <w:marBottom w:val="0"/>
      <w:divBdr>
        <w:top w:val="none" w:sz="0" w:space="0" w:color="auto"/>
        <w:left w:val="none" w:sz="0" w:space="0" w:color="auto"/>
        <w:bottom w:val="none" w:sz="0" w:space="0" w:color="auto"/>
        <w:right w:val="none" w:sz="0" w:space="0" w:color="auto"/>
      </w:divBdr>
    </w:div>
    <w:div w:id="884490581">
      <w:bodyDiv w:val="1"/>
      <w:marLeft w:val="0"/>
      <w:marRight w:val="0"/>
      <w:marTop w:val="0"/>
      <w:marBottom w:val="0"/>
      <w:divBdr>
        <w:top w:val="none" w:sz="0" w:space="0" w:color="auto"/>
        <w:left w:val="none" w:sz="0" w:space="0" w:color="auto"/>
        <w:bottom w:val="none" w:sz="0" w:space="0" w:color="auto"/>
        <w:right w:val="none" w:sz="0" w:space="0" w:color="auto"/>
      </w:divBdr>
    </w:div>
    <w:div w:id="888154026">
      <w:bodyDiv w:val="1"/>
      <w:marLeft w:val="0"/>
      <w:marRight w:val="0"/>
      <w:marTop w:val="0"/>
      <w:marBottom w:val="0"/>
      <w:divBdr>
        <w:top w:val="none" w:sz="0" w:space="0" w:color="auto"/>
        <w:left w:val="none" w:sz="0" w:space="0" w:color="auto"/>
        <w:bottom w:val="none" w:sz="0" w:space="0" w:color="auto"/>
        <w:right w:val="none" w:sz="0" w:space="0" w:color="auto"/>
      </w:divBdr>
    </w:div>
    <w:div w:id="891885343">
      <w:bodyDiv w:val="1"/>
      <w:marLeft w:val="0"/>
      <w:marRight w:val="0"/>
      <w:marTop w:val="0"/>
      <w:marBottom w:val="0"/>
      <w:divBdr>
        <w:top w:val="none" w:sz="0" w:space="0" w:color="auto"/>
        <w:left w:val="none" w:sz="0" w:space="0" w:color="auto"/>
        <w:bottom w:val="none" w:sz="0" w:space="0" w:color="auto"/>
        <w:right w:val="none" w:sz="0" w:space="0" w:color="auto"/>
      </w:divBdr>
    </w:div>
    <w:div w:id="896820980">
      <w:bodyDiv w:val="1"/>
      <w:marLeft w:val="0"/>
      <w:marRight w:val="0"/>
      <w:marTop w:val="0"/>
      <w:marBottom w:val="0"/>
      <w:divBdr>
        <w:top w:val="none" w:sz="0" w:space="0" w:color="auto"/>
        <w:left w:val="none" w:sz="0" w:space="0" w:color="auto"/>
        <w:bottom w:val="none" w:sz="0" w:space="0" w:color="auto"/>
        <w:right w:val="none" w:sz="0" w:space="0" w:color="auto"/>
      </w:divBdr>
    </w:div>
    <w:div w:id="902375023">
      <w:bodyDiv w:val="1"/>
      <w:marLeft w:val="0"/>
      <w:marRight w:val="0"/>
      <w:marTop w:val="0"/>
      <w:marBottom w:val="0"/>
      <w:divBdr>
        <w:top w:val="none" w:sz="0" w:space="0" w:color="auto"/>
        <w:left w:val="none" w:sz="0" w:space="0" w:color="auto"/>
        <w:bottom w:val="none" w:sz="0" w:space="0" w:color="auto"/>
        <w:right w:val="none" w:sz="0" w:space="0" w:color="auto"/>
      </w:divBdr>
    </w:div>
    <w:div w:id="919486220">
      <w:bodyDiv w:val="1"/>
      <w:marLeft w:val="0"/>
      <w:marRight w:val="0"/>
      <w:marTop w:val="0"/>
      <w:marBottom w:val="0"/>
      <w:divBdr>
        <w:top w:val="none" w:sz="0" w:space="0" w:color="auto"/>
        <w:left w:val="none" w:sz="0" w:space="0" w:color="auto"/>
        <w:bottom w:val="none" w:sz="0" w:space="0" w:color="auto"/>
        <w:right w:val="none" w:sz="0" w:space="0" w:color="auto"/>
      </w:divBdr>
    </w:div>
    <w:div w:id="930509007">
      <w:bodyDiv w:val="1"/>
      <w:marLeft w:val="0"/>
      <w:marRight w:val="0"/>
      <w:marTop w:val="0"/>
      <w:marBottom w:val="0"/>
      <w:divBdr>
        <w:top w:val="none" w:sz="0" w:space="0" w:color="auto"/>
        <w:left w:val="none" w:sz="0" w:space="0" w:color="auto"/>
        <w:bottom w:val="none" w:sz="0" w:space="0" w:color="auto"/>
        <w:right w:val="none" w:sz="0" w:space="0" w:color="auto"/>
      </w:divBdr>
    </w:div>
    <w:div w:id="936061890">
      <w:bodyDiv w:val="1"/>
      <w:marLeft w:val="0"/>
      <w:marRight w:val="0"/>
      <w:marTop w:val="0"/>
      <w:marBottom w:val="0"/>
      <w:divBdr>
        <w:top w:val="none" w:sz="0" w:space="0" w:color="auto"/>
        <w:left w:val="none" w:sz="0" w:space="0" w:color="auto"/>
        <w:bottom w:val="none" w:sz="0" w:space="0" w:color="auto"/>
        <w:right w:val="none" w:sz="0" w:space="0" w:color="auto"/>
      </w:divBdr>
    </w:div>
    <w:div w:id="971518081">
      <w:bodyDiv w:val="1"/>
      <w:marLeft w:val="0"/>
      <w:marRight w:val="0"/>
      <w:marTop w:val="0"/>
      <w:marBottom w:val="0"/>
      <w:divBdr>
        <w:top w:val="none" w:sz="0" w:space="0" w:color="auto"/>
        <w:left w:val="none" w:sz="0" w:space="0" w:color="auto"/>
        <w:bottom w:val="none" w:sz="0" w:space="0" w:color="auto"/>
        <w:right w:val="none" w:sz="0" w:space="0" w:color="auto"/>
      </w:divBdr>
    </w:div>
    <w:div w:id="989747284">
      <w:bodyDiv w:val="1"/>
      <w:marLeft w:val="0"/>
      <w:marRight w:val="0"/>
      <w:marTop w:val="0"/>
      <w:marBottom w:val="0"/>
      <w:divBdr>
        <w:top w:val="none" w:sz="0" w:space="0" w:color="auto"/>
        <w:left w:val="none" w:sz="0" w:space="0" w:color="auto"/>
        <w:bottom w:val="none" w:sz="0" w:space="0" w:color="auto"/>
        <w:right w:val="none" w:sz="0" w:space="0" w:color="auto"/>
      </w:divBdr>
    </w:div>
    <w:div w:id="1000040620">
      <w:bodyDiv w:val="1"/>
      <w:marLeft w:val="0"/>
      <w:marRight w:val="0"/>
      <w:marTop w:val="0"/>
      <w:marBottom w:val="0"/>
      <w:divBdr>
        <w:top w:val="none" w:sz="0" w:space="0" w:color="auto"/>
        <w:left w:val="none" w:sz="0" w:space="0" w:color="auto"/>
        <w:bottom w:val="none" w:sz="0" w:space="0" w:color="auto"/>
        <w:right w:val="none" w:sz="0" w:space="0" w:color="auto"/>
      </w:divBdr>
    </w:div>
    <w:div w:id="1020737770">
      <w:bodyDiv w:val="1"/>
      <w:marLeft w:val="0"/>
      <w:marRight w:val="0"/>
      <w:marTop w:val="0"/>
      <w:marBottom w:val="0"/>
      <w:divBdr>
        <w:top w:val="none" w:sz="0" w:space="0" w:color="auto"/>
        <w:left w:val="none" w:sz="0" w:space="0" w:color="auto"/>
        <w:bottom w:val="none" w:sz="0" w:space="0" w:color="auto"/>
        <w:right w:val="none" w:sz="0" w:space="0" w:color="auto"/>
      </w:divBdr>
    </w:div>
    <w:div w:id="1023629639">
      <w:bodyDiv w:val="1"/>
      <w:marLeft w:val="0"/>
      <w:marRight w:val="0"/>
      <w:marTop w:val="0"/>
      <w:marBottom w:val="0"/>
      <w:divBdr>
        <w:top w:val="none" w:sz="0" w:space="0" w:color="auto"/>
        <w:left w:val="none" w:sz="0" w:space="0" w:color="auto"/>
        <w:bottom w:val="none" w:sz="0" w:space="0" w:color="auto"/>
        <w:right w:val="none" w:sz="0" w:space="0" w:color="auto"/>
      </w:divBdr>
    </w:div>
    <w:div w:id="1044332805">
      <w:bodyDiv w:val="1"/>
      <w:marLeft w:val="0"/>
      <w:marRight w:val="0"/>
      <w:marTop w:val="0"/>
      <w:marBottom w:val="0"/>
      <w:divBdr>
        <w:top w:val="none" w:sz="0" w:space="0" w:color="auto"/>
        <w:left w:val="none" w:sz="0" w:space="0" w:color="auto"/>
        <w:bottom w:val="none" w:sz="0" w:space="0" w:color="auto"/>
        <w:right w:val="none" w:sz="0" w:space="0" w:color="auto"/>
      </w:divBdr>
    </w:div>
    <w:div w:id="1058091616">
      <w:bodyDiv w:val="1"/>
      <w:marLeft w:val="0"/>
      <w:marRight w:val="0"/>
      <w:marTop w:val="0"/>
      <w:marBottom w:val="0"/>
      <w:divBdr>
        <w:top w:val="none" w:sz="0" w:space="0" w:color="auto"/>
        <w:left w:val="none" w:sz="0" w:space="0" w:color="auto"/>
        <w:bottom w:val="none" w:sz="0" w:space="0" w:color="auto"/>
        <w:right w:val="none" w:sz="0" w:space="0" w:color="auto"/>
      </w:divBdr>
    </w:div>
    <w:div w:id="1066802246">
      <w:bodyDiv w:val="1"/>
      <w:marLeft w:val="0"/>
      <w:marRight w:val="0"/>
      <w:marTop w:val="0"/>
      <w:marBottom w:val="0"/>
      <w:divBdr>
        <w:top w:val="none" w:sz="0" w:space="0" w:color="auto"/>
        <w:left w:val="none" w:sz="0" w:space="0" w:color="auto"/>
        <w:bottom w:val="none" w:sz="0" w:space="0" w:color="auto"/>
        <w:right w:val="none" w:sz="0" w:space="0" w:color="auto"/>
      </w:divBdr>
    </w:div>
    <w:div w:id="1074930928">
      <w:bodyDiv w:val="1"/>
      <w:marLeft w:val="0"/>
      <w:marRight w:val="0"/>
      <w:marTop w:val="0"/>
      <w:marBottom w:val="0"/>
      <w:divBdr>
        <w:top w:val="none" w:sz="0" w:space="0" w:color="auto"/>
        <w:left w:val="none" w:sz="0" w:space="0" w:color="auto"/>
        <w:bottom w:val="none" w:sz="0" w:space="0" w:color="auto"/>
        <w:right w:val="none" w:sz="0" w:space="0" w:color="auto"/>
      </w:divBdr>
    </w:div>
    <w:div w:id="1102720495">
      <w:bodyDiv w:val="1"/>
      <w:marLeft w:val="0"/>
      <w:marRight w:val="0"/>
      <w:marTop w:val="0"/>
      <w:marBottom w:val="0"/>
      <w:divBdr>
        <w:top w:val="none" w:sz="0" w:space="0" w:color="auto"/>
        <w:left w:val="none" w:sz="0" w:space="0" w:color="auto"/>
        <w:bottom w:val="none" w:sz="0" w:space="0" w:color="auto"/>
        <w:right w:val="none" w:sz="0" w:space="0" w:color="auto"/>
      </w:divBdr>
    </w:div>
    <w:div w:id="1111782777">
      <w:bodyDiv w:val="1"/>
      <w:marLeft w:val="0"/>
      <w:marRight w:val="0"/>
      <w:marTop w:val="0"/>
      <w:marBottom w:val="0"/>
      <w:divBdr>
        <w:top w:val="none" w:sz="0" w:space="0" w:color="auto"/>
        <w:left w:val="none" w:sz="0" w:space="0" w:color="auto"/>
        <w:bottom w:val="none" w:sz="0" w:space="0" w:color="auto"/>
        <w:right w:val="none" w:sz="0" w:space="0" w:color="auto"/>
      </w:divBdr>
    </w:div>
    <w:div w:id="1116288825">
      <w:bodyDiv w:val="1"/>
      <w:marLeft w:val="0"/>
      <w:marRight w:val="0"/>
      <w:marTop w:val="0"/>
      <w:marBottom w:val="0"/>
      <w:divBdr>
        <w:top w:val="none" w:sz="0" w:space="0" w:color="auto"/>
        <w:left w:val="none" w:sz="0" w:space="0" w:color="auto"/>
        <w:bottom w:val="none" w:sz="0" w:space="0" w:color="auto"/>
        <w:right w:val="none" w:sz="0" w:space="0" w:color="auto"/>
      </w:divBdr>
    </w:div>
    <w:div w:id="1126655082">
      <w:bodyDiv w:val="1"/>
      <w:marLeft w:val="0"/>
      <w:marRight w:val="0"/>
      <w:marTop w:val="0"/>
      <w:marBottom w:val="0"/>
      <w:divBdr>
        <w:top w:val="none" w:sz="0" w:space="0" w:color="auto"/>
        <w:left w:val="none" w:sz="0" w:space="0" w:color="auto"/>
        <w:bottom w:val="none" w:sz="0" w:space="0" w:color="auto"/>
        <w:right w:val="none" w:sz="0" w:space="0" w:color="auto"/>
      </w:divBdr>
    </w:div>
    <w:div w:id="1147474659">
      <w:bodyDiv w:val="1"/>
      <w:marLeft w:val="0"/>
      <w:marRight w:val="0"/>
      <w:marTop w:val="0"/>
      <w:marBottom w:val="0"/>
      <w:divBdr>
        <w:top w:val="none" w:sz="0" w:space="0" w:color="auto"/>
        <w:left w:val="none" w:sz="0" w:space="0" w:color="auto"/>
        <w:bottom w:val="none" w:sz="0" w:space="0" w:color="auto"/>
        <w:right w:val="none" w:sz="0" w:space="0" w:color="auto"/>
      </w:divBdr>
    </w:div>
    <w:div w:id="1154028815">
      <w:bodyDiv w:val="1"/>
      <w:marLeft w:val="0"/>
      <w:marRight w:val="0"/>
      <w:marTop w:val="0"/>
      <w:marBottom w:val="0"/>
      <w:divBdr>
        <w:top w:val="none" w:sz="0" w:space="0" w:color="auto"/>
        <w:left w:val="none" w:sz="0" w:space="0" w:color="auto"/>
        <w:bottom w:val="none" w:sz="0" w:space="0" w:color="auto"/>
        <w:right w:val="none" w:sz="0" w:space="0" w:color="auto"/>
      </w:divBdr>
    </w:div>
    <w:div w:id="1157571241">
      <w:bodyDiv w:val="1"/>
      <w:marLeft w:val="0"/>
      <w:marRight w:val="0"/>
      <w:marTop w:val="0"/>
      <w:marBottom w:val="0"/>
      <w:divBdr>
        <w:top w:val="none" w:sz="0" w:space="0" w:color="auto"/>
        <w:left w:val="none" w:sz="0" w:space="0" w:color="auto"/>
        <w:bottom w:val="none" w:sz="0" w:space="0" w:color="auto"/>
        <w:right w:val="none" w:sz="0" w:space="0" w:color="auto"/>
      </w:divBdr>
    </w:div>
    <w:div w:id="1159685993">
      <w:bodyDiv w:val="1"/>
      <w:marLeft w:val="0"/>
      <w:marRight w:val="0"/>
      <w:marTop w:val="0"/>
      <w:marBottom w:val="0"/>
      <w:divBdr>
        <w:top w:val="none" w:sz="0" w:space="0" w:color="auto"/>
        <w:left w:val="none" w:sz="0" w:space="0" w:color="auto"/>
        <w:bottom w:val="none" w:sz="0" w:space="0" w:color="auto"/>
        <w:right w:val="none" w:sz="0" w:space="0" w:color="auto"/>
      </w:divBdr>
    </w:div>
    <w:div w:id="1161039584">
      <w:bodyDiv w:val="1"/>
      <w:marLeft w:val="0"/>
      <w:marRight w:val="0"/>
      <w:marTop w:val="0"/>
      <w:marBottom w:val="0"/>
      <w:divBdr>
        <w:top w:val="none" w:sz="0" w:space="0" w:color="auto"/>
        <w:left w:val="none" w:sz="0" w:space="0" w:color="auto"/>
        <w:bottom w:val="none" w:sz="0" w:space="0" w:color="auto"/>
        <w:right w:val="none" w:sz="0" w:space="0" w:color="auto"/>
      </w:divBdr>
    </w:div>
    <w:div w:id="1179656762">
      <w:bodyDiv w:val="1"/>
      <w:marLeft w:val="0"/>
      <w:marRight w:val="0"/>
      <w:marTop w:val="0"/>
      <w:marBottom w:val="0"/>
      <w:divBdr>
        <w:top w:val="none" w:sz="0" w:space="0" w:color="auto"/>
        <w:left w:val="none" w:sz="0" w:space="0" w:color="auto"/>
        <w:bottom w:val="none" w:sz="0" w:space="0" w:color="auto"/>
        <w:right w:val="none" w:sz="0" w:space="0" w:color="auto"/>
      </w:divBdr>
    </w:div>
    <w:div w:id="1183862912">
      <w:bodyDiv w:val="1"/>
      <w:marLeft w:val="0"/>
      <w:marRight w:val="0"/>
      <w:marTop w:val="0"/>
      <w:marBottom w:val="0"/>
      <w:divBdr>
        <w:top w:val="none" w:sz="0" w:space="0" w:color="auto"/>
        <w:left w:val="none" w:sz="0" w:space="0" w:color="auto"/>
        <w:bottom w:val="none" w:sz="0" w:space="0" w:color="auto"/>
        <w:right w:val="none" w:sz="0" w:space="0" w:color="auto"/>
      </w:divBdr>
    </w:div>
    <w:div w:id="1188444006">
      <w:bodyDiv w:val="1"/>
      <w:marLeft w:val="0"/>
      <w:marRight w:val="0"/>
      <w:marTop w:val="0"/>
      <w:marBottom w:val="0"/>
      <w:divBdr>
        <w:top w:val="none" w:sz="0" w:space="0" w:color="auto"/>
        <w:left w:val="none" w:sz="0" w:space="0" w:color="auto"/>
        <w:bottom w:val="none" w:sz="0" w:space="0" w:color="auto"/>
        <w:right w:val="none" w:sz="0" w:space="0" w:color="auto"/>
      </w:divBdr>
    </w:div>
    <w:div w:id="1190529600">
      <w:bodyDiv w:val="1"/>
      <w:marLeft w:val="0"/>
      <w:marRight w:val="0"/>
      <w:marTop w:val="0"/>
      <w:marBottom w:val="0"/>
      <w:divBdr>
        <w:top w:val="none" w:sz="0" w:space="0" w:color="auto"/>
        <w:left w:val="none" w:sz="0" w:space="0" w:color="auto"/>
        <w:bottom w:val="none" w:sz="0" w:space="0" w:color="auto"/>
        <w:right w:val="none" w:sz="0" w:space="0" w:color="auto"/>
      </w:divBdr>
    </w:div>
    <w:div w:id="1192693045">
      <w:bodyDiv w:val="1"/>
      <w:marLeft w:val="0"/>
      <w:marRight w:val="0"/>
      <w:marTop w:val="0"/>
      <w:marBottom w:val="0"/>
      <w:divBdr>
        <w:top w:val="none" w:sz="0" w:space="0" w:color="auto"/>
        <w:left w:val="none" w:sz="0" w:space="0" w:color="auto"/>
        <w:bottom w:val="none" w:sz="0" w:space="0" w:color="auto"/>
        <w:right w:val="none" w:sz="0" w:space="0" w:color="auto"/>
      </w:divBdr>
    </w:div>
    <w:div w:id="1196890148">
      <w:bodyDiv w:val="1"/>
      <w:marLeft w:val="0"/>
      <w:marRight w:val="0"/>
      <w:marTop w:val="0"/>
      <w:marBottom w:val="0"/>
      <w:divBdr>
        <w:top w:val="none" w:sz="0" w:space="0" w:color="auto"/>
        <w:left w:val="none" w:sz="0" w:space="0" w:color="auto"/>
        <w:bottom w:val="none" w:sz="0" w:space="0" w:color="auto"/>
        <w:right w:val="none" w:sz="0" w:space="0" w:color="auto"/>
      </w:divBdr>
    </w:div>
    <w:div w:id="1213075923">
      <w:bodyDiv w:val="1"/>
      <w:marLeft w:val="0"/>
      <w:marRight w:val="0"/>
      <w:marTop w:val="0"/>
      <w:marBottom w:val="0"/>
      <w:divBdr>
        <w:top w:val="none" w:sz="0" w:space="0" w:color="auto"/>
        <w:left w:val="none" w:sz="0" w:space="0" w:color="auto"/>
        <w:bottom w:val="none" w:sz="0" w:space="0" w:color="auto"/>
        <w:right w:val="none" w:sz="0" w:space="0" w:color="auto"/>
      </w:divBdr>
    </w:div>
    <w:div w:id="1215392011">
      <w:bodyDiv w:val="1"/>
      <w:marLeft w:val="0"/>
      <w:marRight w:val="0"/>
      <w:marTop w:val="0"/>
      <w:marBottom w:val="0"/>
      <w:divBdr>
        <w:top w:val="none" w:sz="0" w:space="0" w:color="auto"/>
        <w:left w:val="none" w:sz="0" w:space="0" w:color="auto"/>
        <w:bottom w:val="none" w:sz="0" w:space="0" w:color="auto"/>
        <w:right w:val="none" w:sz="0" w:space="0" w:color="auto"/>
      </w:divBdr>
    </w:div>
    <w:div w:id="1218587029">
      <w:bodyDiv w:val="1"/>
      <w:marLeft w:val="0"/>
      <w:marRight w:val="0"/>
      <w:marTop w:val="0"/>
      <w:marBottom w:val="0"/>
      <w:divBdr>
        <w:top w:val="none" w:sz="0" w:space="0" w:color="auto"/>
        <w:left w:val="none" w:sz="0" w:space="0" w:color="auto"/>
        <w:bottom w:val="none" w:sz="0" w:space="0" w:color="auto"/>
        <w:right w:val="none" w:sz="0" w:space="0" w:color="auto"/>
      </w:divBdr>
    </w:div>
    <w:div w:id="1219239992">
      <w:bodyDiv w:val="1"/>
      <w:marLeft w:val="0"/>
      <w:marRight w:val="0"/>
      <w:marTop w:val="0"/>
      <w:marBottom w:val="0"/>
      <w:divBdr>
        <w:top w:val="none" w:sz="0" w:space="0" w:color="auto"/>
        <w:left w:val="none" w:sz="0" w:space="0" w:color="auto"/>
        <w:bottom w:val="none" w:sz="0" w:space="0" w:color="auto"/>
        <w:right w:val="none" w:sz="0" w:space="0" w:color="auto"/>
      </w:divBdr>
    </w:div>
    <w:div w:id="1222903095">
      <w:bodyDiv w:val="1"/>
      <w:marLeft w:val="0"/>
      <w:marRight w:val="0"/>
      <w:marTop w:val="0"/>
      <w:marBottom w:val="0"/>
      <w:divBdr>
        <w:top w:val="none" w:sz="0" w:space="0" w:color="auto"/>
        <w:left w:val="none" w:sz="0" w:space="0" w:color="auto"/>
        <w:bottom w:val="none" w:sz="0" w:space="0" w:color="auto"/>
        <w:right w:val="none" w:sz="0" w:space="0" w:color="auto"/>
      </w:divBdr>
    </w:div>
    <w:div w:id="1223638901">
      <w:bodyDiv w:val="1"/>
      <w:marLeft w:val="0"/>
      <w:marRight w:val="0"/>
      <w:marTop w:val="0"/>
      <w:marBottom w:val="0"/>
      <w:divBdr>
        <w:top w:val="none" w:sz="0" w:space="0" w:color="auto"/>
        <w:left w:val="none" w:sz="0" w:space="0" w:color="auto"/>
        <w:bottom w:val="none" w:sz="0" w:space="0" w:color="auto"/>
        <w:right w:val="none" w:sz="0" w:space="0" w:color="auto"/>
      </w:divBdr>
    </w:div>
    <w:div w:id="1243225651">
      <w:bodyDiv w:val="1"/>
      <w:marLeft w:val="0"/>
      <w:marRight w:val="0"/>
      <w:marTop w:val="0"/>
      <w:marBottom w:val="0"/>
      <w:divBdr>
        <w:top w:val="none" w:sz="0" w:space="0" w:color="auto"/>
        <w:left w:val="none" w:sz="0" w:space="0" w:color="auto"/>
        <w:bottom w:val="none" w:sz="0" w:space="0" w:color="auto"/>
        <w:right w:val="none" w:sz="0" w:space="0" w:color="auto"/>
      </w:divBdr>
    </w:div>
    <w:div w:id="1256935774">
      <w:bodyDiv w:val="1"/>
      <w:marLeft w:val="0"/>
      <w:marRight w:val="0"/>
      <w:marTop w:val="0"/>
      <w:marBottom w:val="0"/>
      <w:divBdr>
        <w:top w:val="none" w:sz="0" w:space="0" w:color="auto"/>
        <w:left w:val="none" w:sz="0" w:space="0" w:color="auto"/>
        <w:bottom w:val="none" w:sz="0" w:space="0" w:color="auto"/>
        <w:right w:val="none" w:sz="0" w:space="0" w:color="auto"/>
      </w:divBdr>
    </w:div>
    <w:div w:id="1258782333">
      <w:bodyDiv w:val="1"/>
      <w:marLeft w:val="0"/>
      <w:marRight w:val="0"/>
      <w:marTop w:val="0"/>
      <w:marBottom w:val="0"/>
      <w:divBdr>
        <w:top w:val="none" w:sz="0" w:space="0" w:color="auto"/>
        <w:left w:val="none" w:sz="0" w:space="0" w:color="auto"/>
        <w:bottom w:val="none" w:sz="0" w:space="0" w:color="auto"/>
        <w:right w:val="none" w:sz="0" w:space="0" w:color="auto"/>
      </w:divBdr>
    </w:div>
    <w:div w:id="1263755828">
      <w:bodyDiv w:val="1"/>
      <w:marLeft w:val="0"/>
      <w:marRight w:val="0"/>
      <w:marTop w:val="0"/>
      <w:marBottom w:val="0"/>
      <w:divBdr>
        <w:top w:val="none" w:sz="0" w:space="0" w:color="auto"/>
        <w:left w:val="none" w:sz="0" w:space="0" w:color="auto"/>
        <w:bottom w:val="none" w:sz="0" w:space="0" w:color="auto"/>
        <w:right w:val="none" w:sz="0" w:space="0" w:color="auto"/>
      </w:divBdr>
    </w:div>
    <w:div w:id="1306617560">
      <w:bodyDiv w:val="1"/>
      <w:marLeft w:val="0"/>
      <w:marRight w:val="0"/>
      <w:marTop w:val="0"/>
      <w:marBottom w:val="0"/>
      <w:divBdr>
        <w:top w:val="none" w:sz="0" w:space="0" w:color="auto"/>
        <w:left w:val="none" w:sz="0" w:space="0" w:color="auto"/>
        <w:bottom w:val="none" w:sz="0" w:space="0" w:color="auto"/>
        <w:right w:val="none" w:sz="0" w:space="0" w:color="auto"/>
      </w:divBdr>
    </w:div>
    <w:div w:id="1312245509">
      <w:bodyDiv w:val="1"/>
      <w:marLeft w:val="0"/>
      <w:marRight w:val="0"/>
      <w:marTop w:val="0"/>
      <w:marBottom w:val="0"/>
      <w:divBdr>
        <w:top w:val="none" w:sz="0" w:space="0" w:color="auto"/>
        <w:left w:val="none" w:sz="0" w:space="0" w:color="auto"/>
        <w:bottom w:val="none" w:sz="0" w:space="0" w:color="auto"/>
        <w:right w:val="none" w:sz="0" w:space="0" w:color="auto"/>
      </w:divBdr>
    </w:div>
    <w:div w:id="1324356712">
      <w:bodyDiv w:val="1"/>
      <w:marLeft w:val="0"/>
      <w:marRight w:val="0"/>
      <w:marTop w:val="0"/>
      <w:marBottom w:val="0"/>
      <w:divBdr>
        <w:top w:val="none" w:sz="0" w:space="0" w:color="auto"/>
        <w:left w:val="none" w:sz="0" w:space="0" w:color="auto"/>
        <w:bottom w:val="none" w:sz="0" w:space="0" w:color="auto"/>
        <w:right w:val="none" w:sz="0" w:space="0" w:color="auto"/>
      </w:divBdr>
    </w:div>
    <w:div w:id="1325548863">
      <w:bodyDiv w:val="1"/>
      <w:marLeft w:val="0"/>
      <w:marRight w:val="0"/>
      <w:marTop w:val="0"/>
      <w:marBottom w:val="0"/>
      <w:divBdr>
        <w:top w:val="none" w:sz="0" w:space="0" w:color="auto"/>
        <w:left w:val="none" w:sz="0" w:space="0" w:color="auto"/>
        <w:bottom w:val="none" w:sz="0" w:space="0" w:color="auto"/>
        <w:right w:val="none" w:sz="0" w:space="0" w:color="auto"/>
      </w:divBdr>
    </w:div>
    <w:div w:id="1338776566">
      <w:bodyDiv w:val="1"/>
      <w:marLeft w:val="0"/>
      <w:marRight w:val="0"/>
      <w:marTop w:val="0"/>
      <w:marBottom w:val="0"/>
      <w:divBdr>
        <w:top w:val="none" w:sz="0" w:space="0" w:color="auto"/>
        <w:left w:val="none" w:sz="0" w:space="0" w:color="auto"/>
        <w:bottom w:val="none" w:sz="0" w:space="0" w:color="auto"/>
        <w:right w:val="none" w:sz="0" w:space="0" w:color="auto"/>
      </w:divBdr>
    </w:div>
    <w:div w:id="1340503363">
      <w:bodyDiv w:val="1"/>
      <w:marLeft w:val="0"/>
      <w:marRight w:val="0"/>
      <w:marTop w:val="0"/>
      <w:marBottom w:val="0"/>
      <w:divBdr>
        <w:top w:val="none" w:sz="0" w:space="0" w:color="auto"/>
        <w:left w:val="none" w:sz="0" w:space="0" w:color="auto"/>
        <w:bottom w:val="none" w:sz="0" w:space="0" w:color="auto"/>
        <w:right w:val="none" w:sz="0" w:space="0" w:color="auto"/>
      </w:divBdr>
    </w:div>
    <w:div w:id="1346782520">
      <w:bodyDiv w:val="1"/>
      <w:marLeft w:val="0"/>
      <w:marRight w:val="0"/>
      <w:marTop w:val="0"/>
      <w:marBottom w:val="0"/>
      <w:divBdr>
        <w:top w:val="none" w:sz="0" w:space="0" w:color="auto"/>
        <w:left w:val="none" w:sz="0" w:space="0" w:color="auto"/>
        <w:bottom w:val="none" w:sz="0" w:space="0" w:color="auto"/>
        <w:right w:val="none" w:sz="0" w:space="0" w:color="auto"/>
      </w:divBdr>
    </w:div>
    <w:div w:id="1355956149">
      <w:bodyDiv w:val="1"/>
      <w:marLeft w:val="0"/>
      <w:marRight w:val="0"/>
      <w:marTop w:val="0"/>
      <w:marBottom w:val="0"/>
      <w:divBdr>
        <w:top w:val="none" w:sz="0" w:space="0" w:color="auto"/>
        <w:left w:val="none" w:sz="0" w:space="0" w:color="auto"/>
        <w:bottom w:val="none" w:sz="0" w:space="0" w:color="auto"/>
        <w:right w:val="none" w:sz="0" w:space="0" w:color="auto"/>
      </w:divBdr>
    </w:div>
    <w:div w:id="1361584188">
      <w:bodyDiv w:val="1"/>
      <w:marLeft w:val="0"/>
      <w:marRight w:val="0"/>
      <w:marTop w:val="0"/>
      <w:marBottom w:val="0"/>
      <w:divBdr>
        <w:top w:val="none" w:sz="0" w:space="0" w:color="auto"/>
        <w:left w:val="none" w:sz="0" w:space="0" w:color="auto"/>
        <w:bottom w:val="none" w:sz="0" w:space="0" w:color="auto"/>
        <w:right w:val="none" w:sz="0" w:space="0" w:color="auto"/>
      </w:divBdr>
    </w:div>
    <w:div w:id="1365904339">
      <w:bodyDiv w:val="1"/>
      <w:marLeft w:val="0"/>
      <w:marRight w:val="0"/>
      <w:marTop w:val="0"/>
      <w:marBottom w:val="0"/>
      <w:divBdr>
        <w:top w:val="none" w:sz="0" w:space="0" w:color="auto"/>
        <w:left w:val="none" w:sz="0" w:space="0" w:color="auto"/>
        <w:bottom w:val="none" w:sz="0" w:space="0" w:color="auto"/>
        <w:right w:val="none" w:sz="0" w:space="0" w:color="auto"/>
      </w:divBdr>
    </w:div>
    <w:div w:id="1379742955">
      <w:bodyDiv w:val="1"/>
      <w:marLeft w:val="0"/>
      <w:marRight w:val="0"/>
      <w:marTop w:val="0"/>
      <w:marBottom w:val="0"/>
      <w:divBdr>
        <w:top w:val="none" w:sz="0" w:space="0" w:color="auto"/>
        <w:left w:val="none" w:sz="0" w:space="0" w:color="auto"/>
        <w:bottom w:val="none" w:sz="0" w:space="0" w:color="auto"/>
        <w:right w:val="none" w:sz="0" w:space="0" w:color="auto"/>
      </w:divBdr>
    </w:div>
    <w:div w:id="1385444077">
      <w:bodyDiv w:val="1"/>
      <w:marLeft w:val="0"/>
      <w:marRight w:val="0"/>
      <w:marTop w:val="0"/>
      <w:marBottom w:val="0"/>
      <w:divBdr>
        <w:top w:val="none" w:sz="0" w:space="0" w:color="auto"/>
        <w:left w:val="none" w:sz="0" w:space="0" w:color="auto"/>
        <w:bottom w:val="none" w:sz="0" w:space="0" w:color="auto"/>
        <w:right w:val="none" w:sz="0" w:space="0" w:color="auto"/>
      </w:divBdr>
    </w:div>
    <w:div w:id="1388914906">
      <w:bodyDiv w:val="1"/>
      <w:marLeft w:val="0"/>
      <w:marRight w:val="0"/>
      <w:marTop w:val="0"/>
      <w:marBottom w:val="0"/>
      <w:divBdr>
        <w:top w:val="none" w:sz="0" w:space="0" w:color="auto"/>
        <w:left w:val="none" w:sz="0" w:space="0" w:color="auto"/>
        <w:bottom w:val="none" w:sz="0" w:space="0" w:color="auto"/>
        <w:right w:val="none" w:sz="0" w:space="0" w:color="auto"/>
      </w:divBdr>
    </w:div>
    <w:div w:id="1392733916">
      <w:bodyDiv w:val="1"/>
      <w:marLeft w:val="0"/>
      <w:marRight w:val="0"/>
      <w:marTop w:val="0"/>
      <w:marBottom w:val="0"/>
      <w:divBdr>
        <w:top w:val="none" w:sz="0" w:space="0" w:color="auto"/>
        <w:left w:val="none" w:sz="0" w:space="0" w:color="auto"/>
        <w:bottom w:val="none" w:sz="0" w:space="0" w:color="auto"/>
        <w:right w:val="none" w:sz="0" w:space="0" w:color="auto"/>
      </w:divBdr>
    </w:div>
    <w:div w:id="1414472334">
      <w:bodyDiv w:val="1"/>
      <w:marLeft w:val="0"/>
      <w:marRight w:val="0"/>
      <w:marTop w:val="0"/>
      <w:marBottom w:val="0"/>
      <w:divBdr>
        <w:top w:val="none" w:sz="0" w:space="0" w:color="auto"/>
        <w:left w:val="none" w:sz="0" w:space="0" w:color="auto"/>
        <w:bottom w:val="none" w:sz="0" w:space="0" w:color="auto"/>
        <w:right w:val="none" w:sz="0" w:space="0" w:color="auto"/>
      </w:divBdr>
    </w:div>
    <w:div w:id="1466041415">
      <w:bodyDiv w:val="1"/>
      <w:marLeft w:val="0"/>
      <w:marRight w:val="0"/>
      <w:marTop w:val="0"/>
      <w:marBottom w:val="0"/>
      <w:divBdr>
        <w:top w:val="none" w:sz="0" w:space="0" w:color="auto"/>
        <w:left w:val="none" w:sz="0" w:space="0" w:color="auto"/>
        <w:bottom w:val="none" w:sz="0" w:space="0" w:color="auto"/>
        <w:right w:val="none" w:sz="0" w:space="0" w:color="auto"/>
      </w:divBdr>
    </w:div>
    <w:div w:id="1471511143">
      <w:bodyDiv w:val="1"/>
      <w:marLeft w:val="0"/>
      <w:marRight w:val="0"/>
      <w:marTop w:val="0"/>
      <w:marBottom w:val="0"/>
      <w:divBdr>
        <w:top w:val="none" w:sz="0" w:space="0" w:color="auto"/>
        <w:left w:val="none" w:sz="0" w:space="0" w:color="auto"/>
        <w:bottom w:val="none" w:sz="0" w:space="0" w:color="auto"/>
        <w:right w:val="none" w:sz="0" w:space="0" w:color="auto"/>
      </w:divBdr>
    </w:div>
    <w:div w:id="1477332214">
      <w:bodyDiv w:val="1"/>
      <w:marLeft w:val="0"/>
      <w:marRight w:val="0"/>
      <w:marTop w:val="0"/>
      <w:marBottom w:val="0"/>
      <w:divBdr>
        <w:top w:val="none" w:sz="0" w:space="0" w:color="auto"/>
        <w:left w:val="none" w:sz="0" w:space="0" w:color="auto"/>
        <w:bottom w:val="none" w:sz="0" w:space="0" w:color="auto"/>
        <w:right w:val="none" w:sz="0" w:space="0" w:color="auto"/>
      </w:divBdr>
    </w:div>
    <w:div w:id="1488206023">
      <w:bodyDiv w:val="1"/>
      <w:marLeft w:val="0"/>
      <w:marRight w:val="0"/>
      <w:marTop w:val="0"/>
      <w:marBottom w:val="0"/>
      <w:divBdr>
        <w:top w:val="none" w:sz="0" w:space="0" w:color="auto"/>
        <w:left w:val="none" w:sz="0" w:space="0" w:color="auto"/>
        <w:bottom w:val="none" w:sz="0" w:space="0" w:color="auto"/>
        <w:right w:val="none" w:sz="0" w:space="0" w:color="auto"/>
      </w:divBdr>
    </w:div>
    <w:div w:id="1498114983">
      <w:bodyDiv w:val="1"/>
      <w:marLeft w:val="0"/>
      <w:marRight w:val="0"/>
      <w:marTop w:val="0"/>
      <w:marBottom w:val="0"/>
      <w:divBdr>
        <w:top w:val="none" w:sz="0" w:space="0" w:color="auto"/>
        <w:left w:val="none" w:sz="0" w:space="0" w:color="auto"/>
        <w:bottom w:val="none" w:sz="0" w:space="0" w:color="auto"/>
        <w:right w:val="none" w:sz="0" w:space="0" w:color="auto"/>
      </w:divBdr>
    </w:div>
    <w:div w:id="1502114027">
      <w:bodyDiv w:val="1"/>
      <w:marLeft w:val="0"/>
      <w:marRight w:val="0"/>
      <w:marTop w:val="0"/>
      <w:marBottom w:val="0"/>
      <w:divBdr>
        <w:top w:val="none" w:sz="0" w:space="0" w:color="auto"/>
        <w:left w:val="none" w:sz="0" w:space="0" w:color="auto"/>
        <w:bottom w:val="none" w:sz="0" w:space="0" w:color="auto"/>
        <w:right w:val="none" w:sz="0" w:space="0" w:color="auto"/>
      </w:divBdr>
    </w:div>
    <w:div w:id="1508521630">
      <w:bodyDiv w:val="1"/>
      <w:marLeft w:val="0"/>
      <w:marRight w:val="0"/>
      <w:marTop w:val="0"/>
      <w:marBottom w:val="0"/>
      <w:divBdr>
        <w:top w:val="none" w:sz="0" w:space="0" w:color="auto"/>
        <w:left w:val="none" w:sz="0" w:space="0" w:color="auto"/>
        <w:bottom w:val="none" w:sz="0" w:space="0" w:color="auto"/>
        <w:right w:val="none" w:sz="0" w:space="0" w:color="auto"/>
      </w:divBdr>
    </w:div>
    <w:div w:id="1512449540">
      <w:bodyDiv w:val="1"/>
      <w:marLeft w:val="0"/>
      <w:marRight w:val="0"/>
      <w:marTop w:val="0"/>
      <w:marBottom w:val="0"/>
      <w:divBdr>
        <w:top w:val="none" w:sz="0" w:space="0" w:color="auto"/>
        <w:left w:val="none" w:sz="0" w:space="0" w:color="auto"/>
        <w:bottom w:val="none" w:sz="0" w:space="0" w:color="auto"/>
        <w:right w:val="none" w:sz="0" w:space="0" w:color="auto"/>
      </w:divBdr>
    </w:div>
    <w:div w:id="1543664755">
      <w:bodyDiv w:val="1"/>
      <w:marLeft w:val="0"/>
      <w:marRight w:val="0"/>
      <w:marTop w:val="0"/>
      <w:marBottom w:val="0"/>
      <w:divBdr>
        <w:top w:val="none" w:sz="0" w:space="0" w:color="auto"/>
        <w:left w:val="none" w:sz="0" w:space="0" w:color="auto"/>
        <w:bottom w:val="none" w:sz="0" w:space="0" w:color="auto"/>
        <w:right w:val="none" w:sz="0" w:space="0" w:color="auto"/>
      </w:divBdr>
    </w:div>
    <w:div w:id="1565986435">
      <w:bodyDiv w:val="1"/>
      <w:marLeft w:val="0"/>
      <w:marRight w:val="0"/>
      <w:marTop w:val="0"/>
      <w:marBottom w:val="0"/>
      <w:divBdr>
        <w:top w:val="none" w:sz="0" w:space="0" w:color="auto"/>
        <w:left w:val="none" w:sz="0" w:space="0" w:color="auto"/>
        <w:bottom w:val="none" w:sz="0" w:space="0" w:color="auto"/>
        <w:right w:val="none" w:sz="0" w:space="0" w:color="auto"/>
      </w:divBdr>
    </w:div>
    <w:div w:id="1576040913">
      <w:bodyDiv w:val="1"/>
      <w:marLeft w:val="0"/>
      <w:marRight w:val="0"/>
      <w:marTop w:val="0"/>
      <w:marBottom w:val="0"/>
      <w:divBdr>
        <w:top w:val="none" w:sz="0" w:space="0" w:color="auto"/>
        <w:left w:val="none" w:sz="0" w:space="0" w:color="auto"/>
        <w:bottom w:val="none" w:sz="0" w:space="0" w:color="auto"/>
        <w:right w:val="none" w:sz="0" w:space="0" w:color="auto"/>
      </w:divBdr>
    </w:div>
    <w:div w:id="1578710786">
      <w:bodyDiv w:val="1"/>
      <w:marLeft w:val="0"/>
      <w:marRight w:val="0"/>
      <w:marTop w:val="0"/>
      <w:marBottom w:val="0"/>
      <w:divBdr>
        <w:top w:val="none" w:sz="0" w:space="0" w:color="auto"/>
        <w:left w:val="none" w:sz="0" w:space="0" w:color="auto"/>
        <w:bottom w:val="none" w:sz="0" w:space="0" w:color="auto"/>
        <w:right w:val="none" w:sz="0" w:space="0" w:color="auto"/>
      </w:divBdr>
    </w:div>
    <w:div w:id="1579093338">
      <w:bodyDiv w:val="1"/>
      <w:marLeft w:val="0"/>
      <w:marRight w:val="0"/>
      <w:marTop w:val="0"/>
      <w:marBottom w:val="0"/>
      <w:divBdr>
        <w:top w:val="none" w:sz="0" w:space="0" w:color="auto"/>
        <w:left w:val="none" w:sz="0" w:space="0" w:color="auto"/>
        <w:bottom w:val="none" w:sz="0" w:space="0" w:color="auto"/>
        <w:right w:val="none" w:sz="0" w:space="0" w:color="auto"/>
      </w:divBdr>
    </w:div>
    <w:div w:id="1584030897">
      <w:bodyDiv w:val="1"/>
      <w:marLeft w:val="0"/>
      <w:marRight w:val="0"/>
      <w:marTop w:val="0"/>
      <w:marBottom w:val="0"/>
      <w:divBdr>
        <w:top w:val="none" w:sz="0" w:space="0" w:color="auto"/>
        <w:left w:val="none" w:sz="0" w:space="0" w:color="auto"/>
        <w:bottom w:val="none" w:sz="0" w:space="0" w:color="auto"/>
        <w:right w:val="none" w:sz="0" w:space="0" w:color="auto"/>
      </w:divBdr>
    </w:div>
    <w:div w:id="1587610673">
      <w:bodyDiv w:val="1"/>
      <w:marLeft w:val="0"/>
      <w:marRight w:val="0"/>
      <w:marTop w:val="0"/>
      <w:marBottom w:val="0"/>
      <w:divBdr>
        <w:top w:val="none" w:sz="0" w:space="0" w:color="auto"/>
        <w:left w:val="none" w:sz="0" w:space="0" w:color="auto"/>
        <w:bottom w:val="none" w:sz="0" w:space="0" w:color="auto"/>
        <w:right w:val="none" w:sz="0" w:space="0" w:color="auto"/>
      </w:divBdr>
    </w:div>
    <w:div w:id="1662586312">
      <w:bodyDiv w:val="1"/>
      <w:marLeft w:val="0"/>
      <w:marRight w:val="0"/>
      <w:marTop w:val="0"/>
      <w:marBottom w:val="0"/>
      <w:divBdr>
        <w:top w:val="none" w:sz="0" w:space="0" w:color="auto"/>
        <w:left w:val="none" w:sz="0" w:space="0" w:color="auto"/>
        <w:bottom w:val="none" w:sz="0" w:space="0" w:color="auto"/>
        <w:right w:val="none" w:sz="0" w:space="0" w:color="auto"/>
      </w:divBdr>
    </w:div>
    <w:div w:id="1718310577">
      <w:bodyDiv w:val="1"/>
      <w:marLeft w:val="0"/>
      <w:marRight w:val="0"/>
      <w:marTop w:val="0"/>
      <w:marBottom w:val="0"/>
      <w:divBdr>
        <w:top w:val="none" w:sz="0" w:space="0" w:color="auto"/>
        <w:left w:val="none" w:sz="0" w:space="0" w:color="auto"/>
        <w:bottom w:val="none" w:sz="0" w:space="0" w:color="auto"/>
        <w:right w:val="none" w:sz="0" w:space="0" w:color="auto"/>
      </w:divBdr>
    </w:div>
    <w:div w:id="1718821855">
      <w:bodyDiv w:val="1"/>
      <w:marLeft w:val="0"/>
      <w:marRight w:val="0"/>
      <w:marTop w:val="0"/>
      <w:marBottom w:val="0"/>
      <w:divBdr>
        <w:top w:val="none" w:sz="0" w:space="0" w:color="auto"/>
        <w:left w:val="none" w:sz="0" w:space="0" w:color="auto"/>
        <w:bottom w:val="none" w:sz="0" w:space="0" w:color="auto"/>
        <w:right w:val="none" w:sz="0" w:space="0" w:color="auto"/>
      </w:divBdr>
    </w:div>
    <w:div w:id="1722096923">
      <w:bodyDiv w:val="1"/>
      <w:marLeft w:val="0"/>
      <w:marRight w:val="0"/>
      <w:marTop w:val="0"/>
      <w:marBottom w:val="0"/>
      <w:divBdr>
        <w:top w:val="none" w:sz="0" w:space="0" w:color="auto"/>
        <w:left w:val="none" w:sz="0" w:space="0" w:color="auto"/>
        <w:bottom w:val="none" w:sz="0" w:space="0" w:color="auto"/>
        <w:right w:val="none" w:sz="0" w:space="0" w:color="auto"/>
      </w:divBdr>
    </w:div>
    <w:div w:id="1734354052">
      <w:bodyDiv w:val="1"/>
      <w:marLeft w:val="0"/>
      <w:marRight w:val="0"/>
      <w:marTop w:val="0"/>
      <w:marBottom w:val="0"/>
      <w:divBdr>
        <w:top w:val="none" w:sz="0" w:space="0" w:color="auto"/>
        <w:left w:val="none" w:sz="0" w:space="0" w:color="auto"/>
        <w:bottom w:val="none" w:sz="0" w:space="0" w:color="auto"/>
        <w:right w:val="none" w:sz="0" w:space="0" w:color="auto"/>
      </w:divBdr>
    </w:div>
    <w:div w:id="1740127363">
      <w:bodyDiv w:val="1"/>
      <w:marLeft w:val="0"/>
      <w:marRight w:val="0"/>
      <w:marTop w:val="0"/>
      <w:marBottom w:val="0"/>
      <w:divBdr>
        <w:top w:val="none" w:sz="0" w:space="0" w:color="auto"/>
        <w:left w:val="none" w:sz="0" w:space="0" w:color="auto"/>
        <w:bottom w:val="none" w:sz="0" w:space="0" w:color="auto"/>
        <w:right w:val="none" w:sz="0" w:space="0" w:color="auto"/>
      </w:divBdr>
    </w:div>
    <w:div w:id="1743404113">
      <w:bodyDiv w:val="1"/>
      <w:marLeft w:val="0"/>
      <w:marRight w:val="0"/>
      <w:marTop w:val="0"/>
      <w:marBottom w:val="0"/>
      <w:divBdr>
        <w:top w:val="none" w:sz="0" w:space="0" w:color="auto"/>
        <w:left w:val="none" w:sz="0" w:space="0" w:color="auto"/>
        <w:bottom w:val="none" w:sz="0" w:space="0" w:color="auto"/>
        <w:right w:val="none" w:sz="0" w:space="0" w:color="auto"/>
      </w:divBdr>
    </w:div>
    <w:div w:id="1754467074">
      <w:bodyDiv w:val="1"/>
      <w:marLeft w:val="0"/>
      <w:marRight w:val="0"/>
      <w:marTop w:val="0"/>
      <w:marBottom w:val="0"/>
      <w:divBdr>
        <w:top w:val="none" w:sz="0" w:space="0" w:color="auto"/>
        <w:left w:val="none" w:sz="0" w:space="0" w:color="auto"/>
        <w:bottom w:val="none" w:sz="0" w:space="0" w:color="auto"/>
        <w:right w:val="none" w:sz="0" w:space="0" w:color="auto"/>
      </w:divBdr>
    </w:div>
    <w:div w:id="1766655541">
      <w:bodyDiv w:val="1"/>
      <w:marLeft w:val="0"/>
      <w:marRight w:val="0"/>
      <w:marTop w:val="0"/>
      <w:marBottom w:val="0"/>
      <w:divBdr>
        <w:top w:val="none" w:sz="0" w:space="0" w:color="auto"/>
        <w:left w:val="none" w:sz="0" w:space="0" w:color="auto"/>
        <w:bottom w:val="none" w:sz="0" w:space="0" w:color="auto"/>
        <w:right w:val="none" w:sz="0" w:space="0" w:color="auto"/>
      </w:divBdr>
    </w:div>
    <w:div w:id="1780106774">
      <w:bodyDiv w:val="1"/>
      <w:marLeft w:val="0"/>
      <w:marRight w:val="0"/>
      <w:marTop w:val="0"/>
      <w:marBottom w:val="0"/>
      <w:divBdr>
        <w:top w:val="none" w:sz="0" w:space="0" w:color="auto"/>
        <w:left w:val="none" w:sz="0" w:space="0" w:color="auto"/>
        <w:bottom w:val="none" w:sz="0" w:space="0" w:color="auto"/>
        <w:right w:val="none" w:sz="0" w:space="0" w:color="auto"/>
      </w:divBdr>
    </w:div>
    <w:div w:id="1848472521">
      <w:bodyDiv w:val="1"/>
      <w:marLeft w:val="0"/>
      <w:marRight w:val="0"/>
      <w:marTop w:val="0"/>
      <w:marBottom w:val="0"/>
      <w:divBdr>
        <w:top w:val="none" w:sz="0" w:space="0" w:color="auto"/>
        <w:left w:val="none" w:sz="0" w:space="0" w:color="auto"/>
        <w:bottom w:val="none" w:sz="0" w:space="0" w:color="auto"/>
        <w:right w:val="none" w:sz="0" w:space="0" w:color="auto"/>
      </w:divBdr>
    </w:div>
    <w:div w:id="1849371790">
      <w:bodyDiv w:val="1"/>
      <w:marLeft w:val="0"/>
      <w:marRight w:val="0"/>
      <w:marTop w:val="0"/>
      <w:marBottom w:val="0"/>
      <w:divBdr>
        <w:top w:val="none" w:sz="0" w:space="0" w:color="auto"/>
        <w:left w:val="none" w:sz="0" w:space="0" w:color="auto"/>
        <w:bottom w:val="none" w:sz="0" w:space="0" w:color="auto"/>
        <w:right w:val="none" w:sz="0" w:space="0" w:color="auto"/>
      </w:divBdr>
    </w:div>
    <w:div w:id="1881236358">
      <w:bodyDiv w:val="1"/>
      <w:marLeft w:val="0"/>
      <w:marRight w:val="0"/>
      <w:marTop w:val="0"/>
      <w:marBottom w:val="0"/>
      <w:divBdr>
        <w:top w:val="none" w:sz="0" w:space="0" w:color="auto"/>
        <w:left w:val="none" w:sz="0" w:space="0" w:color="auto"/>
        <w:bottom w:val="none" w:sz="0" w:space="0" w:color="auto"/>
        <w:right w:val="none" w:sz="0" w:space="0" w:color="auto"/>
      </w:divBdr>
    </w:div>
    <w:div w:id="1885630500">
      <w:bodyDiv w:val="1"/>
      <w:marLeft w:val="0"/>
      <w:marRight w:val="0"/>
      <w:marTop w:val="0"/>
      <w:marBottom w:val="0"/>
      <w:divBdr>
        <w:top w:val="none" w:sz="0" w:space="0" w:color="auto"/>
        <w:left w:val="none" w:sz="0" w:space="0" w:color="auto"/>
        <w:bottom w:val="none" w:sz="0" w:space="0" w:color="auto"/>
        <w:right w:val="none" w:sz="0" w:space="0" w:color="auto"/>
      </w:divBdr>
    </w:div>
    <w:div w:id="1888956424">
      <w:bodyDiv w:val="1"/>
      <w:marLeft w:val="0"/>
      <w:marRight w:val="0"/>
      <w:marTop w:val="0"/>
      <w:marBottom w:val="0"/>
      <w:divBdr>
        <w:top w:val="none" w:sz="0" w:space="0" w:color="auto"/>
        <w:left w:val="none" w:sz="0" w:space="0" w:color="auto"/>
        <w:bottom w:val="none" w:sz="0" w:space="0" w:color="auto"/>
        <w:right w:val="none" w:sz="0" w:space="0" w:color="auto"/>
      </w:divBdr>
    </w:div>
    <w:div w:id="1943222077">
      <w:bodyDiv w:val="1"/>
      <w:marLeft w:val="0"/>
      <w:marRight w:val="0"/>
      <w:marTop w:val="0"/>
      <w:marBottom w:val="0"/>
      <w:divBdr>
        <w:top w:val="none" w:sz="0" w:space="0" w:color="auto"/>
        <w:left w:val="none" w:sz="0" w:space="0" w:color="auto"/>
        <w:bottom w:val="none" w:sz="0" w:space="0" w:color="auto"/>
        <w:right w:val="none" w:sz="0" w:space="0" w:color="auto"/>
      </w:divBdr>
    </w:div>
    <w:div w:id="1943679168">
      <w:bodyDiv w:val="1"/>
      <w:marLeft w:val="0"/>
      <w:marRight w:val="0"/>
      <w:marTop w:val="0"/>
      <w:marBottom w:val="0"/>
      <w:divBdr>
        <w:top w:val="none" w:sz="0" w:space="0" w:color="auto"/>
        <w:left w:val="none" w:sz="0" w:space="0" w:color="auto"/>
        <w:bottom w:val="none" w:sz="0" w:space="0" w:color="auto"/>
        <w:right w:val="none" w:sz="0" w:space="0" w:color="auto"/>
      </w:divBdr>
    </w:div>
    <w:div w:id="1951349733">
      <w:bodyDiv w:val="1"/>
      <w:marLeft w:val="0"/>
      <w:marRight w:val="0"/>
      <w:marTop w:val="0"/>
      <w:marBottom w:val="0"/>
      <w:divBdr>
        <w:top w:val="none" w:sz="0" w:space="0" w:color="auto"/>
        <w:left w:val="none" w:sz="0" w:space="0" w:color="auto"/>
        <w:bottom w:val="none" w:sz="0" w:space="0" w:color="auto"/>
        <w:right w:val="none" w:sz="0" w:space="0" w:color="auto"/>
      </w:divBdr>
    </w:div>
    <w:div w:id="1964115143">
      <w:bodyDiv w:val="1"/>
      <w:marLeft w:val="0"/>
      <w:marRight w:val="0"/>
      <w:marTop w:val="0"/>
      <w:marBottom w:val="0"/>
      <w:divBdr>
        <w:top w:val="none" w:sz="0" w:space="0" w:color="auto"/>
        <w:left w:val="none" w:sz="0" w:space="0" w:color="auto"/>
        <w:bottom w:val="none" w:sz="0" w:space="0" w:color="auto"/>
        <w:right w:val="none" w:sz="0" w:space="0" w:color="auto"/>
      </w:divBdr>
    </w:div>
    <w:div w:id="1983921859">
      <w:bodyDiv w:val="1"/>
      <w:marLeft w:val="0"/>
      <w:marRight w:val="0"/>
      <w:marTop w:val="0"/>
      <w:marBottom w:val="0"/>
      <w:divBdr>
        <w:top w:val="none" w:sz="0" w:space="0" w:color="auto"/>
        <w:left w:val="none" w:sz="0" w:space="0" w:color="auto"/>
        <w:bottom w:val="none" w:sz="0" w:space="0" w:color="auto"/>
        <w:right w:val="none" w:sz="0" w:space="0" w:color="auto"/>
      </w:divBdr>
    </w:div>
    <w:div w:id="1989938374">
      <w:bodyDiv w:val="1"/>
      <w:marLeft w:val="0"/>
      <w:marRight w:val="0"/>
      <w:marTop w:val="0"/>
      <w:marBottom w:val="0"/>
      <w:divBdr>
        <w:top w:val="none" w:sz="0" w:space="0" w:color="auto"/>
        <w:left w:val="none" w:sz="0" w:space="0" w:color="auto"/>
        <w:bottom w:val="none" w:sz="0" w:space="0" w:color="auto"/>
        <w:right w:val="none" w:sz="0" w:space="0" w:color="auto"/>
      </w:divBdr>
    </w:div>
    <w:div w:id="2003853845">
      <w:bodyDiv w:val="1"/>
      <w:marLeft w:val="0"/>
      <w:marRight w:val="0"/>
      <w:marTop w:val="0"/>
      <w:marBottom w:val="0"/>
      <w:divBdr>
        <w:top w:val="none" w:sz="0" w:space="0" w:color="auto"/>
        <w:left w:val="none" w:sz="0" w:space="0" w:color="auto"/>
        <w:bottom w:val="none" w:sz="0" w:space="0" w:color="auto"/>
        <w:right w:val="none" w:sz="0" w:space="0" w:color="auto"/>
      </w:divBdr>
    </w:div>
    <w:div w:id="2015183462">
      <w:bodyDiv w:val="1"/>
      <w:marLeft w:val="0"/>
      <w:marRight w:val="0"/>
      <w:marTop w:val="0"/>
      <w:marBottom w:val="0"/>
      <w:divBdr>
        <w:top w:val="none" w:sz="0" w:space="0" w:color="auto"/>
        <w:left w:val="none" w:sz="0" w:space="0" w:color="auto"/>
        <w:bottom w:val="none" w:sz="0" w:space="0" w:color="auto"/>
        <w:right w:val="none" w:sz="0" w:space="0" w:color="auto"/>
      </w:divBdr>
    </w:div>
    <w:div w:id="2027049877">
      <w:bodyDiv w:val="1"/>
      <w:marLeft w:val="0"/>
      <w:marRight w:val="0"/>
      <w:marTop w:val="0"/>
      <w:marBottom w:val="0"/>
      <w:divBdr>
        <w:top w:val="none" w:sz="0" w:space="0" w:color="auto"/>
        <w:left w:val="none" w:sz="0" w:space="0" w:color="auto"/>
        <w:bottom w:val="none" w:sz="0" w:space="0" w:color="auto"/>
        <w:right w:val="none" w:sz="0" w:space="0" w:color="auto"/>
      </w:divBdr>
    </w:div>
    <w:div w:id="2050258399">
      <w:bodyDiv w:val="1"/>
      <w:marLeft w:val="0"/>
      <w:marRight w:val="0"/>
      <w:marTop w:val="0"/>
      <w:marBottom w:val="0"/>
      <w:divBdr>
        <w:top w:val="none" w:sz="0" w:space="0" w:color="auto"/>
        <w:left w:val="none" w:sz="0" w:space="0" w:color="auto"/>
        <w:bottom w:val="none" w:sz="0" w:space="0" w:color="auto"/>
        <w:right w:val="none" w:sz="0" w:space="0" w:color="auto"/>
      </w:divBdr>
    </w:div>
    <w:div w:id="2060741065">
      <w:bodyDiv w:val="1"/>
      <w:marLeft w:val="0"/>
      <w:marRight w:val="0"/>
      <w:marTop w:val="0"/>
      <w:marBottom w:val="0"/>
      <w:divBdr>
        <w:top w:val="none" w:sz="0" w:space="0" w:color="auto"/>
        <w:left w:val="none" w:sz="0" w:space="0" w:color="auto"/>
        <w:bottom w:val="none" w:sz="0" w:space="0" w:color="auto"/>
        <w:right w:val="none" w:sz="0" w:space="0" w:color="auto"/>
      </w:divBdr>
    </w:div>
    <w:div w:id="2061128914">
      <w:bodyDiv w:val="1"/>
      <w:marLeft w:val="0"/>
      <w:marRight w:val="0"/>
      <w:marTop w:val="0"/>
      <w:marBottom w:val="0"/>
      <w:divBdr>
        <w:top w:val="none" w:sz="0" w:space="0" w:color="auto"/>
        <w:left w:val="none" w:sz="0" w:space="0" w:color="auto"/>
        <w:bottom w:val="none" w:sz="0" w:space="0" w:color="auto"/>
        <w:right w:val="none" w:sz="0" w:space="0" w:color="auto"/>
      </w:divBdr>
    </w:div>
    <w:div w:id="2064720080">
      <w:bodyDiv w:val="1"/>
      <w:marLeft w:val="0"/>
      <w:marRight w:val="0"/>
      <w:marTop w:val="0"/>
      <w:marBottom w:val="0"/>
      <w:divBdr>
        <w:top w:val="none" w:sz="0" w:space="0" w:color="auto"/>
        <w:left w:val="none" w:sz="0" w:space="0" w:color="auto"/>
        <w:bottom w:val="none" w:sz="0" w:space="0" w:color="auto"/>
        <w:right w:val="none" w:sz="0" w:space="0" w:color="auto"/>
      </w:divBdr>
    </w:div>
    <w:div w:id="2066030035">
      <w:bodyDiv w:val="1"/>
      <w:marLeft w:val="0"/>
      <w:marRight w:val="0"/>
      <w:marTop w:val="0"/>
      <w:marBottom w:val="0"/>
      <w:divBdr>
        <w:top w:val="none" w:sz="0" w:space="0" w:color="auto"/>
        <w:left w:val="none" w:sz="0" w:space="0" w:color="auto"/>
        <w:bottom w:val="none" w:sz="0" w:space="0" w:color="auto"/>
        <w:right w:val="none" w:sz="0" w:space="0" w:color="auto"/>
      </w:divBdr>
    </w:div>
    <w:div w:id="2078746424">
      <w:bodyDiv w:val="1"/>
      <w:marLeft w:val="0"/>
      <w:marRight w:val="0"/>
      <w:marTop w:val="0"/>
      <w:marBottom w:val="0"/>
      <w:divBdr>
        <w:top w:val="none" w:sz="0" w:space="0" w:color="auto"/>
        <w:left w:val="none" w:sz="0" w:space="0" w:color="auto"/>
        <w:bottom w:val="none" w:sz="0" w:space="0" w:color="auto"/>
        <w:right w:val="none" w:sz="0" w:space="0" w:color="auto"/>
      </w:divBdr>
    </w:div>
    <w:div w:id="2108116041">
      <w:bodyDiv w:val="1"/>
      <w:marLeft w:val="0"/>
      <w:marRight w:val="0"/>
      <w:marTop w:val="0"/>
      <w:marBottom w:val="0"/>
      <w:divBdr>
        <w:top w:val="none" w:sz="0" w:space="0" w:color="auto"/>
        <w:left w:val="none" w:sz="0" w:space="0" w:color="auto"/>
        <w:bottom w:val="none" w:sz="0" w:space="0" w:color="auto"/>
        <w:right w:val="none" w:sz="0" w:space="0" w:color="auto"/>
      </w:divBdr>
    </w:div>
    <w:div w:id="2130856411">
      <w:bodyDiv w:val="1"/>
      <w:marLeft w:val="0"/>
      <w:marRight w:val="0"/>
      <w:marTop w:val="0"/>
      <w:marBottom w:val="0"/>
      <w:divBdr>
        <w:top w:val="none" w:sz="0" w:space="0" w:color="auto"/>
        <w:left w:val="none" w:sz="0" w:space="0" w:color="auto"/>
        <w:bottom w:val="none" w:sz="0" w:space="0" w:color="auto"/>
        <w:right w:val="none" w:sz="0" w:space="0" w:color="auto"/>
      </w:divBdr>
    </w:div>
    <w:div w:id="2145386923">
      <w:bodyDiv w:val="1"/>
      <w:marLeft w:val="0"/>
      <w:marRight w:val="0"/>
      <w:marTop w:val="0"/>
      <w:marBottom w:val="0"/>
      <w:divBdr>
        <w:top w:val="none" w:sz="0" w:space="0" w:color="auto"/>
        <w:left w:val="none" w:sz="0" w:space="0" w:color="auto"/>
        <w:bottom w:val="none" w:sz="0" w:space="0" w:color="auto"/>
        <w:right w:val="none" w:sz="0" w:space="0" w:color="auto"/>
      </w:divBdr>
    </w:div>
    <w:div w:id="2146190528">
      <w:bodyDiv w:val="1"/>
      <w:marLeft w:val="0"/>
      <w:marRight w:val="0"/>
      <w:marTop w:val="0"/>
      <w:marBottom w:val="0"/>
      <w:divBdr>
        <w:top w:val="none" w:sz="0" w:space="0" w:color="auto"/>
        <w:left w:val="none" w:sz="0" w:space="0" w:color="auto"/>
        <w:bottom w:val="none" w:sz="0" w:space="0" w:color="auto"/>
        <w:right w:val="none" w:sz="0" w:space="0" w:color="auto"/>
      </w:divBdr>
    </w:div>
    <w:div w:id="2146509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556F33B6F03A1F9FB0AD35A5ED64A320B53B1CEF8C01C9A7D81EBCE6AD897785C15F825301A8322F4ACFF7O4P3M" TargetMode="External"/><Relationship Id="rId18" Type="http://schemas.openxmlformats.org/officeDocument/2006/relationships/hyperlink" Target="consultantplus://offline/ref=556F33B6F03A1F9FB0AD35A5ED64A320B53B1CEF8C01C9A7D81EBCE6AD897785C15F825301A8322F4ACFFCO4P5M" TargetMode="External"/><Relationship Id="rId26" Type="http://schemas.openxmlformats.org/officeDocument/2006/relationships/image" Target="media/image2.png"/><Relationship Id="rId39" Type="http://schemas.openxmlformats.org/officeDocument/2006/relationships/fontTable" Target="fontTable.xml"/><Relationship Id="rId21" Type="http://schemas.openxmlformats.org/officeDocument/2006/relationships/chart" Target="charts/chart9.xml"/><Relationship Id="rId34" Type="http://schemas.openxmlformats.org/officeDocument/2006/relationships/hyperlink" Target="consultantplus://offline/ref=3EBE9C8B1018B42F345C42E672952DA1EB1FE6B7E73354DE06C43336CA45C769D9AC8EBFAB3C13D57C10948E53AF7ACBFB5164820E9C632AO029G" TargetMode="External"/><Relationship Id="rId42" Type="http://schemas.microsoft.com/office/2011/relationships/commentsExtended" Target="commentsExtended.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hyperlink" Target="consultantplus://offline/ref=556F33B6F03A1F9FB0AD35A5ED64A320B53B1CEF8C01C9A7D81EBCE6AD897785C15F825301A8322F4ACFFCO4P5M" TargetMode="External"/><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24" Type="http://schemas.openxmlformats.org/officeDocument/2006/relationships/chart" Target="charts/chart10.xml"/><Relationship Id="rId32" Type="http://schemas.openxmlformats.org/officeDocument/2006/relationships/hyperlink" Target="consultantplus://offline/ref=27F53E5D33E54074F932EE02418D20CDB9EF732A1E197315B54E20FFB165F4429485FEE56A9427055FAD1512B977E855947E1902D3683A82oDp5J" TargetMode="External"/><Relationship Id="rId37" Type="http://schemas.openxmlformats.org/officeDocument/2006/relationships/hyperlink" Target="consultantplus://offline/ref=7DE92594435AA36A13F33B0162B35985E719861D4437636B1E3FC5A4AE5F5442D1DA216F7B6FB43E2C05491A46F6F3C68AF6A5363C859675A3942A94aFrDD" TargetMode="Externa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hart" Target="charts/chart6.xml"/><Relationship Id="rId23" Type="http://schemas.openxmlformats.org/officeDocument/2006/relationships/hyperlink" Target="consultantplus://offline/ref=556F33B6F03A1F9FB0AD35A5ED64A320B53B1CEF8C01C9A7D81EBCE6AD897785C15F825301A8322F4ACFF7O4P3M" TargetMode="External"/><Relationship Id="rId28" Type="http://schemas.openxmlformats.org/officeDocument/2006/relationships/image" Target="media/image4.png"/><Relationship Id="rId36" Type="http://schemas.openxmlformats.org/officeDocument/2006/relationships/footer" Target="footer1.xml"/><Relationship Id="rId10" Type="http://schemas.openxmlformats.org/officeDocument/2006/relationships/chart" Target="charts/chart2.xml"/><Relationship Id="rId19" Type="http://schemas.openxmlformats.org/officeDocument/2006/relationships/hyperlink" Target="https://www.globalmsk.ru/catalog/id/18144" TargetMode="External"/><Relationship Id="rId31" Type="http://schemas.openxmlformats.org/officeDocument/2006/relationships/image" Target="media/image7.png"/><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chart" Target="charts/chart5.xml"/><Relationship Id="rId22" Type="http://schemas.openxmlformats.org/officeDocument/2006/relationships/hyperlink" Target="consultantplus://offline/ref=556F33B6F03A1F9FB0AD35A5ED64A320B53B1CEF8C01C9A7D81EBCE6AD897785C15F825301A8322F4ACFF7O4P3M" TargetMode="External"/><Relationship Id="rId27" Type="http://schemas.openxmlformats.org/officeDocument/2006/relationships/image" Target="media/image3.png"/><Relationship Id="rId30" Type="http://schemas.openxmlformats.org/officeDocument/2006/relationships/image" Target="media/image6.png"/><Relationship Id="rId35" Type="http://schemas.openxmlformats.org/officeDocument/2006/relationships/hyperlink" Target="http://sdoato.tomsk.gov.ru" TargetMode="External"/><Relationship Id="rId43" Type="http://schemas.microsoft.com/office/2011/relationships/people" Target="people.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chart" Target="charts/chart4.xml"/><Relationship Id="rId17" Type="http://schemas.openxmlformats.org/officeDocument/2006/relationships/chart" Target="charts/chart8.xml"/><Relationship Id="rId25" Type="http://schemas.openxmlformats.org/officeDocument/2006/relationships/image" Target="media/image1.png"/><Relationship Id="rId33" Type="http://schemas.openxmlformats.org/officeDocument/2006/relationships/hyperlink" Target="consultantplus://offline/ref=9A8748F6F011B7A4AA3A603F1F81E3BE2803C0A8260757F604065421172F47656303B210D773E5AB128E2AC26EA6D9FCEFE5C1CBE109B21EAAq1J" TargetMode="External"/><Relationship Id="rId38" Type="http://schemas.openxmlformats.org/officeDocument/2006/relationships/hyperlink" Target="http://www.bus.gov.ru"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intstore\deps\economydiv\11.%20&#1050;&#1086;&#1084;&#1080;&#1090;&#1077;&#1090;%20&#1057;&#1090;&#1088;&#1072;&#1090;&#1077;&#1075;&#1080;&#1095;&#1077;&#1089;&#1082;&#1086;&#1075;&#1086;%20&#1087;&#1083;&#1072;&#1085;&#1080;&#1088;&#1086;&#1074;&#1072;&#1085;&#1080;&#1103;%20&#1080;%20&#1089;&#1074;&#1086;&#1076;&#1085;&#1086;&#1081;%20&#1088;&#1072;&#1073;&#1086;&#1090;&#1099;\2.%20&#1043;&#1086;&#1076;&#1086;&#1074;&#1086;&#1081;%20&#1086;&#1090;&#1095;&#1077;&#1090;%20&#1043;&#1091;&#1073;&#1077;&#1088;&#1085;&#1072;&#1090;&#1086;&#1088;&#1072;\2019%20&#1075;&#1086;&#1076;\&#1048;&#1090;&#1086;&#1075;&#1086;&#1074;&#1099;&#1077;%20&#1088;&#1072;&#1079;&#1076;&#1077;&#1083;&#1099;%20&#1086;&#1090;&#1095;&#1077;&#1090;&#1072;\&#1042;&#1074;&#1077;&#1076;&#1077;&#1085;&#1080;&#1077;\&#1076;&#1080;&#1072;&#1075;&#1088;&#1072;&#1084;&#1084;&#1072;%20&#1042;&#1056;&#1055;%20&#1058;&#1054;.xlsx" TargetMode="External"/></Relationships>
</file>

<file path=word/charts/_rels/chart2.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C:\Users\kolosovala\AppData\Local\Microsoft\Windows\Temporary%20Internet%20Files\Content.Outlook\SLZD5RFK\&#1056;&#1072;&#1089;&#1095;&#1105;&#1090;&#1099;%20&#1087;&#1086;%20&#1091;&#1088;&#1086;&#1074;&#1085;&#1102;%20&#1078;&#1080;&#1079;&#1085;&#1080;.xlsx" TargetMode="External"/></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6.xml.rels><?xml version="1.0" encoding="UTF-8" standalone="yes"?>
<Relationships xmlns="http://schemas.openxmlformats.org/package/2006/relationships"><Relationship Id="rId3" Type="http://schemas.openxmlformats.org/officeDocument/2006/relationships/chartUserShapes" Target="../drawings/drawing3.xml"/><Relationship Id="rId2" Type="http://schemas.openxmlformats.org/officeDocument/2006/relationships/package" Target="../embeddings/Microsoft_Excel_Worksheet4.xlsx"/><Relationship Id="rId1" Type="http://schemas.openxmlformats.org/officeDocument/2006/relationships/themeOverride" Target="../theme/themeOverride2.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3.xml"/></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9.xml.rels><?xml version="1.0" encoding="UTF-8" standalone="yes"?>
<Relationships xmlns="http://schemas.openxmlformats.org/package/2006/relationships"><Relationship Id="rId3" Type="http://schemas.openxmlformats.org/officeDocument/2006/relationships/chartUserShapes" Target="../drawings/drawing4.xml"/><Relationship Id="rId2" Type="http://schemas.openxmlformats.org/officeDocument/2006/relationships/oleObject" Target="file:///C:\Users\aleksandrovva\Desktop\&#1044;&#1080;&#1072;&#1075;&#1088;&#1072;&#1084;&#1084;&#1072;%20&#1074;%20Microsoft%20Word.xlsx" TargetMode="External"/><Relationship Id="rId1" Type="http://schemas.openxmlformats.org/officeDocument/2006/relationships/themeOverride" Target="../theme/themeOverride4.xml"/></Relationships>
</file>

<file path=word/charts/_rels/chart10.xml.rels><?xml version="1.0" encoding="UTF-8" standalone="yes"?>
<Relationships xmlns="http://schemas.openxmlformats.org/package/2006/relationships"><Relationship Id="rId2" Type="http://schemas.openxmlformats.org/officeDocument/2006/relationships/package" Target="../embeddings/Microsoft_Excel_Worksheet7.xlsx"/><Relationship Id="rId1" Type="http://schemas.openxmlformats.org/officeDocument/2006/relationships/themeOverride" Target="../theme/themeOverride5.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b="1"/>
            </a:pPr>
            <a:r>
              <a:rPr lang="ru-RU" b="1"/>
              <a:t>ВРП Томской области </a:t>
            </a:r>
          </a:p>
        </c:rich>
      </c:tx>
      <c:overlay val="0"/>
    </c:title>
    <c:autoTitleDeleted val="0"/>
    <c:plotArea>
      <c:layout/>
      <c:barChart>
        <c:barDir val="col"/>
        <c:grouping val="clustered"/>
        <c:varyColors val="0"/>
        <c:ser>
          <c:idx val="1"/>
          <c:order val="0"/>
          <c:tx>
            <c:strRef>
              <c:f>Лист1!$E$8</c:f>
              <c:strCache>
                <c:ptCount val="1"/>
                <c:pt idx="0">
                  <c:v>ВРП ТО, млрд. руб.</c:v>
                </c:pt>
              </c:strCache>
            </c:strRef>
          </c:tx>
          <c:spPr>
            <a:solidFill>
              <a:srgbClr val="007635"/>
            </a:solidFill>
            <a:ln w="12700">
              <a:solidFill>
                <a:srgbClr val="00B050"/>
              </a:solidFill>
              <a:prstDash val="solid"/>
            </a:ln>
          </c:spPr>
          <c:invertIfNegative val="0"/>
          <c:dLbls>
            <c:txPr>
              <a:bodyPr/>
              <a:lstStyle/>
              <a:p>
                <a:pPr>
                  <a:defRPr sz="1400" b="1">
                    <a:solidFill>
                      <a:schemeClr val="bg1"/>
                    </a:solidFill>
                  </a:defRPr>
                </a:pPr>
                <a:endParaRPr lang="ru-RU"/>
              </a:p>
            </c:txPr>
            <c:dLblPos val="ctr"/>
            <c:showLegendKey val="0"/>
            <c:showVal val="1"/>
            <c:showCatName val="0"/>
            <c:showSerName val="0"/>
            <c:showPercent val="0"/>
            <c:showBubbleSize val="0"/>
            <c:showLeaderLines val="0"/>
          </c:dLbls>
          <c:cat>
            <c:strRef>
              <c:f>Лист1!$C$9:$D$24</c:f>
              <c:strCache>
                <c:ptCount val="5"/>
                <c:pt idx="0">
                  <c:v>2015 г.</c:v>
                </c:pt>
                <c:pt idx="1">
                  <c:v>2016 г.</c:v>
                </c:pt>
                <c:pt idx="2">
                  <c:v>2017 г.</c:v>
                </c:pt>
                <c:pt idx="3">
                  <c:v>2018 г. 
(1-я оценка 
Томскстата)</c:v>
                </c:pt>
                <c:pt idx="4">
                  <c:v>2019 г. 
(оценка  
Департамента 
экономики)</c:v>
                </c:pt>
              </c:strCache>
            </c:strRef>
          </c:cat>
          <c:val>
            <c:numRef>
              <c:f>Лист1!$E$9:$E$24</c:f>
              <c:numCache>
                <c:formatCode>0.0</c:formatCode>
                <c:ptCount val="5"/>
                <c:pt idx="0">
                  <c:v>471.5</c:v>
                </c:pt>
                <c:pt idx="1">
                  <c:v>480.2</c:v>
                </c:pt>
                <c:pt idx="2">
                  <c:v>511</c:v>
                </c:pt>
                <c:pt idx="3">
                  <c:v>579.29999999999995</c:v>
                </c:pt>
                <c:pt idx="4">
                  <c:v>607</c:v>
                </c:pt>
              </c:numCache>
            </c:numRef>
          </c:val>
        </c:ser>
        <c:dLbls>
          <c:showLegendKey val="0"/>
          <c:showVal val="0"/>
          <c:showCatName val="0"/>
          <c:showSerName val="0"/>
          <c:showPercent val="0"/>
          <c:showBubbleSize val="0"/>
        </c:dLbls>
        <c:gapWidth val="75"/>
        <c:overlap val="-25"/>
        <c:axId val="108353536"/>
        <c:axId val="108404736"/>
      </c:barChart>
      <c:lineChart>
        <c:grouping val="standard"/>
        <c:varyColors val="0"/>
        <c:ser>
          <c:idx val="2"/>
          <c:order val="1"/>
          <c:tx>
            <c:strRef>
              <c:f>Лист1!$F$8</c:f>
              <c:strCache>
                <c:ptCount val="1"/>
                <c:pt idx="0">
                  <c:v>Индекс физического объема ВРП ТО (в постоянных ценах, в % к предыдущему году)</c:v>
                </c:pt>
              </c:strCache>
            </c:strRef>
          </c:tx>
          <c:spPr>
            <a:ln w="25400">
              <a:solidFill>
                <a:srgbClr val="0000FF"/>
              </a:solidFill>
              <a:prstDash val="solid"/>
            </a:ln>
          </c:spPr>
          <c:marker>
            <c:symbol val="circle"/>
            <c:size val="8"/>
            <c:spPr>
              <a:solidFill>
                <a:srgbClr val="0070C0"/>
              </a:solidFill>
              <a:ln>
                <a:solidFill>
                  <a:srgbClr val="0000FF"/>
                </a:solidFill>
                <a:prstDash val="solid"/>
              </a:ln>
            </c:spPr>
          </c:marker>
          <c:dLbls>
            <c:dLbl>
              <c:idx val="0"/>
              <c:layout>
                <c:manualLayout>
                  <c:x val="-2.9716105895410228E-2"/>
                  <c:y val="-4.2283298097251586E-2"/>
                </c:manualLayout>
              </c:layout>
              <c:showLegendKey val="0"/>
              <c:showVal val="1"/>
              <c:showCatName val="0"/>
              <c:showSerName val="0"/>
              <c:showPercent val="0"/>
              <c:showBubbleSize val="0"/>
            </c:dLbl>
            <c:dLbl>
              <c:idx val="1"/>
              <c:layout>
                <c:manualLayout>
                  <c:x val="-3.1131158557096427E-2"/>
                  <c:y val="-4.2283298097251586E-2"/>
                </c:manualLayout>
              </c:layout>
              <c:showLegendKey val="0"/>
              <c:showVal val="1"/>
              <c:showCatName val="0"/>
              <c:showSerName val="0"/>
              <c:showPercent val="0"/>
              <c:showBubbleSize val="0"/>
            </c:dLbl>
            <c:dLbl>
              <c:idx val="2"/>
              <c:layout>
                <c:manualLayout>
                  <c:x val="-1.4150526616862013E-2"/>
                  <c:y val="4.2283298097251586E-2"/>
                </c:manualLayout>
              </c:layout>
              <c:showLegendKey val="0"/>
              <c:showVal val="1"/>
              <c:showCatName val="0"/>
              <c:showSerName val="0"/>
              <c:showPercent val="0"/>
              <c:showBubbleSize val="0"/>
            </c:dLbl>
            <c:dLbl>
              <c:idx val="3"/>
              <c:layout>
                <c:manualLayout>
                  <c:x val="-1.8395684601920616E-2"/>
                  <c:y val="4.2283298097251613E-2"/>
                </c:manualLayout>
              </c:layout>
              <c:showLegendKey val="0"/>
              <c:showVal val="1"/>
              <c:showCatName val="0"/>
              <c:showSerName val="0"/>
              <c:showPercent val="0"/>
              <c:showBubbleSize val="0"/>
            </c:dLbl>
            <c:dLbl>
              <c:idx val="4"/>
              <c:layout>
                <c:manualLayout>
                  <c:x val="-3.6791369203841233E-2"/>
                  <c:y val="-7.0472163495419307E-2"/>
                </c:manualLayout>
              </c:layout>
              <c:showLegendKey val="0"/>
              <c:showVal val="1"/>
              <c:showCatName val="0"/>
              <c:showSerName val="0"/>
              <c:showPercent val="0"/>
              <c:showBubbleSize val="0"/>
            </c:dLbl>
            <c:txPr>
              <a:bodyPr/>
              <a:lstStyle/>
              <a:p>
                <a:pPr>
                  <a:defRPr sz="1400" b="1">
                    <a:solidFill>
                      <a:schemeClr val="tx2">
                        <a:lumMod val="75000"/>
                      </a:schemeClr>
                    </a:solidFill>
                  </a:defRPr>
                </a:pPr>
                <a:endParaRPr lang="ru-RU"/>
              </a:p>
            </c:txPr>
            <c:showLegendKey val="0"/>
            <c:showVal val="1"/>
            <c:showCatName val="0"/>
            <c:showSerName val="0"/>
            <c:showPercent val="0"/>
            <c:showBubbleSize val="0"/>
            <c:showLeaderLines val="0"/>
          </c:dLbls>
          <c:cat>
            <c:strRef>
              <c:f>Лист1!$C$9:$D$24</c:f>
              <c:strCache>
                <c:ptCount val="5"/>
                <c:pt idx="0">
                  <c:v>2015 г.</c:v>
                </c:pt>
                <c:pt idx="1">
                  <c:v>2016 г.</c:v>
                </c:pt>
                <c:pt idx="2">
                  <c:v>2017 г.</c:v>
                </c:pt>
                <c:pt idx="3">
                  <c:v>2018 г. 
(1-я оценка 
Томскстата)</c:v>
                </c:pt>
                <c:pt idx="4">
                  <c:v>2019 г. 
(оценка  
Департамента 
экономики)</c:v>
                </c:pt>
              </c:strCache>
            </c:strRef>
          </c:cat>
          <c:val>
            <c:numRef>
              <c:f>Лист1!$F$9:$F$24</c:f>
              <c:numCache>
                <c:formatCode>0.0</c:formatCode>
                <c:ptCount val="5"/>
                <c:pt idx="0">
                  <c:v>100.4</c:v>
                </c:pt>
                <c:pt idx="1">
                  <c:v>100.9</c:v>
                </c:pt>
                <c:pt idx="2">
                  <c:v>99</c:v>
                </c:pt>
                <c:pt idx="3">
                  <c:v>100.7</c:v>
                </c:pt>
                <c:pt idx="4" formatCode="General">
                  <c:v>101.4</c:v>
                </c:pt>
              </c:numCache>
            </c:numRef>
          </c:val>
          <c:smooth val="0"/>
        </c:ser>
        <c:ser>
          <c:idx val="3"/>
          <c:order val="2"/>
          <c:tx>
            <c:strRef>
              <c:f>Лист1!$G$8</c:f>
              <c:strCache>
                <c:ptCount val="1"/>
                <c:pt idx="0">
                  <c:v>Индекс физического объема ВВП РФ  (в постоянных ценах, в % к предыдущему году)</c:v>
                </c:pt>
              </c:strCache>
            </c:strRef>
          </c:tx>
          <c:spPr>
            <a:ln w="25400">
              <a:solidFill>
                <a:srgbClr val="FF0000"/>
              </a:solidFill>
              <a:prstDash val="solid"/>
            </a:ln>
          </c:spPr>
          <c:marker>
            <c:symbol val="circle"/>
            <c:size val="7"/>
            <c:spPr>
              <a:solidFill>
                <a:srgbClr val="FF0000"/>
              </a:solidFill>
              <a:ln>
                <a:solidFill>
                  <a:srgbClr val="FF0000"/>
                </a:solidFill>
                <a:prstDash val="solid"/>
              </a:ln>
            </c:spPr>
          </c:marker>
          <c:dLbls>
            <c:dLbl>
              <c:idx val="0"/>
              <c:layout>
                <c:manualLayout>
                  <c:x val="-2.1225789925293018E-2"/>
                  <c:y val="4.2283298097251586E-2"/>
                </c:manualLayout>
              </c:layout>
              <c:showLegendKey val="0"/>
              <c:showVal val="1"/>
              <c:showCatName val="0"/>
              <c:showSerName val="0"/>
              <c:showPercent val="0"/>
              <c:showBubbleSize val="0"/>
            </c:dLbl>
            <c:dLbl>
              <c:idx val="1"/>
              <c:layout>
                <c:manualLayout>
                  <c:x val="-4.528168517395844E-2"/>
                  <c:y val="4.2283298097251586E-2"/>
                </c:manualLayout>
              </c:layout>
              <c:showLegendKey val="0"/>
              <c:showVal val="1"/>
              <c:showCatName val="0"/>
              <c:showSerName val="0"/>
              <c:showPercent val="0"/>
              <c:showBubbleSize val="0"/>
            </c:dLbl>
            <c:dLbl>
              <c:idx val="2"/>
              <c:layout>
                <c:manualLayout>
                  <c:x val="-1.4150526616862013E-2"/>
                  <c:y val="-4.5102184637068346E-2"/>
                </c:manualLayout>
              </c:layout>
              <c:showLegendKey val="0"/>
              <c:showVal val="1"/>
              <c:showCatName val="0"/>
              <c:showSerName val="0"/>
              <c:showPercent val="0"/>
              <c:showBubbleSize val="0"/>
            </c:dLbl>
            <c:dLbl>
              <c:idx val="3"/>
              <c:layout>
                <c:manualLayout>
                  <c:x val="-1.9810737263606819E-2"/>
                  <c:y val="-4.5102184637068374E-2"/>
                </c:manualLayout>
              </c:layout>
              <c:showLegendKey val="0"/>
              <c:showVal val="1"/>
              <c:showCatName val="0"/>
              <c:showSerName val="0"/>
              <c:showPercent val="0"/>
              <c:showBubbleSize val="0"/>
            </c:dLbl>
            <c:dLbl>
              <c:idx val="4"/>
              <c:layout>
                <c:manualLayout>
                  <c:x val="-2.1225789925293018E-2"/>
                  <c:y val="3.3826638477801298E-2"/>
                </c:manualLayout>
              </c:layout>
              <c:showLegendKey val="0"/>
              <c:showVal val="1"/>
              <c:showCatName val="0"/>
              <c:showSerName val="0"/>
              <c:showPercent val="0"/>
              <c:showBubbleSize val="0"/>
            </c:dLbl>
            <c:txPr>
              <a:bodyPr/>
              <a:lstStyle/>
              <a:p>
                <a:pPr>
                  <a:defRPr sz="1400">
                    <a:solidFill>
                      <a:srgbClr val="C00000"/>
                    </a:solidFill>
                  </a:defRPr>
                </a:pPr>
                <a:endParaRPr lang="ru-RU"/>
              </a:p>
            </c:txPr>
            <c:showLegendKey val="0"/>
            <c:showVal val="1"/>
            <c:showCatName val="0"/>
            <c:showSerName val="0"/>
            <c:showPercent val="0"/>
            <c:showBubbleSize val="0"/>
            <c:showLeaderLines val="0"/>
          </c:dLbls>
          <c:cat>
            <c:strRef>
              <c:f>Лист1!$C$9:$D$24</c:f>
              <c:strCache>
                <c:ptCount val="5"/>
                <c:pt idx="0">
                  <c:v>2015 г.</c:v>
                </c:pt>
                <c:pt idx="1">
                  <c:v>2016 г.</c:v>
                </c:pt>
                <c:pt idx="2">
                  <c:v>2017 г.</c:v>
                </c:pt>
                <c:pt idx="3">
                  <c:v>2018 г. 
(1-я оценка 
Томскстата)</c:v>
                </c:pt>
                <c:pt idx="4">
                  <c:v>2019 г. 
(оценка  
Департамента 
экономики)</c:v>
                </c:pt>
              </c:strCache>
            </c:strRef>
          </c:cat>
          <c:val>
            <c:numRef>
              <c:f>Лист1!$G$9:$G$24</c:f>
              <c:numCache>
                <c:formatCode>0.0</c:formatCode>
                <c:ptCount val="5"/>
                <c:pt idx="0">
                  <c:v>97.5</c:v>
                </c:pt>
                <c:pt idx="1">
                  <c:v>100.3</c:v>
                </c:pt>
                <c:pt idx="2">
                  <c:v>101.6</c:v>
                </c:pt>
                <c:pt idx="3">
                  <c:v>102.3</c:v>
                </c:pt>
                <c:pt idx="4" formatCode="General">
                  <c:v>101.3</c:v>
                </c:pt>
              </c:numCache>
            </c:numRef>
          </c:val>
          <c:smooth val="0"/>
        </c:ser>
        <c:dLbls>
          <c:showLegendKey val="0"/>
          <c:showVal val="0"/>
          <c:showCatName val="0"/>
          <c:showSerName val="0"/>
          <c:showPercent val="0"/>
          <c:showBubbleSize val="0"/>
        </c:dLbls>
        <c:marker val="1"/>
        <c:smooth val="0"/>
        <c:axId val="108354048"/>
        <c:axId val="108405312"/>
      </c:lineChart>
      <c:catAx>
        <c:axId val="108353536"/>
        <c:scaling>
          <c:orientation val="minMax"/>
        </c:scaling>
        <c:delete val="0"/>
        <c:axPos val="b"/>
        <c:numFmt formatCode="General" sourceLinked="1"/>
        <c:majorTickMark val="none"/>
        <c:minorTickMark val="none"/>
        <c:tickLblPos val="nextTo"/>
        <c:spPr>
          <a:ln w="3175">
            <a:solidFill>
              <a:srgbClr val="000000"/>
            </a:solidFill>
            <a:prstDash val="solid"/>
          </a:ln>
        </c:spPr>
        <c:txPr>
          <a:bodyPr rot="0" vert="horz"/>
          <a:lstStyle/>
          <a:p>
            <a:pPr>
              <a:defRPr sz="1050" b="0" i="0" u="none" strike="noStrike" baseline="0">
                <a:solidFill>
                  <a:srgbClr val="000000"/>
                </a:solidFill>
                <a:latin typeface="Arial"/>
                <a:ea typeface="Arial"/>
                <a:cs typeface="Arial"/>
              </a:defRPr>
            </a:pPr>
            <a:endParaRPr lang="ru-RU"/>
          </a:p>
        </c:txPr>
        <c:crossAx val="108404736"/>
        <c:crosses val="autoZero"/>
        <c:auto val="0"/>
        <c:lblAlgn val="ctr"/>
        <c:lblOffset val="100"/>
        <c:tickLblSkip val="1"/>
        <c:tickMarkSkip val="1"/>
        <c:noMultiLvlLbl val="0"/>
      </c:catAx>
      <c:valAx>
        <c:axId val="108404736"/>
        <c:scaling>
          <c:orientation val="minMax"/>
          <c:max val="800"/>
          <c:min val="200"/>
        </c:scaling>
        <c:delete val="0"/>
        <c:axPos val="l"/>
        <c:majorGridlines>
          <c:spPr>
            <a:ln>
              <a:noFill/>
            </a:ln>
          </c:spPr>
        </c:majorGridlines>
        <c:numFmt formatCode="0.0" sourceLinked="1"/>
        <c:majorTickMark val="none"/>
        <c:minorTickMark val="none"/>
        <c:tickLblPos val="none"/>
        <c:spPr>
          <a:noFill/>
          <a:ln w="25400">
            <a:noFill/>
          </a:ln>
        </c:spPr>
        <c:txPr>
          <a:bodyPr rot="0" vert="horz"/>
          <a:lstStyle/>
          <a:p>
            <a:pPr>
              <a:defRPr sz="1000" b="0" i="0" u="none" strike="noStrike" baseline="0">
                <a:solidFill>
                  <a:srgbClr val="000000"/>
                </a:solidFill>
                <a:latin typeface="Arial"/>
                <a:ea typeface="Arial"/>
                <a:cs typeface="Arial"/>
              </a:defRPr>
            </a:pPr>
            <a:endParaRPr lang="ru-RU"/>
          </a:p>
        </c:txPr>
        <c:crossAx val="108353536"/>
        <c:crosses val="autoZero"/>
        <c:crossBetween val="between"/>
        <c:majorUnit val="100"/>
      </c:valAx>
      <c:catAx>
        <c:axId val="108354048"/>
        <c:scaling>
          <c:orientation val="minMax"/>
        </c:scaling>
        <c:delete val="1"/>
        <c:axPos val="b"/>
        <c:majorTickMark val="out"/>
        <c:minorTickMark val="none"/>
        <c:tickLblPos val="nextTo"/>
        <c:crossAx val="108405312"/>
        <c:crosses val="autoZero"/>
        <c:auto val="0"/>
        <c:lblAlgn val="ctr"/>
        <c:lblOffset val="100"/>
        <c:noMultiLvlLbl val="0"/>
      </c:catAx>
      <c:valAx>
        <c:axId val="108405312"/>
        <c:scaling>
          <c:orientation val="minMax"/>
          <c:max val="105"/>
          <c:min val="80"/>
        </c:scaling>
        <c:delete val="0"/>
        <c:axPos val="r"/>
        <c:numFmt formatCode="0" sourceLinked="0"/>
        <c:majorTickMark val="cross"/>
        <c:minorTickMark val="none"/>
        <c:tickLblPos val="none"/>
        <c:spPr>
          <a:ln w="3175">
            <a:noFill/>
            <a:prstDash val="solid"/>
          </a:ln>
        </c:spPr>
        <c:txPr>
          <a:bodyPr rot="0" vert="horz"/>
          <a:lstStyle/>
          <a:p>
            <a:pPr>
              <a:defRPr sz="1000" b="0" i="0" u="none" strike="noStrike" baseline="0">
                <a:solidFill>
                  <a:srgbClr val="000000"/>
                </a:solidFill>
                <a:latin typeface="Arial"/>
                <a:ea typeface="Arial"/>
                <a:cs typeface="Arial"/>
              </a:defRPr>
            </a:pPr>
            <a:endParaRPr lang="ru-RU"/>
          </a:p>
        </c:txPr>
        <c:crossAx val="108354048"/>
        <c:crosses val="max"/>
        <c:crossBetween val="between"/>
      </c:valAx>
      <c:spPr>
        <a:noFill/>
        <a:ln w="25400">
          <a:noFill/>
        </a:ln>
      </c:spPr>
    </c:plotArea>
    <c:legend>
      <c:legendPos val="b"/>
      <c:layout>
        <c:manualLayout>
          <c:xMode val="edge"/>
          <c:yMode val="edge"/>
          <c:x val="7.2817418633770017E-2"/>
          <c:y val="0.69247229248628184"/>
          <c:w val="0.85009605122732124"/>
          <c:h val="0.26039210200247814"/>
        </c:manualLayout>
      </c:layout>
      <c:overlay val="0"/>
      <c:spPr>
        <a:solidFill>
          <a:srgbClr val="FFFFFF"/>
        </a:solidFill>
        <a:ln w="25400">
          <a:noFill/>
        </a:ln>
      </c:spPr>
      <c:txPr>
        <a:bodyPr/>
        <a:lstStyle/>
        <a:p>
          <a:pPr>
            <a:defRPr sz="1000" b="0" i="0" u="none" strike="noStrike" baseline="0">
              <a:solidFill>
                <a:srgbClr val="000000"/>
              </a:solidFill>
              <a:latin typeface="Arial"/>
              <a:ea typeface="Arial"/>
              <a:cs typeface="Arial"/>
            </a:defRPr>
          </a:pPr>
          <a:endParaRPr lang="ru-RU"/>
        </a:p>
      </c:txPr>
    </c:legend>
    <c:plotVisOnly val="1"/>
    <c:dispBlanksAs val="gap"/>
    <c:showDLblsOverMax val="0"/>
  </c:chart>
  <c:spPr>
    <a:solidFill>
      <a:srgbClr val="FFFFFF"/>
    </a:solidFill>
    <a:ln w="9525">
      <a:noFill/>
    </a:ln>
  </c:spPr>
  <c:txPr>
    <a:bodyPr/>
    <a:lstStyle/>
    <a:p>
      <a:pPr>
        <a:defRPr sz="1000" b="0" i="0" u="none" strike="noStrike" baseline="0">
          <a:solidFill>
            <a:srgbClr val="000000"/>
          </a:solidFill>
          <a:latin typeface="Arial"/>
          <a:ea typeface="Arial"/>
          <a:cs typeface="Arial"/>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10"/>
    </mc:Choice>
    <mc:Fallback>
      <c:style val="10"/>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1.9557150558579075E-3"/>
          <c:y val="0.18924885225467217"/>
          <c:w val="0.6691270849208365"/>
          <c:h val="0.7013193584915598"/>
        </c:manualLayout>
      </c:layout>
      <c:barChart>
        <c:barDir val="col"/>
        <c:grouping val="stacked"/>
        <c:varyColors val="0"/>
        <c:ser>
          <c:idx val="2"/>
          <c:order val="0"/>
          <c:tx>
            <c:strRef>
              <c:f>' Вклад в инфляцию'!$A$5</c:f>
              <c:strCache>
                <c:ptCount val="1"/>
                <c:pt idx="0">
                  <c:v>Продовольственные товары</c:v>
                </c:pt>
              </c:strCache>
            </c:strRef>
          </c:tx>
          <c:invertIfNegative val="0"/>
          <c:dLbls>
            <c:dLbl>
              <c:idx val="0"/>
              <c:layout>
                <c:manualLayout>
                  <c:x val="2.179524891032339E-3"/>
                  <c:y val="-1.3285479594777454E-2"/>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numFmt formatCode="\+0.0%" sourceLinked="0"/>
            <c:spPr>
              <a:noFill/>
              <a:ln>
                <a:noFill/>
              </a:ln>
              <a:effectLst/>
            </c:spPr>
            <c:txPr>
              <a:bodyPr/>
              <a:lstStyle/>
              <a:p>
                <a:pPr>
                  <a:defRPr sz="1100"/>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 Вклад в инфляцию'!$B$4:$G$4</c:f>
              <c:strCache>
                <c:ptCount val="5"/>
                <c:pt idx="0">
                  <c:v>2015</c:v>
                </c:pt>
                <c:pt idx="1">
                  <c:v>2016</c:v>
                </c:pt>
                <c:pt idx="2">
                  <c:v>2017</c:v>
                </c:pt>
                <c:pt idx="3">
                  <c:v>2018</c:v>
                </c:pt>
                <c:pt idx="4">
                  <c:v>2019</c:v>
                </c:pt>
              </c:strCache>
            </c:strRef>
          </c:cat>
          <c:val>
            <c:numRef>
              <c:f>' Вклад в инфляцию'!$B$5:$G$5</c:f>
              <c:numCache>
                <c:formatCode>0.0%</c:formatCode>
                <c:ptCount val="5"/>
                <c:pt idx="0">
                  <c:v>4.8000000000000001E-2</c:v>
                </c:pt>
                <c:pt idx="1">
                  <c:v>1.629489999999997E-2</c:v>
                </c:pt>
                <c:pt idx="2">
                  <c:v>6.0000000000000001E-3</c:v>
                </c:pt>
                <c:pt idx="3">
                  <c:v>1.6E-2</c:v>
                </c:pt>
                <c:pt idx="4">
                  <c:v>1.4E-2</c:v>
                </c:pt>
              </c:numCache>
            </c:numRef>
          </c:val>
        </c:ser>
        <c:ser>
          <c:idx val="1"/>
          <c:order val="1"/>
          <c:tx>
            <c:strRef>
              <c:f>' Вклад в инфляцию'!$A$6</c:f>
              <c:strCache>
                <c:ptCount val="1"/>
                <c:pt idx="0">
                  <c:v>Непродовольственные товары</c:v>
                </c:pt>
              </c:strCache>
            </c:strRef>
          </c:tx>
          <c:invertIfNegative val="0"/>
          <c:dLbls>
            <c:numFmt formatCode="\+0.0%" sourceLinked="0"/>
            <c:spPr>
              <a:noFill/>
              <a:ln>
                <a:noFill/>
              </a:ln>
              <a:effectLst/>
            </c:spPr>
            <c:txPr>
              <a:bodyPr/>
              <a:lstStyle/>
              <a:p>
                <a:pPr>
                  <a:defRPr sz="1100"/>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 Вклад в инфляцию'!$B$4:$G$4</c:f>
              <c:strCache>
                <c:ptCount val="5"/>
                <c:pt idx="0">
                  <c:v>2015</c:v>
                </c:pt>
                <c:pt idx="1">
                  <c:v>2016</c:v>
                </c:pt>
                <c:pt idx="2">
                  <c:v>2017</c:v>
                </c:pt>
                <c:pt idx="3">
                  <c:v>2018</c:v>
                </c:pt>
                <c:pt idx="4">
                  <c:v>2019</c:v>
                </c:pt>
              </c:strCache>
            </c:strRef>
          </c:cat>
          <c:val>
            <c:numRef>
              <c:f>' Вклад в инфляцию'!$B$6:$G$6</c:f>
              <c:numCache>
                <c:formatCode>0.0%</c:formatCode>
                <c:ptCount val="5"/>
                <c:pt idx="0">
                  <c:v>5.2999999999999999E-2</c:v>
                </c:pt>
                <c:pt idx="1">
                  <c:v>2.8615700000000004E-2</c:v>
                </c:pt>
                <c:pt idx="2">
                  <c:v>0.01</c:v>
                </c:pt>
                <c:pt idx="3">
                  <c:v>1.7999999999999999E-2</c:v>
                </c:pt>
                <c:pt idx="4">
                  <c:v>8.0000000000000002E-3</c:v>
                </c:pt>
              </c:numCache>
            </c:numRef>
          </c:val>
        </c:ser>
        <c:ser>
          <c:idx val="0"/>
          <c:order val="2"/>
          <c:tx>
            <c:strRef>
              <c:f>' Вклад в инфляцию'!$A$7</c:f>
              <c:strCache>
                <c:ptCount val="1"/>
                <c:pt idx="0">
                  <c:v>Услуги</c:v>
                </c:pt>
              </c:strCache>
            </c:strRef>
          </c:tx>
          <c:invertIfNegative val="0"/>
          <c:dLbls>
            <c:dLbl>
              <c:idx val="0"/>
              <c:layout>
                <c:manualLayout>
                  <c:x val="0"/>
                  <c:y val="-6.1199751346871119E-3"/>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2.4860972838165346E-3"/>
                  <c:y val="-3.5830225169222268E-3"/>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4"/>
              <c:layout>
                <c:manualLayout>
                  <c:x val="0"/>
                  <c:y val="-4.3859649122807015E-3"/>
                </c:manualLayout>
              </c:layout>
              <c:showLegendKey val="0"/>
              <c:showVal val="1"/>
              <c:showCatName val="0"/>
              <c:showSerName val="0"/>
              <c:showPercent val="0"/>
              <c:showBubbleSize val="0"/>
              <c:extLst>
                <c:ext xmlns:c15="http://schemas.microsoft.com/office/drawing/2012/chart" uri="{CE6537A1-D6FC-4f65-9D91-7224C49458BB}">
                  <c15:layout/>
                </c:ext>
              </c:extLst>
            </c:dLbl>
            <c:numFmt formatCode="\+0.0%" sourceLinked="0"/>
            <c:spPr>
              <a:noFill/>
              <a:ln>
                <a:noFill/>
              </a:ln>
              <a:effectLst/>
            </c:spPr>
            <c:txPr>
              <a:bodyPr/>
              <a:lstStyle/>
              <a:p>
                <a:pPr>
                  <a:defRPr sz="1100"/>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 Вклад в инфляцию'!$B$4:$G$4</c:f>
              <c:strCache>
                <c:ptCount val="5"/>
                <c:pt idx="0">
                  <c:v>2015</c:v>
                </c:pt>
                <c:pt idx="1">
                  <c:v>2016</c:v>
                </c:pt>
                <c:pt idx="2">
                  <c:v>2017</c:v>
                </c:pt>
                <c:pt idx="3">
                  <c:v>2018</c:v>
                </c:pt>
                <c:pt idx="4">
                  <c:v>2019</c:v>
                </c:pt>
              </c:strCache>
            </c:strRef>
          </c:cat>
          <c:val>
            <c:numRef>
              <c:f>' Вклад в инфляцию'!$B$7:$G$7</c:f>
              <c:numCache>
                <c:formatCode>0.0%</c:formatCode>
                <c:ptCount val="5"/>
                <c:pt idx="0">
                  <c:v>2.3E-2</c:v>
                </c:pt>
                <c:pt idx="1">
                  <c:v>7.6908000000000245E-3</c:v>
                </c:pt>
                <c:pt idx="2">
                  <c:v>1.2E-2</c:v>
                </c:pt>
                <c:pt idx="3">
                  <c:v>1.0999999999999999E-2</c:v>
                </c:pt>
                <c:pt idx="4">
                  <c:v>1.6E-2</c:v>
                </c:pt>
              </c:numCache>
            </c:numRef>
          </c:val>
        </c:ser>
        <c:dLbls>
          <c:showLegendKey val="0"/>
          <c:showVal val="0"/>
          <c:showCatName val="0"/>
          <c:showSerName val="0"/>
          <c:showPercent val="0"/>
          <c:showBubbleSize val="0"/>
        </c:dLbls>
        <c:gapWidth val="130"/>
        <c:overlap val="100"/>
        <c:axId val="108306944"/>
        <c:axId val="108408192"/>
      </c:barChart>
      <c:scatterChart>
        <c:scatterStyle val="lineMarker"/>
        <c:varyColors val="0"/>
        <c:ser>
          <c:idx val="3"/>
          <c:order val="3"/>
          <c:tx>
            <c:strRef>
              <c:f>' Вклад в инфляцию'!$A$8</c:f>
              <c:strCache>
                <c:ptCount val="1"/>
                <c:pt idx="0">
                  <c:v>Итого</c:v>
                </c:pt>
              </c:strCache>
            </c:strRef>
          </c:tx>
          <c:spPr>
            <a:ln w="47625">
              <a:noFill/>
            </a:ln>
          </c:spPr>
          <c:marker>
            <c:symbol val="none"/>
          </c:marker>
          <c:dLbls>
            <c:dLbl>
              <c:idx val="2"/>
              <c:layout>
                <c:manualLayout>
                  <c:x val="-4.5645366293231335E-2"/>
                  <c:y val="0.52024094110538344"/>
                </c:manualLayout>
              </c:layout>
              <c:tx>
                <c:rich>
                  <a:bodyPr/>
                  <a:lstStyle/>
                  <a:p>
                    <a:r>
                      <a:rPr lang="en-US" sz="1200" b="1"/>
                      <a:t>102,8%</a:t>
                    </a:r>
                    <a:endParaRPr lang="en-US" sz="1200"/>
                  </a:p>
                </c:rich>
              </c:tx>
              <c:dLblPos val="r"/>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4.5689281343580176E-2"/>
                  <c:y val="0.44650050038709188"/>
                </c:manualLayout>
              </c:layout>
              <c:tx>
                <c:rich>
                  <a:bodyPr/>
                  <a:lstStyle/>
                  <a:p>
                    <a:r>
                      <a:rPr lang="en-US" sz="1200" b="1"/>
                      <a:t>104,5%</a:t>
                    </a:r>
                    <a:endParaRPr lang="en-US" sz="1200"/>
                  </a:p>
                </c:rich>
              </c:tx>
              <c:dLblPos val="r"/>
              <c:showLegendKey val="0"/>
              <c:showVal val="1"/>
              <c:showCatName val="0"/>
              <c:showSerName val="0"/>
              <c:showPercent val="0"/>
              <c:showBubbleSize val="0"/>
              <c:extLst>
                <c:ext xmlns:c15="http://schemas.microsoft.com/office/drawing/2012/chart" uri="{CE6537A1-D6FC-4f65-9D91-7224C49458BB}">
                  <c15:layout/>
                </c:ext>
              </c:extLst>
            </c:dLbl>
            <c:dLbl>
              <c:idx val="4"/>
              <c:layout>
                <c:manualLayout>
                  <c:x val="-4.9687282343080431E-2"/>
                  <c:y val="0.46884042372401291"/>
                </c:manualLayout>
              </c:layout>
              <c:tx>
                <c:rich>
                  <a:bodyPr/>
                  <a:lstStyle/>
                  <a:p>
                    <a:r>
                      <a:rPr lang="en-US" sz="1200" b="1"/>
                      <a:t>103,8%</a:t>
                    </a:r>
                    <a:endParaRPr lang="en-US" sz="1200"/>
                  </a:p>
                </c:rich>
              </c:tx>
              <c:dLblPos val="r"/>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a:lstStyle/>
              <a:p>
                <a:pPr>
                  <a:defRPr b="1"/>
                </a:pPr>
                <a:endParaRPr lang="ru-RU"/>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xVal>
            <c:strRef>
              <c:f>' Вклад в инфляцию'!$B$4:$G$4</c:f>
              <c:strCache>
                <c:ptCount val="5"/>
                <c:pt idx="0">
                  <c:v>2015</c:v>
                </c:pt>
                <c:pt idx="1">
                  <c:v>2016</c:v>
                </c:pt>
                <c:pt idx="2">
                  <c:v>2017</c:v>
                </c:pt>
                <c:pt idx="3">
                  <c:v>2018</c:v>
                </c:pt>
                <c:pt idx="4">
                  <c:v>2019</c:v>
                </c:pt>
              </c:strCache>
            </c:strRef>
          </c:xVal>
          <c:yVal>
            <c:numRef>
              <c:f>' Вклад в инфляцию'!$B$8:$G$8</c:f>
              <c:numCache>
                <c:formatCode>0.0</c:formatCode>
                <c:ptCount val="5"/>
                <c:pt idx="0">
                  <c:v>112.4</c:v>
                </c:pt>
                <c:pt idx="1">
                  <c:v>105.3</c:v>
                </c:pt>
                <c:pt idx="2">
                  <c:v>102.8</c:v>
                </c:pt>
                <c:pt idx="3">
                  <c:v>104.5</c:v>
                </c:pt>
                <c:pt idx="4">
                  <c:v>103.8</c:v>
                </c:pt>
              </c:numCache>
            </c:numRef>
          </c:yVal>
          <c:smooth val="0"/>
        </c:ser>
        <c:dLbls>
          <c:showLegendKey val="0"/>
          <c:showVal val="0"/>
          <c:showCatName val="0"/>
          <c:showSerName val="0"/>
          <c:showPercent val="0"/>
          <c:showBubbleSize val="0"/>
        </c:dLbls>
        <c:axId val="108408768"/>
        <c:axId val="108409344"/>
      </c:scatterChart>
      <c:catAx>
        <c:axId val="108306944"/>
        <c:scaling>
          <c:orientation val="minMax"/>
        </c:scaling>
        <c:delete val="0"/>
        <c:axPos val="b"/>
        <c:numFmt formatCode="General" sourceLinked="1"/>
        <c:majorTickMark val="none"/>
        <c:minorTickMark val="none"/>
        <c:tickLblPos val="low"/>
        <c:txPr>
          <a:bodyPr/>
          <a:lstStyle/>
          <a:p>
            <a:pPr>
              <a:defRPr sz="1200"/>
            </a:pPr>
            <a:endParaRPr lang="ru-RU"/>
          </a:p>
        </c:txPr>
        <c:crossAx val="108408192"/>
        <c:crosses val="autoZero"/>
        <c:auto val="1"/>
        <c:lblAlgn val="ctr"/>
        <c:lblOffset val="100"/>
        <c:noMultiLvlLbl val="0"/>
      </c:catAx>
      <c:valAx>
        <c:axId val="108408192"/>
        <c:scaling>
          <c:orientation val="minMax"/>
        </c:scaling>
        <c:delete val="0"/>
        <c:axPos val="l"/>
        <c:numFmt formatCode="0.0%" sourceLinked="1"/>
        <c:majorTickMark val="none"/>
        <c:minorTickMark val="none"/>
        <c:tickLblPos val="none"/>
        <c:spPr>
          <a:ln>
            <a:noFill/>
          </a:ln>
        </c:spPr>
        <c:crossAx val="108306944"/>
        <c:crosses val="autoZero"/>
        <c:crossBetween val="between"/>
      </c:valAx>
      <c:valAx>
        <c:axId val="108408768"/>
        <c:scaling>
          <c:orientation val="minMax"/>
        </c:scaling>
        <c:delete val="1"/>
        <c:axPos val="b"/>
        <c:majorTickMark val="out"/>
        <c:minorTickMark val="none"/>
        <c:tickLblPos val="nextTo"/>
        <c:crossAx val="108409344"/>
        <c:crosses val="autoZero"/>
        <c:crossBetween val="midCat"/>
      </c:valAx>
      <c:valAx>
        <c:axId val="108409344"/>
        <c:scaling>
          <c:orientation val="minMax"/>
          <c:max val="105"/>
          <c:min val="0"/>
        </c:scaling>
        <c:delete val="0"/>
        <c:axPos val="r"/>
        <c:numFmt formatCode="0.0" sourceLinked="1"/>
        <c:majorTickMark val="none"/>
        <c:minorTickMark val="none"/>
        <c:tickLblPos val="none"/>
        <c:spPr>
          <a:ln>
            <a:noFill/>
          </a:ln>
        </c:spPr>
        <c:crossAx val="108408768"/>
        <c:crosses val="max"/>
        <c:crossBetween val="midCat"/>
        <c:majorUnit val="100"/>
      </c:valAx>
      <c:spPr>
        <a:noFill/>
      </c:spPr>
    </c:plotArea>
    <c:legend>
      <c:legendPos val="r"/>
      <c:legendEntry>
        <c:idx val="3"/>
        <c:delete val="1"/>
      </c:legendEntry>
      <c:layout>
        <c:manualLayout>
          <c:xMode val="edge"/>
          <c:yMode val="edge"/>
          <c:x val="0.6961807285333711"/>
          <c:y val="0.15743185947910354"/>
          <c:w val="0.28492005965521178"/>
          <c:h val="0.72858364276371812"/>
        </c:manualLayout>
      </c:layout>
      <c:overlay val="0"/>
      <c:txPr>
        <a:bodyPr/>
        <a:lstStyle/>
        <a:p>
          <a:pPr>
            <a:defRPr sz="1100" i="0"/>
          </a:pPr>
          <a:endParaRPr lang="ru-RU"/>
        </a:p>
      </c:txPr>
    </c:legend>
    <c:plotVisOnly val="1"/>
    <c:dispBlanksAs val="gap"/>
    <c:showDLblsOverMax val="0"/>
  </c:chart>
  <c:spPr>
    <a:ln>
      <a:noFill/>
    </a:ln>
  </c:spPr>
  <c:externalData r:id="rId2">
    <c:autoUpdate val="0"/>
  </c:externalData>
  <c:userShapes r:id="rId3"/>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6.8674836985507914E-2"/>
          <c:y val="4.4399899053953085E-2"/>
          <c:w val="0.58858447606422859"/>
          <c:h val="0.88617341598745414"/>
        </c:manualLayout>
      </c:layout>
      <c:barChart>
        <c:barDir val="col"/>
        <c:grouping val="clustered"/>
        <c:varyColors val="0"/>
        <c:ser>
          <c:idx val="0"/>
          <c:order val="0"/>
          <c:tx>
            <c:strRef>
              <c:f>'ест,рожд.,смерт.,младенч.'!$A$3</c:f>
              <c:strCache>
                <c:ptCount val="1"/>
                <c:pt idx="0">
                  <c:v>Коэффициент смертности</c:v>
                </c:pt>
              </c:strCache>
            </c:strRef>
          </c:tx>
          <c:spPr>
            <a:solidFill>
              <a:schemeClr val="accent6">
                <a:lumMod val="75000"/>
              </a:schemeClr>
            </a:solidFill>
          </c:spPr>
          <c:invertIfNegative val="0"/>
          <c:dPt>
            <c:idx val="2"/>
            <c:invertIfNegative val="0"/>
            <c:bubble3D val="0"/>
            <c:spPr>
              <a:solidFill>
                <a:schemeClr val="accent6">
                  <a:lumMod val="75000"/>
                </a:schemeClr>
              </a:solidFill>
              <a:ln>
                <a:solidFill>
                  <a:schemeClr val="accent1"/>
                </a:solidFill>
              </a:ln>
            </c:spPr>
          </c:dPt>
          <c:dLbls>
            <c:dLbl>
              <c:idx val="0"/>
              <c:layout>
                <c:manualLayout>
                  <c:x val="1.9578700203458175E-3"/>
                  <c:y val="0.12339422918669819"/>
                </c:manualLayout>
              </c:layout>
              <c:showLegendKey val="0"/>
              <c:showVal val="1"/>
              <c:showCatName val="0"/>
              <c:showSerName val="0"/>
              <c:showPercent val="0"/>
              <c:showBubbleSize val="0"/>
            </c:dLbl>
            <c:dLbl>
              <c:idx val="1"/>
              <c:layout>
                <c:manualLayout>
                  <c:x val="1.9578700203458461E-3"/>
                  <c:y val="0.12464610240551614"/>
                </c:manualLayout>
              </c:layout>
              <c:showLegendKey val="0"/>
              <c:showVal val="1"/>
              <c:showCatName val="0"/>
              <c:showSerName val="0"/>
              <c:showPercent val="0"/>
              <c:showBubbleSize val="0"/>
            </c:dLbl>
            <c:dLbl>
              <c:idx val="2"/>
              <c:layout>
                <c:manualLayout>
                  <c:x val="0"/>
                  <c:y val="0.12400197500064968"/>
                </c:manualLayout>
              </c:layout>
              <c:showLegendKey val="0"/>
              <c:showVal val="1"/>
              <c:showCatName val="0"/>
              <c:showSerName val="0"/>
              <c:showPercent val="0"/>
              <c:showBubbleSize val="0"/>
            </c:dLbl>
            <c:dLbl>
              <c:idx val="3"/>
              <c:layout>
                <c:manualLayout>
                  <c:x val="3.9158100832110358E-3"/>
                  <c:y val="0.10704445741251879"/>
                </c:manualLayout>
              </c:layout>
              <c:showLegendKey val="0"/>
              <c:showVal val="1"/>
              <c:showCatName val="0"/>
              <c:showSerName val="0"/>
              <c:showPercent val="0"/>
              <c:showBubbleSize val="0"/>
            </c:dLbl>
            <c:dLbl>
              <c:idx val="4"/>
              <c:layout>
                <c:manualLayout>
                  <c:x val="0"/>
                  <c:y val="0.14635486426394878"/>
                </c:manualLayout>
              </c:layout>
              <c:showLegendKey val="0"/>
              <c:showVal val="1"/>
              <c:showCatName val="0"/>
              <c:showSerName val="0"/>
              <c:showPercent val="0"/>
              <c:showBubbleSize val="0"/>
            </c:dLbl>
            <c:txPr>
              <a:bodyPr rot="-5400000" vert="horz"/>
              <a:lstStyle/>
              <a:p>
                <a:pPr>
                  <a:defRPr/>
                </a:pPr>
                <a:endParaRPr lang="ru-RU"/>
              </a:p>
            </c:txPr>
            <c:showLegendKey val="0"/>
            <c:showVal val="1"/>
            <c:showCatName val="0"/>
            <c:showSerName val="0"/>
            <c:showPercent val="0"/>
            <c:showBubbleSize val="0"/>
            <c:showLeaderLines val="0"/>
          </c:dLbls>
          <c:cat>
            <c:strRef>
              <c:f>'ест,рожд.,смерт.,младенч.'!$B$2:$F$2</c:f>
              <c:strCache>
                <c:ptCount val="5"/>
                <c:pt idx="0">
                  <c:v>2015 г.</c:v>
                </c:pt>
                <c:pt idx="1">
                  <c:v>2016 г.</c:v>
                </c:pt>
                <c:pt idx="2">
                  <c:v>2017 г.</c:v>
                </c:pt>
                <c:pt idx="3">
                  <c:v>2018 г.</c:v>
                </c:pt>
                <c:pt idx="4">
                  <c:v>2019 г.</c:v>
                </c:pt>
              </c:strCache>
            </c:strRef>
          </c:cat>
          <c:val>
            <c:numRef>
              <c:f>'ест,рожд.,смерт.,младенч.'!$B$3:$F$3</c:f>
              <c:numCache>
                <c:formatCode>General</c:formatCode>
                <c:ptCount val="5"/>
                <c:pt idx="0">
                  <c:v>11.5</c:v>
                </c:pt>
                <c:pt idx="1">
                  <c:v>11.4</c:v>
                </c:pt>
                <c:pt idx="2">
                  <c:v>11.4</c:v>
                </c:pt>
                <c:pt idx="3">
                  <c:v>11.1</c:v>
                </c:pt>
                <c:pt idx="4">
                  <c:v>11.2</c:v>
                </c:pt>
              </c:numCache>
            </c:numRef>
          </c:val>
        </c:ser>
        <c:ser>
          <c:idx val="1"/>
          <c:order val="1"/>
          <c:tx>
            <c:strRef>
              <c:f>'ест,рожд.,смерт.,младенч.'!$A$4</c:f>
              <c:strCache>
                <c:ptCount val="1"/>
                <c:pt idx="0">
                  <c:v>Коэффициент рождаемости</c:v>
                </c:pt>
              </c:strCache>
            </c:strRef>
          </c:tx>
          <c:spPr>
            <a:solidFill>
              <a:schemeClr val="accent3">
                <a:lumMod val="75000"/>
              </a:schemeClr>
            </a:solidFill>
          </c:spPr>
          <c:invertIfNegative val="0"/>
          <c:dLbls>
            <c:dLbl>
              <c:idx val="0"/>
              <c:layout>
                <c:manualLayout>
                  <c:x val="-1.6690469222457657E-17"/>
                  <c:y val="7.7597390921890858E-2"/>
                </c:manualLayout>
              </c:layout>
              <c:showLegendKey val="0"/>
              <c:showVal val="1"/>
              <c:showCatName val="0"/>
              <c:showSerName val="0"/>
              <c:showPercent val="0"/>
              <c:showBubbleSize val="0"/>
            </c:dLbl>
            <c:dLbl>
              <c:idx val="1"/>
              <c:layout>
                <c:manualLayout>
                  <c:x val="-2.8674007786140074E-7"/>
                  <c:y val="8.8887035975197481E-2"/>
                </c:manualLayout>
              </c:layout>
              <c:showLegendKey val="0"/>
              <c:showVal val="1"/>
              <c:showCatName val="0"/>
              <c:showSerName val="0"/>
              <c:showPercent val="0"/>
              <c:showBubbleSize val="0"/>
            </c:dLbl>
            <c:dLbl>
              <c:idx val="2"/>
              <c:layout>
                <c:manualLayout>
                  <c:x val="0"/>
                  <c:y val="0.12715019533449409"/>
                </c:manualLayout>
              </c:layout>
              <c:showLegendKey val="0"/>
              <c:showVal val="1"/>
              <c:showCatName val="0"/>
              <c:showSerName val="0"/>
              <c:showPercent val="0"/>
              <c:showBubbleSize val="0"/>
            </c:dLbl>
            <c:dLbl>
              <c:idx val="3"/>
              <c:layout>
                <c:manualLayout>
                  <c:x val="3.1225604996096799E-3"/>
                  <c:y val="0.12965463475481406"/>
                </c:manualLayout>
              </c:layout>
              <c:showLegendKey val="0"/>
              <c:showVal val="1"/>
              <c:showCatName val="0"/>
              <c:showSerName val="0"/>
              <c:showPercent val="0"/>
              <c:showBubbleSize val="0"/>
            </c:dLbl>
            <c:dLbl>
              <c:idx val="4"/>
              <c:layout>
                <c:manualLayout>
                  <c:x val="0"/>
                  <c:y val="0.13219149030292149"/>
                </c:manualLayout>
              </c:layout>
              <c:showLegendKey val="0"/>
              <c:showVal val="1"/>
              <c:showCatName val="0"/>
              <c:showSerName val="0"/>
              <c:showPercent val="0"/>
              <c:showBubbleSize val="0"/>
            </c:dLbl>
            <c:txPr>
              <a:bodyPr rot="-5400000" vert="horz"/>
              <a:lstStyle/>
              <a:p>
                <a:pPr>
                  <a:defRPr/>
                </a:pPr>
                <a:endParaRPr lang="ru-RU"/>
              </a:p>
            </c:txPr>
            <c:showLegendKey val="0"/>
            <c:showVal val="1"/>
            <c:showCatName val="0"/>
            <c:showSerName val="0"/>
            <c:showPercent val="0"/>
            <c:showBubbleSize val="0"/>
            <c:showLeaderLines val="0"/>
          </c:dLbls>
          <c:cat>
            <c:strRef>
              <c:f>'ест,рожд.,смерт.,младенч.'!$B$2:$F$2</c:f>
              <c:strCache>
                <c:ptCount val="5"/>
                <c:pt idx="0">
                  <c:v>2015 г.</c:v>
                </c:pt>
                <c:pt idx="1">
                  <c:v>2016 г.</c:v>
                </c:pt>
                <c:pt idx="2">
                  <c:v>2017 г.</c:v>
                </c:pt>
                <c:pt idx="3">
                  <c:v>2018 г.</c:v>
                </c:pt>
                <c:pt idx="4">
                  <c:v>2019 г.</c:v>
                </c:pt>
              </c:strCache>
            </c:strRef>
          </c:cat>
          <c:val>
            <c:numRef>
              <c:f>'ест,рожд.,смерт.,младенч.'!$B$4:$F$4</c:f>
              <c:numCache>
                <c:formatCode>0.0</c:formatCode>
                <c:ptCount val="5"/>
                <c:pt idx="0">
                  <c:v>13.6</c:v>
                </c:pt>
                <c:pt idx="1">
                  <c:v>13.2</c:v>
                </c:pt>
                <c:pt idx="2">
                  <c:v>11.7</c:v>
                </c:pt>
                <c:pt idx="3">
                  <c:v>10.9</c:v>
                </c:pt>
                <c:pt idx="4">
                  <c:v>9.6999999999999993</c:v>
                </c:pt>
              </c:numCache>
            </c:numRef>
          </c:val>
        </c:ser>
        <c:dLbls>
          <c:showLegendKey val="0"/>
          <c:showVal val="0"/>
          <c:showCatName val="0"/>
          <c:showSerName val="0"/>
          <c:showPercent val="0"/>
          <c:showBubbleSize val="0"/>
        </c:dLbls>
        <c:gapWidth val="150"/>
        <c:axId val="108308480"/>
        <c:axId val="108410496"/>
      </c:barChart>
      <c:lineChart>
        <c:grouping val="standard"/>
        <c:varyColors val="0"/>
        <c:ser>
          <c:idx val="2"/>
          <c:order val="2"/>
          <c:tx>
            <c:strRef>
              <c:f>'ест,рожд.,смерт.,младенч.'!$A$5</c:f>
              <c:strCache>
                <c:ptCount val="1"/>
                <c:pt idx="0">
                  <c:v>Коэффициент естественного прироста</c:v>
                </c:pt>
              </c:strCache>
            </c:strRef>
          </c:tx>
          <c:spPr>
            <a:ln>
              <a:solidFill>
                <a:schemeClr val="tx2">
                  <a:lumMod val="75000"/>
                </a:schemeClr>
              </a:solidFill>
            </a:ln>
          </c:spPr>
          <c:marker>
            <c:symbol val="circle"/>
            <c:size val="5"/>
            <c:spPr>
              <a:solidFill>
                <a:schemeClr val="tx2">
                  <a:lumMod val="75000"/>
                </a:schemeClr>
              </a:solidFill>
            </c:spPr>
          </c:marker>
          <c:dLbls>
            <c:dLbl>
              <c:idx val="0"/>
              <c:layout>
                <c:manualLayout>
                  <c:x val="-2.9330565076924074E-2"/>
                  <c:y val="-4.5897700613526542E-2"/>
                </c:manualLayout>
              </c:layout>
              <c:showLegendKey val="0"/>
              <c:showVal val="1"/>
              <c:showCatName val="0"/>
              <c:showSerName val="0"/>
              <c:showPercent val="0"/>
              <c:showBubbleSize val="0"/>
            </c:dLbl>
            <c:dLbl>
              <c:idx val="1"/>
              <c:layout>
                <c:manualLayout>
                  <c:x val="-9.5811616356686308E-2"/>
                  <c:y val="5.3974453764775943E-2"/>
                </c:manualLayout>
              </c:layout>
              <c:showLegendKey val="0"/>
              <c:showVal val="1"/>
              <c:showCatName val="0"/>
              <c:showSerName val="0"/>
              <c:showPercent val="0"/>
              <c:showBubbleSize val="0"/>
            </c:dLbl>
            <c:dLbl>
              <c:idx val="2"/>
              <c:layout>
                <c:manualLayout>
                  <c:x val="-4.0563879914593738E-2"/>
                  <c:y val="-4.9952092892453878E-2"/>
                </c:manualLayout>
              </c:layout>
              <c:showLegendKey val="0"/>
              <c:showVal val="1"/>
              <c:showCatName val="0"/>
              <c:showSerName val="0"/>
              <c:showPercent val="0"/>
              <c:showBubbleSize val="0"/>
            </c:dLbl>
            <c:dLbl>
              <c:idx val="3"/>
              <c:layout>
                <c:manualLayout>
                  <c:x val="1.4566395955359157E-2"/>
                  <c:y val="1.003734762693787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'ест,рожд.,смерт.,младенч.'!$B$2:$F$2</c:f>
              <c:strCache>
                <c:ptCount val="5"/>
                <c:pt idx="0">
                  <c:v>2015 г.</c:v>
                </c:pt>
                <c:pt idx="1">
                  <c:v>2016 г.</c:v>
                </c:pt>
                <c:pt idx="2">
                  <c:v>2017 г.</c:v>
                </c:pt>
                <c:pt idx="3">
                  <c:v>2018 г.</c:v>
                </c:pt>
                <c:pt idx="4">
                  <c:v>2019 г.</c:v>
                </c:pt>
              </c:strCache>
            </c:strRef>
          </c:cat>
          <c:val>
            <c:numRef>
              <c:f>'ест,рожд.,смерт.,младенч.'!$B$5:$F$5</c:f>
              <c:numCache>
                <c:formatCode>0.0</c:formatCode>
                <c:ptCount val="5"/>
                <c:pt idx="0">
                  <c:v>2.0999999999999996</c:v>
                </c:pt>
                <c:pt idx="1">
                  <c:v>1.7999999999999989</c:v>
                </c:pt>
                <c:pt idx="2" formatCode="General">
                  <c:v>0.29999999999999893</c:v>
                </c:pt>
                <c:pt idx="3" formatCode="General">
                  <c:v>-0.19999999999999929</c:v>
                </c:pt>
                <c:pt idx="4" formatCode="General">
                  <c:v>-1.5</c:v>
                </c:pt>
              </c:numCache>
            </c:numRef>
          </c:val>
          <c:smooth val="0"/>
        </c:ser>
        <c:ser>
          <c:idx val="3"/>
          <c:order val="3"/>
          <c:tx>
            <c:strRef>
              <c:f>'ест,рожд.,смерт.,младенч.'!$A$6</c:f>
              <c:strCache>
                <c:ptCount val="1"/>
                <c:pt idx="0">
                  <c:v>Младенческая смертность</c:v>
                </c:pt>
              </c:strCache>
            </c:strRef>
          </c:tx>
          <c:marker>
            <c:symbol val="circle"/>
            <c:size val="5"/>
            <c:spPr>
              <a:solidFill>
                <a:srgbClr val="7030A0"/>
              </a:solidFill>
            </c:spPr>
          </c:marker>
          <c:dLbls>
            <c:dLbl>
              <c:idx val="0"/>
              <c:layout>
                <c:manualLayout>
                  <c:x val="-4.6811031120477513E-2"/>
                  <c:y val="-4.1960562411189249E-2"/>
                </c:manualLayout>
              </c:layout>
              <c:showLegendKey val="0"/>
              <c:showVal val="1"/>
              <c:showCatName val="0"/>
              <c:showSerName val="0"/>
              <c:showPercent val="0"/>
              <c:showBubbleSize val="0"/>
            </c:dLbl>
            <c:dLbl>
              <c:idx val="1"/>
              <c:layout>
                <c:manualLayout>
                  <c:x val="-3.744340002582703E-2"/>
                  <c:y val="-4.7200489311471069E-2"/>
                </c:manualLayout>
              </c:layout>
              <c:showLegendKey val="0"/>
              <c:showVal val="1"/>
              <c:showCatName val="0"/>
              <c:showSerName val="0"/>
              <c:showPercent val="0"/>
              <c:showBubbleSize val="0"/>
            </c:dLbl>
            <c:dLbl>
              <c:idx val="2"/>
              <c:layout>
                <c:manualLayout>
                  <c:x val="-5.2420760036157941E-2"/>
                  <c:y val="-5.8206594257891521E-2"/>
                </c:manualLayout>
              </c:layout>
              <c:showLegendKey val="0"/>
              <c:showVal val="1"/>
              <c:showCatName val="0"/>
              <c:showSerName val="0"/>
              <c:showPercent val="0"/>
              <c:showBubbleSize val="0"/>
            </c:dLbl>
            <c:dLbl>
              <c:idx val="3"/>
              <c:layout>
                <c:manualLayout>
                  <c:x val="-5.8737151248164461E-3"/>
                  <c:y val="-2.8335297550372621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'ест,рожд.,смерт.,младенч.'!$B$2:$F$2</c:f>
              <c:strCache>
                <c:ptCount val="5"/>
                <c:pt idx="0">
                  <c:v>2015 г.</c:v>
                </c:pt>
                <c:pt idx="1">
                  <c:v>2016 г.</c:v>
                </c:pt>
                <c:pt idx="2">
                  <c:v>2017 г.</c:v>
                </c:pt>
                <c:pt idx="3">
                  <c:v>2018 г.</c:v>
                </c:pt>
                <c:pt idx="4">
                  <c:v>2019 г.</c:v>
                </c:pt>
              </c:strCache>
            </c:strRef>
          </c:cat>
          <c:val>
            <c:numRef>
              <c:f>'ест,рожд.,смерт.,младенч.'!$B$6:$F$6</c:f>
              <c:numCache>
                <c:formatCode>General</c:formatCode>
                <c:ptCount val="5"/>
                <c:pt idx="0">
                  <c:v>4.7</c:v>
                </c:pt>
                <c:pt idx="1">
                  <c:v>4.8</c:v>
                </c:pt>
                <c:pt idx="2">
                  <c:v>4.4000000000000004</c:v>
                </c:pt>
                <c:pt idx="3">
                  <c:v>5.0999999999999996</c:v>
                </c:pt>
                <c:pt idx="4">
                  <c:v>4.4000000000000004</c:v>
                </c:pt>
              </c:numCache>
            </c:numRef>
          </c:val>
          <c:smooth val="0"/>
        </c:ser>
        <c:dLbls>
          <c:showLegendKey val="0"/>
          <c:showVal val="0"/>
          <c:showCatName val="0"/>
          <c:showSerName val="0"/>
          <c:showPercent val="0"/>
          <c:showBubbleSize val="0"/>
        </c:dLbls>
        <c:marker val="1"/>
        <c:smooth val="0"/>
        <c:axId val="108308480"/>
        <c:axId val="108410496"/>
      </c:lineChart>
      <c:catAx>
        <c:axId val="108308480"/>
        <c:scaling>
          <c:orientation val="minMax"/>
        </c:scaling>
        <c:delete val="0"/>
        <c:axPos val="b"/>
        <c:numFmt formatCode="General" sourceLinked="1"/>
        <c:majorTickMark val="out"/>
        <c:minorTickMark val="none"/>
        <c:tickLblPos val="nextTo"/>
        <c:crossAx val="108410496"/>
        <c:crosses val="autoZero"/>
        <c:auto val="1"/>
        <c:lblAlgn val="ctr"/>
        <c:lblOffset val="550"/>
        <c:noMultiLvlLbl val="0"/>
      </c:catAx>
      <c:valAx>
        <c:axId val="108410496"/>
        <c:scaling>
          <c:orientation val="minMax"/>
          <c:max val="14"/>
          <c:min val="-2"/>
        </c:scaling>
        <c:delete val="1"/>
        <c:axPos val="l"/>
        <c:numFmt formatCode="General" sourceLinked="1"/>
        <c:majorTickMark val="out"/>
        <c:minorTickMark val="none"/>
        <c:tickLblPos val="nextTo"/>
        <c:crossAx val="108308480"/>
        <c:crosses val="autoZero"/>
        <c:crossBetween val="between"/>
      </c:valAx>
    </c:plotArea>
    <c:legend>
      <c:legendPos val="r"/>
      <c:layout>
        <c:manualLayout>
          <c:xMode val="edge"/>
          <c:yMode val="edge"/>
          <c:x val="0.65543374493555906"/>
          <c:y val="0.12000083776287281"/>
          <c:w val="0.344566255064441"/>
          <c:h val="0.75435520999021921"/>
        </c:manualLayout>
      </c:layout>
      <c:overlay val="0"/>
    </c:legend>
    <c:plotVisOnly val="1"/>
    <c:dispBlanksAs val="gap"/>
    <c:showDLblsOverMax val="0"/>
  </c:chart>
  <c:spPr>
    <a:ln>
      <a:noFill/>
    </a:ln>
  </c:spPr>
  <c:txPr>
    <a:bodyPr/>
    <a:lstStyle/>
    <a:p>
      <a:pPr>
        <a:defRPr>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latin typeface="Times New Roman" panose="02020603050405020304" pitchFamily="18" charset="0"/>
                <a:cs typeface="Times New Roman" panose="02020603050405020304" pitchFamily="18" charset="0"/>
              </a:defRPr>
            </a:pPr>
            <a:r>
              <a:rPr lang="ru-RU" sz="1200">
                <a:latin typeface="Times New Roman" panose="02020603050405020304" pitchFamily="18" charset="0"/>
                <a:cs typeface="Times New Roman" panose="02020603050405020304" pitchFamily="18" charset="0"/>
              </a:rPr>
              <a:t>Среднемесячная заработная плата за 2019 год, тыс. рублей</a:t>
            </a:r>
          </a:p>
        </c:rich>
      </c:tx>
      <c:overlay val="0"/>
    </c:title>
    <c:autoTitleDeleted val="0"/>
    <c:plotArea>
      <c:layout>
        <c:manualLayout>
          <c:layoutTarget val="inner"/>
          <c:xMode val="edge"/>
          <c:yMode val="edge"/>
          <c:x val="0.46814763051607455"/>
          <c:y val="7.4180611897733603E-2"/>
          <c:w val="0.51283493683733272"/>
          <c:h val="0.90450312031556135"/>
        </c:manualLayout>
      </c:layout>
      <c:barChart>
        <c:barDir val="bar"/>
        <c:grouping val="clustered"/>
        <c:varyColors val="0"/>
        <c:ser>
          <c:idx val="0"/>
          <c:order val="0"/>
          <c:spPr>
            <a:solidFill>
              <a:srgbClr val="99BC7A"/>
            </a:solidFill>
          </c:spPr>
          <c:invertIfNegative val="0"/>
          <c:dLbls>
            <c:txPr>
              <a:bodyPr/>
              <a:lstStyle/>
              <a:p>
                <a:pPr>
                  <a:defRPr sz="1050" b="1">
                    <a:solidFill>
                      <a:schemeClr val="bg1"/>
                    </a:solidFill>
                    <a:latin typeface="Times New Roman" panose="02020603050405020304" pitchFamily="18" charset="0"/>
                    <a:cs typeface="Times New Roman" panose="02020603050405020304" pitchFamily="18" charset="0"/>
                  </a:defRPr>
                </a:pPr>
                <a:endParaRPr lang="ru-RU"/>
              </a:p>
            </c:txPr>
            <c:dLblPos val="inBase"/>
            <c:showLegendKey val="0"/>
            <c:showVal val="1"/>
            <c:showCatName val="0"/>
            <c:showSerName val="0"/>
            <c:showPercent val="0"/>
            <c:showBubbleSize val="0"/>
            <c:showLeaderLines val="0"/>
          </c:dLbls>
          <c:cat>
            <c:strRef>
              <c:f>'ЗП отрасл'!$A$5:$A$23</c:f>
              <c:strCache>
                <c:ptCount val="19"/>
                <c:pt idx="0">
                  <c:v>Гостиницы и предприятия общественного питания</c:v>
                </c:pt>
                <c:pt idx="1">
                  <c:v>Предоставление прочих видов услуг</c:v>
                </c:pt>
                <c:pt idx="2">
                  <c:v>Торговля; ремонт автотранспортных средств </c:v>
                </c:pt>
                <c:pt idx="3">
                  <c:v>Деятельность административная </c:v>
                </c:pt>
                <c:pt idx="4">
                  <c:v>Строительство</c:v>
                </c:pt>
                <c:pt idx="5">
                  <c:v>Сельское, лесное хозяйство</c:v>
                </c:pt>
                <c:pt idx="6">
                  <c:v>Операции с недвижимым имуществом</c:v>
                </c:pt>
                <c:pt idx="7">
                  <c:v>Водоснабжение; водоотведение, сбор и утилизация отходов</c:v>
                </c:pt>
                <c:pt idx="8">
                  <c:v>Образование</c:v>
                </c:pt>
                <c:pt idx="9">
                  <c:v>Культура, спорт, организация досуга и развлечений</c:v>
                </c:pt>
                <c:pt idx="10">
                  <c:v>Здравоохранение и социальные услуги</c:v>
                </c:pt>
                <c:pt idx="11">
                  <c:v>Обрабатывающие производства</c:v>
                </c:pt>
                <c:pt idx="12">
                  <c:v>Госуправление и обеспечение военной безопасности; 
социальное обеспечение</c:v>
                </c:pt>
                <c:pt idx="13">
                  <c:v>Обеспечение электрической энергией, газом и паром</c:v>
                </c:pt>
                <c:pt idx="14">
                  <c:v>Транспортировка и хранение</c:v>
                </c:pt>
                <c:pt idx="15">
                  <c:v>Деятельность финансовая и страховая</c:v>
                </c:pt>
                <c:pt idx="16">
                  <c:v>Деятельность в области информации и связи</c:v>
                </c:pt>
                <c:pt idx="17">
                  <c:v>Деятельность профессиональная, научная </c:v>
                </c:pt>
                <c:pt idx="18">
                  <c:v>Добыча полезных ископаемых</c:v>
                </c:pt>
              </c:strCache>
            </c:strRef>
          </c:cat>
          <c:val>
            <c:numRef>
              <c:f>'ЗП отрасл'!$B$5:$B$23</c:f>
              <c:numCache>
                <c:formatCode>#,##0.0</c:formatCode>
                <c:ptCount val="19"/>
                <c:pt idx="0">
                  <c:v>21.8</c:v>
                </c:pt>
                <c:pt idx="1">
                  <c:v>24.4</c:v>
                </c:pt>
                <c:pt idx="2">
                  <c:v>26</c:v>
                </c:pt>
                <c:pt idx="3">
                  <c:v>28.4</c:v>
                </c:pt>
                <c:pt idx="4">
                  <c:v>29</c:v>
                </c:pt>
                <c:pt idx="5">
                  <c:v>31</c:v>
                </c:pt>
                <c:pt idx="6">
                  <c:v>31</c:v>
                </c:pt>
                <c:pt idx="7">
                  <c:v>31.4</c:v>
                </c:pt>
                <c:pt idx="8">
                  <c:v>37.799999999999997</c:v>
                </c:pt>
                <c:pt idx="9">
                  <c:v>37.799999999999997</c:v>
                </c:pt>
                <c:pt idx="10">
                  <c:v>41.1</c:v>
                </c:pt>
                <c:pt idx="11">
                  <c:v>41.7</c:v>
                </c:pt>
                <c:pt idx="12">
                  <c:v>51.7</c:v>
                </c:pt>
                <c:pt idx="13">
                  <c:v>52</c:v>
                </c:pt>
                <c:pt idx="14">
                  <c:v>52.3</c:v>
                </c:pt>
                <c:pt idx="15">
                  <c:v>59.8</c:v>
                </c:pt>
                <c:pt idx="16">
                  <c:v>60.3</c:v>
                </c:pt>
                <c:pt idx="17">
                  <c:v>63</c:v>
                </c:pt>
                <c:pt idx="18">
                  <c:v>82.9</c:v>
                </c:pt>
              </c:numCache>
            </c:numRef>
          </c:val>
        </c:ser>
        <c:dLbls>
          <c:showLegendKey val="0"/>
          <c:showVal val="0"/>
          <c:showCatName val="0"/>
          <c:showSerName val="0"/>
          <c:showPercent val="0"/>
          <c:showBubbleSize val="0"/>
        </c:dLbls>
        <c:gapWidth val="50"/>
        <c:axId val="115115008"/>
        <c:axId val="108411648"/>
      </c:barChart>
      <c:catAx>
        <c:axId val="115115008"/>
        <c:scaling>
          <c:orientation val="minMax"/>
        </c:scaling>
        <c:delete val="0"/>
        <c:axPos val="l"/>
        <c:majorTickMark val="out"/>
        <c:minorTickMark val="none"/>
        <c:tickLblPos val="nextTo"/>
        <c:txPr>
          <a:bodyPr/>
          <a:lstStyle/>
          <a:p>
            <a:pPr>
              <a:defRPr sz="900">
                <a:latin typeface="Times New Roman" panose="02020603050405020304" pitchFamily="18" charset="0"/>
                <a:cs typeface="Times New Roman" panose="02020603050405020304" pitchFamily="18" charset="0"/>
              </a:defRPr>
            </a:pPr>
            <a:endParaRPr lang="ru-RU"/>
          </a:p>
        </c:txPr>
        <c:crossAx val="108411648"/>
        <c:crosses val="autoZero"/>
        <c:auto val="1"/>
        <c:lblAlgn val="ctr"/>
        <c:lblOffset val="100"/>
        <c:noMultiLvlLbl val="0"/>
      </c:catAx>
      <c:valAx>
        <c:axId val="108411648"/>
        <c:scaling>
          <c:orientation val="minMax"/>
          <c:max val="85"/>
          <c:min val="0"/>
        </c:scaling>
        <c:delete val="1"/>
        <c:axPos val="b"/>
        <c:numFmt formatCode="#,##0.0" sourceLinked="1"/>
        <c:majorTickMark val="out"/>
        <c:minorTickMark val="none"/>
        <c:tickLblPos val="nextTo"/>
        <c:crossAx val="115115008"/>
        <c:crosses val="autoZero"/>
        <c:crossBetween val="between"/>
      </c:valAx>
    </c:plotArea>
    <c:plotVisOnly val="1"/>
    <c:dispBlanksAs val="gap"/>
    <c:showDLblsOverMax val="0"/>
  </c:chart>
  <c:spPr>
    <a:ln>
      <a:noFill/>
    </a:ln>
  </c:spPr>
  <c:externalData r:id="rId1">
    <c:autoUpdate val="0"/>
  </c:externalData>
  <c:userShapes r:id="rId2"/>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ru-RU" sz="1200"/>
              <a:t>Структура обрабатывающей </a:t>
            </a:r>
          </a:p>
          <a:p>
            <a:pPr>
              <a:defRPr sz="1200"/>
            </a:pPr>
            <a:r>
              <a:rPr lang="ru-RU" sz="1200"/>
              <a:t>промышленности</a:t>
            </a:r>
          </a:p>
          <a:p>
            <a:pPr>
              <a:defRPr sz="1200"/>
            </a:pPr>
            <a:r>
              <a:rPr lang="ru-RU" sz="1200"/>
              <a:t> в 2019 году</a:t>
            </a:r>
          </a:p>
        </c:rich>
      </c:tx>
      <c:layout>
        <c:manualLayout>
          <c:xMode val="edge"/>
          <c:yMode val="edge"/>
          <c:x val="5.7813902294471253E-2"/>
          <c:y val="2.5574633359509311E-2"/>
        </c:manualLayout>
      </c:layout>
      <c:overlay val="0"/>
    </c:title>
    <c:autoTitleDeleted val="0"/>
    <c:plotArea>
      <c:layout>
        <c:manualLayout>
          <c:layoutTarget val="inner"/>
          <c:xMode val="edge"/>
          <c:yMode val="edge"/>
          <c:x val="2.8373639716209237E-2"/>
          <c:y val="0.18818285546249122"/>
          <c:w val="0.37071168175324459"/>
          <c:h val="0.77253844736203414"/>
        </c:manualLayout>
      </c:layout>
      <c:doughnutChart>
        <c:varyColors val="1"/>
        <c:ser>
          <c:idx val="0"/>
          <c:order val="0"/>
          <c:explosion val="4"/>
          <c:dLbls>
            <c:dLbl>
              <c:idx val="4"/>
              <c:layout>
                <c:manualLayout>
                  <c:x val="3.0686612965093976E-3"/>
                  <c:y val="3.3195020746887967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5"/>
              <c:layout>
                <c:manualLayout>
                  <c:x val="0"/>
                  <c:y val="1.6597510373443983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6"/>
              <c:layout>
                <c:manualLayout>
                  <c:x val="-7.4387228369246895E-4"/>
                  <c:y val="7.0708942130895428E-3"/>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a:lstStyle/>
              <a:p>
                <a:pPr>
                  <a:defRPr b="1"/>
                </a:pPr>
                <a:endParaRPr lang="ru-RU"/>
              </a:p>
            </c:txPr>
            <c:showLegendKey val="0"/>
            <c:showVal val="1"/>
            <c:showCatName val="0"/>
            <c:showSerName val="0"/>
            <c:showPercent val="0"/>
            <c:showBubbleSize val="0"/>
            <c:showLeaderLines val="1"/>
            <c:extLst>
              <c:ext xmlns:c15="http://schemas.microsoft.com/office/drawing/2012/chart" uri="{CE6537A1-D6FC-4f65-9D91-7224C49458BB}">
                <c15:layout/>
              </c:ext>
            </c:extLst>
          </c:dLbls>
          <c:cat>
            <c:strRef>
              <c:f>структура!$G$247:$G$257</c:f>
              <c:strCache>
                <c:ptCount val="11"/>
                <c:pt idx="0">
                  <c:v>производство пищевых продуктов</c:v>
                </c:pt>
                <c:pt idx="1">
                  <c:v>обработка древесины и производство изделий из дерева</c:v>
                </c:pt>
                <c:pt idx="2">
                  <c:v>производство кокса и нефтепродуктов</c:v>
                </c:pt>
                <c:pt idx="3">
                  <c:v>производство химических веществ и химических продуктов</c:v>
                </c:pt>
                <c:pt idx="4">
                  <c:v>производство лекарственных средств и материалов, применяемых в медицинских целях</c:v>
                </c:pt>
                <c:pt idx="5">
                  <c:v>производство резиновых и пластмассовых изделий</c:v>
                </c:pt>
                <c:pt idx="6">
                  <c:v>производство прочей неметаллической минеральной продукции</c:v>
                </c:pt>
                <c:pt idx="7">
                  <c:v>производство компьютеров, электронных и оптических изделий</c:v>
                </c:pt>
                <c:pt idx="8">
                  <c:v>производство электрического оборудования</c:v>
                </c:pt>
                <c:pt idx="9">
                  <c:v>ремонт и монтаж машин и оборудования</c:v>
                </c:pt>
                <c:pt idx="10">
                  <c:v>Прочие</c:v>
                </c:pt>
              </c:strCache>
            </c:strRef>
          </c:cat>
          <c:val>
            <c:numRef>
              <c:f>структура!$H$247:$H$257</c:f>
              <c:numCache>
                <c:formatCode>0.0%</c:formatCode>
                <c:ptCount val="11"/>
                <c:pt idx="0">
                  <c:v>0.15117899977592361</c:v>
                </c:pt>
                <c:pt idx="1">
                  <c:v>9.759924451441862E-2</c:v>
                </c:pt>
                <c:pt idx="2">
                  <c:v>0.16132765019370107</c:v>
                </c:pt>
                <c:pt idx="3">
                  <c:v>0.13143870284773151</c:v>
                </c:pt>
                <c:pt idx="4">
                  <c:v>1.6844955314655723E-2</c:v>
                </c:pt>
                <c:pt idx="5">
                  <c:v>2.7902659644625624E-2</c:v>
                </c:pt>
                <c:pt idx="6">
                  <c:v>2.7277991530206432E-2</c:v>
                </c:pt>
                <c:pt idx="7">
                  <c:v>4.9057040436228203E-2</c:v>
                </c:pt>
                <c:pt idx="8">
                  <c:v>0.12853257418669339</c:v>
                </c:pt>
                <c:pt idx="9">
                  <c:v>4.2412709495494694E-2</c:v>
                </c:pt>
                <c:pt idx="10">
                  <c:v>0.16642747206032121</c:v>
                </c:pt>
              </c:numCache>
            </c:numRef>
          </c:val>
        </c:ser>
        <c:dLbls>
          <c:showLegendKey val="0"/>
          <c:showVal val="0"/>
          <c:showCatName val="0"/>
          <c:showSerName val="0"/>
          <c:showPercent val="0"/>
          <c:showBubbleSize val="0"/>
          <c:showLeaderLines val="1"/>
        </c:dLbls>
        <c:firstSliceAng val="0"/>
        <c:holeSize val="50"/>
      </c:doughnutChart>
    </c:plotArea>
    <c:legend>
      <c:legendPos val="r"/>
      <c:layout>
        <c:manualLayout>
          <c:xMode val="edge"/>
          <c:yMode val="edge"/>
          <c:x val="0.41932581008019154"/>
          <c:y val="3.2345013477088951E-2"/>
          <c:w val="0.47007511157879467"/>
          <c:h val="0.94968553459119498"/>
        </c:manualLayout>
      </c:layout>
      <c:overlay val="0"/>
      <c:txPr>
        <a:bodyPr/>
        <a:lstStyle/>
        <a:p>
          <a:pPr>
            <a:defRPr sz="900"/>
          </a:pPr>
          <a:endParaRPr lang="ru-RU"/>
        </a:p>
      </c:txPr>
    </c:legend>
    <c:plotVisOnly val="1"/>
    <c:dispBlanksAs val="gap"/>
    <c:showDLblsOverMax val="0"/>
  </c:chart>
  <c:spPr>
    <a:noFill/>
    <a:ln>
      <a:noFill/>
    </a:ln>
  </c:sp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6.4376866684767858E-2"/>
          <c:y val="0.23329033913642441"/>
          <c:w val="0.93562315946461749"/>
          <c:h val="0.48713722161975265"/>
        </c:manualLayout>
      </c:layout>
      <c:pie3DChart>
        <c:varyColors val="1"/>
        <c:ser>
          <c:idx val="0"/>
          <c:order val="0"/>
          <c:spPr>
            <a:solidFill>
              <a:srgbClr val="F79646">
                <a:lumMod val="40000"/>
                <a:lumOff val="60000"/>
              </a:srgbClr>
            </a:solidFill>
            <a:ln w="12360">
              <a:solidFill>
                <a:srgbClr val="000000"/>
              </a:solidFill>
              <a:prstDash val="solid"/>
            </a:ln>
          </c:spPr>
          <c:explosion val="20"/>
          <c:dPt>
            <c:idx val="0"/>
            <c:bubble3D val="0"/>
            <c:explosion val="33"/>
            <c:spPr>
              <a:solidFill>
                <a:srgbClr val="006600"/>
              </a:solidFill>
              <a:ln w="12360">
                <a:noFill/>
                <a:prstDash val="solid"/>
              </a:ln>
            </c:spPr>
          </c:dPt>
          <c:dPt>
            <c:idx val="1"/>
            <c:bubble3D val="0"/>
            <c:spPr>
              <a:solidFill>
                <a:srgbClr val="FFC000"/>
              </a:solidFill>
              <a:ln w="12360">
                <a:noFill/>
                <a:prstDash val="solid"/>
              </a:ln>
            </c:spPr>
          </c:dPt>
          <c:dPt>
            <c:idx val="2"/>
            <c:bubble3D val="0"/>
            <c:spPr>
              <a:solidFill>
                <a:srgbClr val="C00000"/>
              </a:solidFill>
              <a:ln w="12360">
                <a:noFill/>
                <a:prstDash val="solid"/>
              </a:ln>
            </c:spPr>
          </c:dPt>
          <c:dPt>
            <c:idx val="3"/>
            <c:bubble3D val="0"/>
            <c:spPr>
              <a:solidFill>
                <a:srgbClr val="4BACC6">
                  <a:lumMod val="75000"/>
                </a:srgbClr>
              </a:solidFill>
              <a:ln w="12360">
                <a:noFill/>
                <a:prstDash val="solid"/>
              </a:ln>
            </c:spPr>
          </c:dPt>
          <c:dLbls>
            <c:dLbl>
              <c:idx val="0"/>
              <c:spPr/>
              <c:txPr>
                <a:bodyPr/>
                <a:lstStyle/>
                <a:p>
                  <a:pPr>
                    <a:defRPr sz="1200" b="1" i="0" baseline="0">
                      <a:solidFill>
                        <a:schemeClr val="bg1"/>
                      </a:solidFill>
                      <a:latin typeface="Times New Roman" panose="02020603050405020304" pitchFamily="18" charset="0"/>
                    </a:defRPr>
                  </a:pPr>
                  <a:endParaRPr lang="ru-RU"/>
                </a:p>
              </c:txPr>
              <c:showLegendKey val="0"/>
              <c:showVal val="1"/>
              <c:showCatName val="0"/>
              <c:showSerName val="0"/>
              <c:showPercent val="0"/>
              <c:showBubbleSize val="0"/>
            </c:dLbl>
            <c:dLbl>
              <c:idx val="1"/>
              <c:layout>
                <c:manualLayout>
                  <c:x val="2.6505279863272904E-2"/>
                  <c:y val="-1.9244021754878408E-4"/>
                </c:manualLayout>
              </c:layout>
              <c:spPr/>
              <c:txPr>
                <a:bodyPr/>
                <a:lstStyle/>
                <a:p>
                  <a:pPr>
                    <a:defRPr sz="1200" b="1" i="0" baseline="0">
                      <a:solidFill>
                        <a:sysClr val="windowText" lastClr="000000"/>
                      </a:solidFill>
                      <a:latin typeface="Times New Roman" panose="02020603050405020304" pitchFamily="18" charset="0"/>
                    </a:defRPr>
                  </a:pPr>
                  <a:endParaRPr lang="ru-RU"/>
                </a:p>
              </c:txPr>
              <c:showLegendKey val="0"/>
              <c:showVal val="1"/>
              <c:showCatName val="0"/>
              <c:showSerName val="0"/>
              <c:showPercent val="0"/>
              <c:showBubbleSize val="0"/>
            </c:dLbl>
            <c:dLbl>
              <c:idx val="2"/>
              <c:layout>
                <c:manualLayout>
                  <c:x val="2.116752647298398E-3"/>
                  <c:y val="-5.1423301817002604E-3"/>
                </c:manualLayout>
              </c:layout>
              <c:showLegendKey val="0"/>
              <c:showVal val="1"/>
              <c:showCatName val="0"/>
              <c:showSerName val="0"/>
              <c:showPercent val="0"/>
              <c:showBubbleSize val="0"/>
            </c:dLbl>
            <c:txPr>
              <a:bodyPr/>
              <a:lstStyle/>
              <a:p>
                <a:pPr>
                  <a:defRPr sz="1200" b="1" i="0" baseline="0">
                    <a:latin typeface="Times New Roman" panose="02020603050405020304" pitchFamily="18" charset="0"/>
                  </a:defRPr>
                </a:pPr>
                <a:endParaRPr lang="ru-RU"/>
              </a:p>
            </c:txPr>
            <c:showLegendKey val="0"/>
            <c:showVal val="1"/>
            <c:showCatName val="0"/>
            <c:showSerName val="0"/>
            <c:showPercent val="0"/>
            <c:showBubbleSize val="0"/>
            <c:showLeaderLines val="1"/>
          </c:dLbls>
          <c:cat>
            <c:strRef>
              <c:f>строительство!$A$46:$A$48</c:f>
              <c:strCache>
                <c:ptCount val="3"/>
                <c:pt idx="0">
                  <c:v>Строительство зданий</c:v>
                </c:pt>
                <c:pt idx="1">
                  <c:v>Строительство инженерных сооружений</c:v>
                </c:pt>
                <c:pt idx="2">
                  <c:v>Работы строительные специализированные</c:v>
                </c:pt>
              </c:strCache>
            </c:strRef>
          </c:cat>
          <c:val>
            <c:numRef>
              <c:f>строительство!$B$46:$B$48</c:f>
              <c:numCache>
                <c:formatCode>0.0%</c:formatCode>
                <c:ptCount val="3"/>
                <c:pt idx="0">
                  <c:v>0.40135562775349132</c:v>
                </c:pt>
                <c:pt idx="1">
                  <c:v>0.42478538502100732</c:v>
                </c:pt>
                <c:pt idx="2">
                  <c:v>0.17385898722550136</c:v>
                </c:pt>
              </c:numCache>
            </c:numRef>
          </c:val>
        </c:ser>
        <c:dLbls>
          <c:showLegendKey val="0"/>
          <c:showVal val="0"/>
          <c:showCatName val="0"/>
          <c:showSerName val="0"/>
          <c:showPercent val="0"/>
          <c:showBubbleSize val="0"/>
          <c:showLeaderLines val="1"/>
        </c:dLbls>
      </c:pie3DChart>
      <c:spPr>
        <a:noFill/>
        <a:ln w="25391">
          <a:noFill/>
        </a:ln>
      </c:spPr>
    </c:plotArea>
    <c:legend>
      <c:legendPos val="t"/>
      <c:layout>
        <c:manualLayout>
          <c:xMode val="edge"/>
          <c:yMode val="edge"/>
          <c:x val="3.9206481303658185E-3"/>
          <c:y val="0.74033308899450634"/>
          <c:w val="0.95834863570965267"/>
          <c:h val="0.17778345274408267"/>
        </c:manualLayout>
      </c:layout>
      <c:overlay val="0"/>
      <c:txPr>
        <a:bodyPr/>
        <a:lstStyle/>
        <a:p>
          <a:pPr rtl="0">
            <a:defRPr sz="1000" b="0" i="0" u="none" strike="noStrike" baseline="0">
              <a:solidFill>
                <a:sysClr val="windowText" lastClr="000000"/>
              </a:solidFill>
              <a:latin typeface="Times New Roman"/>
              <a:ea typeface="Times New Roman"/>
              <a:cs typeface="Times New Roman"/>
            </a:defRPr>
          </a:pPr>
          <a:endParaRPr lang="ru-RU"/>
        </a:p>
      </c:txPr>
    </c:legend>
    <c:plotVisOnly val="1"/>
    <c:dispBlanksAs val="zero"/>
    <c:showDLblsOverMax val="0"/>
  </c:chart>
  <c:spPr>
    <a:solidFill>
      <a:srgbClr val="FFFFFF"/>
    </a:solidFill>
    <a:ln>
      <a:noFill/>
    </a:ln>
  </c:spPr>
  <c:txPr>
    <a:bodyPr/>
    <a:lstStyle/>
    <a:p>
      <a:pPr>
        <a:defRPr sz="775" b="0" i="0" u="none" strike="noStrike" baseline="0">
          <a:solidFill>
            <a:srgbClr val="000000"/>
          </a:solidFill>
          <a:latin typeface="Arial Cyr"/>
          <a:ea typeface="Arial Cyr"/>
          <a:cs typeface="Arial Cyr"/>
        </a:defRPr>
      </a:pPr>
      <a:endParaRPr lang="ru-RU"/>
    </a:p>
  </c:txPr>
  <c:externalData r:id="rId2">
    <c:autoUpdate val="0"/>
  </c:externalData>
  <c:userShapes r:id="rId3"/>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lgn="ctr">
              <a:defRPr sz="1400"/>
            </a:pPr>
            <a:r>
              <a:rPr lang="ru-RU" sz="1400">
                <a:latin typeface="Times New Roman" panose="02020603050405020304" pitchFamily="18" charset="0"/>
                <a:cs typeface="Times New Roman" panose="02020603050405020304" pitchFamily="18" charset="0"/>
              </a:rPr>
              <a:t>Количество подготовленных заключений об ОРВ </a:t>
            </a:r>
          </a:p>
          <a:p>
            <a:pPr algn="ctr">
              <a:defRPr sz="1400"/>
            </a:pPr>
            <a:r>
              <a:rPr lang="ru-RU" sz="1400">
                <a:latin typeface="Times New Roman" panose="02020603050405020304" pitchFamily="18" charset="0"/>
                <a:cs typeface="Times New Roman" panose="02020603050405020304" pitchFamily="18" charset="0"/>
              </a:rPr>
              <a:t>за 2018 </a:t>
            </a:r>
            <a:r>
              <a:rPr lang="ru-RU" sz="1400" b="1" i="0" u="none" strike="noStrike" baseline="0">
                <a:effectLst/>
              </a:rPr>
              <a:t>–</a:t>
            </a:r>
            <a:r>
              <a:rPr lang="ru-RU" sz="1400">
                <a:latin typeface="Times New Roman" panose="02020603050405020304" pitchFamily="18" charset="0"/>
                <a:cs typeface="Times New Roman" panose="02020603050405020304" pitchFamily="18" charset="0"/>
              </a:rPr>
              <a:t> 2019 годы</a:t>
            </a:r>
          </a:p>
        </c:rich>
      </c:tx>
      <c:overlay val="1"/>
    </c:title>
    <c:autoTitleDeleted val="0"/>
    <c:plotArea>
      <c:layout>
        <c:manualLayout>
          <c:layoutTarget val="inner"/>
          <c:xMode val="edge"/>
          <c:yMode val="edge"/>
          <c:x val="0.11996966671300918"/>
          <c:y val="0.26194015748031496"/>
          <c:w val="0.70073768868779041"/>
          <c:h val="0.57192230971128621"/>
        </c:manualLayout>
      </c:layout>
      <c:barChart>
        <c:barDir val="bar"/>
        <c:grouping val="clustered"/>
        <c:varyColors val="0"/>
        <c:ser>
          <c:idx val="0"/>
          <c:order val="0"/>
          <c:tx>
            <c:strRef>
              <c:f>Лист1!$B$1</c:f>
              <c:strCache>
                <c:ptCount val="1"/>
                <c:pt idx="0">
                  <c:v>Положительные</c:v>
                </c:pt>
              </c:strCache>
            </c:strRef>
          </c:tx>
          <c:invertIfNegative val="0"/>
          <c:dLbls>
            <c:spPr>
              <a:noFill/>
              <a:ln>
                <a:noFill/>
              </a:ln>
              <a:effectLst/>
            </c:spPr>
            <c:txPr>
              <a:bodyPr/>
              <a:lstStyle/>
              <a:p>
                <a:pPr>
                  <a:defRPr sz="1400" b="1">
                    <a:latin typeface="Times New Roman" panose="02020603050405020304" pitchFamily="18" charset="0"/>
                    <a:cs typeface="Times New Roman" panose="02020603050405020304" pitchFamily="18" charset="0"/>
                  </a:defRPr>
                </a:pPr>
                <a:endParaRPr lang="ru-RU"/>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Лист1!$A$2:$A$3</c:f>
              <c:numCache>
                <c:formatCode>General</c:formatCode>
                <c:ptCount val="2"/>
                <c:pt idx="0">
                  <c:v>2018</c:v>
                </c:pt>
                <c:pt idx="1">
                  <c:v>2019</c:v>
                </c:pt>
              </c:numCache>
            </c:numRef>
          </c:cat>
          <c:val>
            <c:numRef>
              <c:f>Лист1!$B$2:$B$3</c:f>
              <c:numCache>
                <c:formatCode>General</c:formatCode>
                <c:ptCount val="2"/>
                <c:pt idx="0">
                  <c:v>26</c:v>
                </c:pt>
                <c:pt idx="1">
                  <c:v>57</c:v>
                </c:pt>
              </c:numCache>
            </c:numRef>
          </c:val>
        </c:ser>
        <c:ser>
          <c:idx val="1"/>
          <c:order val="1"/>
          <c:tx>
            <c:strRef>
              <c:f>Лист1!$C$1</c:f>
              <c:strCache>
                <c:ptCount val="1"/>
                <c:pt idx="0">
                  <c:v>Отрицательные</c:v>
                </c:pt>
              </c:strCache>
            </c:strRef>
          </c:tx>
          <c:invertIfNegative val="0"/>
          <c:dLbls>
            <c:spPr>
              <a:noFill/>
              <a:ln>
                <a:noFill/>
              </a:ln>
              <a:effectLst/>
            </c:spPr>
            <c:txPr>
              <a:bodyPr/>
              <a:lstStyle/>
              <a:p>
                <a:pPr>
                  <a:defRPr sz="1400" b="1">
                    <a:latin typeface="Times New Roman" panose="02020603050405020304" pitchFamily="18" charset="0"/>
                    <a:cs typeface="Times New Roman" panose="02020603050405020304" pitchFamily="18" charset="0"/>
                  </a:defRPr>
                </a:pPr>
                <a:endParaRPr lang="ru-RU"/>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Лист1!$A$2:$A$3</c:f>
              <c:numCache>
                <c:formatCode>General</c:formatCode>
                <c:ptCount val="2"/>
                <c:pt idx="0">
                  <c:v>2018</c:v>
                </c:pt>
                <c:pt idx="1">
                  <c:v>2019</c:v>
                </c:pt>
              </c:numCache>
            </c:numRef>
          </c:cat>
          <c:val>
            <c:numRef>
              <c:f>Лист1!$C$2:$C$3</c:f>
              <c:numCache>
                <c:formatCode>General</c:formatCode>
                <c:ptCount val="2"/>
                <c:pt idx="0">
                  <c:v>12</c:v>
                </c:pt>
                <c:pt idx="1">
                  <c:v>14</c:v>
                </c:pt>
              </c:numCache>
            </c:numRef>
          </c:val>
        </c:ser>
        <c:dLbls>
          <c:dLblPos val="ctr"/>
          <c:showLegendKey val="0"/>
          <c:showVal val="1"/>
          <c:showCatName val="0"/>
          <c:showSerName val="0"/>
          <c:showPercent val="0"/>
          <c:showBubbleSize val="0"/>
        </c:dLbls>
        <c:gapWidth val="150"/>
        <c:axId val="108354560"/>
        <c:axId val="84140032"/>
      </c:barChart>
      <c:catAx>
        <c:axId val="108354560"/>
        <c:scaling>
          <c:orientation val="maxMin"/>
        </c:scaling>
        <c:delete val="0"/>
        <c:axPos val="l"/>
        <c:numFmt formatCode="General" sourceLinked="1"/>
        <c:majorTickMark val="out"/>
        <c:minorTickMark val="none"/>
        <c:tickLblPos val="nextTo"/>
        <c:spPr>
          <a:ln>
            <a:noFill/>
          </a:ln>
        </c:spPr>
        <c:txPr>
          <a:bodyPr/>
          <a:lstStyle/>
          <a:p>
            <a:pPr>
              <a:defRPr sz="1400" b="1">
                <a:latin typeface="Times New Roman" panose="02020603050405020304" pitchFamily="18" charset="0"/>
                <a:cs typeface="Times New Roman" panose="02020603050405020304" pitchFamily="18" charset="0"/>
              </a:defRPr>
            </a:pPr>
            <a:endParaRPr lang="ru-RU"/>
          </a:p>
        </c:txPr>
        <c:crossAx val="84140032"/>
        <c:crosses val="autoZero"/>
        <c:auto val="1"/>
        <c:lblAlgn val="ctr"/>
        <c:lblOffset val="100"/>
        <c:noMultiLvlLbl val="0"/>
      </c:catAx>
      <c:valAx>
        <c:axId val="84140032"/>
        <c:scaling>
          <c:orientation val="minMax"/>
        </c:scaling>
        <c:delete val="1"/>
        <c:axPos val="t"/>
        <c:numFmt formatCode="General" sourceLinked="1"/>
        <c:majorTickMark val="out"/>
        <c:minorTickMark val="none"/>
        <c:tickLblPos val="nextTo"/>
        <c:crossAx val="108354560"/>
        <c:crosses val="autoZero"/>
        <c:crossBetween val="between"/>
      </c:valAx>
    </c:plotArea>
    <c:legend>
      <c:legendPos val="r"/>
      <c:layout>
        <c:manualLayout>
          <c:xMode val="edge"/>
          <c:yMode val="edge"/>
          <c:x val="0.7494145254315121"/>
          <c:y val="0.32413718285214344"/>
          <c:w val="0.22918365541385979"/>
          <c:h val="0.21022865968914378"/>
        </c:manualLayout>
      </c:layout>
      <c:overlay val="0"/>
      <c:txPr>
        <a:bodyPr/>
        <a:lstStyle/>
        <a:p>
          <a:pPr>
            <a:defRPr sz="1200" b="1">
              <a:latin typeface="Times New Roman" panose="02020603050405020304" pitchFamily="18" charset="0"/>
              <a:cs typeface="Times New Roman" panose="02020603050405020304" pitchFamily="18" charset="0"/>
            </a:defRPr>
          </a:pPr>
          <a:endParaRPr lang="ru-RU"/>
        </a:p>
      </c:txPr>
    </c:legend>
    <c:plotVisOnly val="1"/>
    <c:dispBlanksAs val="gap"/>
    <c:showDLblsOverMax val="0"/>
  </c:chart>
  <c:spPr>
    <a:ln>
      <a:noFill/>
    </a:ln>
  </c:sp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latin typeface="Times New Roman" panose="02020603050405020304" pitchFamily="18" charset="0"/>
                <a:cs typeface="Times New Roman" panose="02020603050405020304" pitchFamily="18" charset="0"/>
              </a:defRPr>
            </a:pPr>
            <a:r>
              <a:rPr lang="ru-RU" sz="1200">
                <a:latin typeface="Times New Roman" panose="02020603050405020304" pitchFamily="18" charset="0"/>
                <a:cs typeface="Times New Roman" panose="02020603050405020304" pitchFamily="18" charset="0"/>
              </a:rPr>
              <a:t>Структура внешнеторгового оборота Томской области, млн долл. США</a:t>
            </a:r>
            <a:r>
              <a:rPr lang="en-US" sz="1200">
                <a:latin typeface="Times New Roman" panose="02020603050405020304" pitchFamily="18" charset="0"/>
                <a:cs typeface="Times New Roman" panose="02020603050405020304" pitchFamily="18" charset="0"/>
              </a:rPr>
              <a:t> </a:t>
            </a:r>
            <a:endParaRPr lang="ru-RU" sz="1200">
              <a:latin typeface="Times New Roman" panose="02020603050405020304" pitchFamily="18" charset="0"/>
              <a:cs typeface="Times New Roman" panose="02020603050405020304" pitchFamily="18" charset="0"/>
            </a:endParaRPr>
          </a:p>
        </c:rich>
      </c:tx>
      <c:layout>
        <c:manualLayout>
          <c:xMode val="edge"/>
          <c:yMode val="edge"/>
          <c:x val="0.14179384050673319"/>
          <c:y val="1.1509333081387734E-3"/>
        </c:manualLayout>
      </c:layout>
      <c:overlay val="0"/>
    </c:title>
    <c:autoTitleDeleted val="0"/>
    <c:plotArea>
      <c:layout>
        <c:manualLayout>
          <c:layoutTarget val="inner"/>
          <c:xMode val="edge"/>
          <c:yMode val="edge"/>
          <c:x val="7.6845064098533672E-2"/>
          <c:y val="0.18661279584949841"/>
          <c:w val="0.89212827988338195"/>
          <c:h val="0.61127595757995079"/>
        </c:manualLayout>
      </c:layout>
      <c:barChart>
        <c:barDir val="col"/>
        <c:grouping val="stacked"/>
        <c:varyColors val="0"/>
        <c:ser>
          <c:idx val="0"/>
          <c:order val="0"/>
          <c:tx>
            <c:strRef>
              <c:f>Лист3!$B$7</c:f>
              <c:strCache>
                <c:ptCount val="1"/>
                <c:pt idx="0">
                  <c:v>экспорт</c:v>
                </c:pt>
              </c:strCache>
            </c:strRef>
          </c:tx>
          <c:invertIfNegative val="0"/>
          <c:dLbls>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Лист3!$C$6:$D$6</c:f>
              <c:strCache>
                <c:ptCount val="2"/>
                <c:pt idx="0">
                  <c:v>2018 год</c:v>
                </c:pt>
                <c:pt idx="1">
                  <c:v> 2019 год</c:v>
                </c:pt>
              </c:strCache>
            </c:strRef>
          </c:cat>
          <c:val>
            <c:numRef>
              <c:f>Лист3!$C$7:$D$7</c:f>
              <c:numCache>
                <c:formatCode>0.00</c:formatCode>
                <c:ptCount val="2"/>
                <c:pt idx="0">
                  <c:v>321.10000000000002</c:v>
                </c:pt>
                <c:pt idx="1">
                  <c:v>314</c:v>
                </c:pt>
              </c:numCache>
            </c:numRef>
          </c:val>
        </c:ser>
        <c:ser>
          <c:idx val="1"/>
          <c:order val="1"/>
          <c:tx>
            <c:strRef>
              <c:f>Лист3!$B$8</c:f>
              <c:strCache>
                <c:ptCount val="1"/>
                <c:pt idx="0">
                  <c:v>импорт</c:v>
                </c:pt>
              </c:strCache>
            </c:strRef>
          </c:tx>
          <c:invertIfNegative val="0"/>
          <c:dPt>
            <c:idx val="0"/>
            <c:invertIfNegative val="0"/>
            <c:bubble3D val="0"/>
          </c:dPt>
          <c:dPt>
            <c:idx val="1"/>
            <c:invertIfNegative val="0"/>
            <c:bubble3D val="0"/>
          </c:dPt>
          <c:dLbls>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Лист3!$C$6:$D$6</c:f>
              <c:strCache>
                <c:ptCount val="2"/>
                <c:pt idx="0">
                  <c:v>2018 год</c:v>
                </c:pt>
                <c:pt idx="1">
                  <c:v> 2019 год</c:v>
                </c:pt>
              </c:strCache>
            </c:strRef>
          </c:cat>
          <c:val>
            <c:numRef>
              <c:f>Лист3!$C$8:$D$8</c:f>
              <c:numCache>
                <c:formatCode>0.00</c:formatCode>
                <c:ptCount val="2"/>
                <c:pt idx="0">
                  <c:v>324.10000000000002</c:v>
                </c:pt>
                <c:pt idx="1">
                  <c:v>386.9</c:v>
                </c:pt>
              </c:numCache>
            </c:numRef>
          </c:val>
        </c:ser>
        <c:dLbls>
          <c:showLegendKey val="0"/>
          <c:showVal val="0"/>
          <c:showCatName val="0"/>
          <c:showSerName val="0"/>
          <c:showPercent val="0"/>
          <c:showBubbleSize val="0"/>
        </c:dLbls>
        <c:gapWidth val="150"/>
        <c:overlap val="100"/>
        <c:axId val="116748800"/>
        <c:axId val="84141760"/>
      </c:barChart>
      <c:catAx>
        <c:axId val="116748800"/>
        <c:scaling>
          <c:orientation val="minMax"/>
        </c:scaling>
        <c:delete val="0"/>
        <c:axPos val="b"/>
        <c:numFmt formatCode="General" sourceLinked="1"/>
        <c:majorTickMark val="out"/>
        <c:minorTickMark val="none"/>
        <c:tickLblPos val="nextTo"/>
        <c:txPr>
          <a:bodyPr rot="0" vert="horz"/>
          <a:lstStyle/>
          <a:p>
            <a:pPr>
              <a:defRPr/>
            </a:pPr>
            <a:endParaRPr lang="ru-RU"/>
          </a:p>
        </c:txPr>
        <c:crossAx val="84141760"/>
        <c:crosses val="autoZero"/>
        <c:auto val="1"/>
        <c:lblAlgn val="ctr"/>
        <c:lblOffset val="100"/>
        <c:tickLblSkip val="1"/>
        <c:tickMarkSkip val="1"/>
        <c:noMultiLvlLbl val="0"/>
      </c:catAx>
      <c:valAx>
        <c:axId val="84141760"/>
        <c:scaling>
          <c:orientation val="minMax"/>
          <c:max val="710"/>
          <c:min val="0"/>
        </c:scaling>
        <c:delete val="1"/>
        <c:axPos val="l"/>
        <c:majorGridlines/>
        <c:numFmt formatCode="0.00" sourceLinked="1"/>
        <c:majorTickMark val="out"/>
        <c:minorTickMark val="none"/>
        <c:tickLblPos val="nextTo"/>
        <c:crossAx val="116748800"/>
        <c:crosses val="autoZero"/>
        <c:crossBetween val="between"/>
      </c:valAx>
    </c:plotArea>
    <c:legend>
      <c:legendPos val="b"/>
      <c:layout>
        <c:manualLayout>
          <c:xMode val="edge"/>
          <c:yMode val="edge"/>
          <c:x val="0.10151542439236141"/>
          <c:y val="0.88976358405920797"/>
          <c:w val="0.78224515854437093"/>
          <c:h val="8.2677105084922431E-2"/>
        </c:manualLayout>
      </c:layout>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182868265993266"/>
          <c:y val="0.125"/>
          <c:w val="0.87302353439586289"/>
          <c:h val="0.61866506270049582"/>
        </c:manualLayout>
      </c:layout>
      <c:barChart>
        <c:barDir val="col"/>
        <c:grouping val="stacked"/>
        <c:varyColors val="0"/>
        <c:ser>
          <c:idx val="0"/>
          <c:order val="0"/>
          <c:tx>
            <c:strRef>
              <c:f>'ввод жилья'!$F$7</c:f>
              <c:strCache>
                <c:ptCount val="1"/>
                <c:pt idx="0">
                  <c:v>многоквартирное жилое строительство</c:v>
                </c:pt>
              </c:strCache>
            </c:strRef>
          </c:tx>
          <c:spPr>
            <a:solidFill>
              <a:srgbClr val="FFC000"/>
            </a:solidFill>
            <a:ln>
              <a:noFill/>
            </a:ln>
          </c:spPr>
          <c:invertIfNegative val="0"/>
          <c:dLbls>
            <c:dLbl>
              <c:idx val="1"/>
              <c:tx>
                <c:rich>
                  <a:bodyPr/>
                  <a:lstStyle/>
                  <a:p>
                    <a:r>
                      <a:rPr lang="en-US"/>
                      <a:t>255,7</a:t>
                    </a:r>
                  </a:p>
                </c:rich>
              </c:tx>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6D08-4EE3-9FEA-BB6E05D86B4C}"/>
                </c:ext>
              </c:extLst>
            </c:dLbl>
            <c:spPr>
              <a:noFill/>
              <a:ln>
                <a:noFill/>
              </a:ln>
              <a:effectLst/>
            </c:spPr>
            <c:txPr>
              <a:bodyPr/>
              <a:lstStyle/>
              <a:p>
                <a:pPr>
                  <a:defRPr sz="1200" b="1"/>
                </a:pPr>
                <a:endParaRPr lang="ru-RU"/>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'ввод жилья'!$E$8:$E$9</c:f>
              <c:strCache>
                <c:ptCount val="2"/>
                <c:pt idx="0">
                  <c:v>Январь-декабрь 2018 года</c:v>
                </c:pt>
                <c:pt idx="1">
                  <c:v>Январь-декабрь 2019 года</c:v>
                </c:pt>
              </c:strCache>
            </c:strRef>
          </c:cat>
          <c:val>
            <c:numRef>
              <c:f>'ввод жилья'!$F$8:$F$9</c:f>
              <c:numCache>
                <c:formatCode>#,##0.0</c:formatCode>
                <c:ptCount val="2"/>
                <c:pt idx="0">
                  <c:v>277.166</c:v>
                </c:pt>
                <c:pt idx="1">
                  <c:v>256.7</c:v>
                </c:pt>
              </c:numCache>
            </c:numRef>
          </c:val>
          <c:extLst xmlns:c16r2="http://schemas.microsoft.com/office/drawing/2015/06/chart">
            <c:ext xmlns:c16="http://schemas.microsoft.com/office/drawing/2014/chart" uri="{C3380CC4-5D6E-409C-BE32-E72D297353CC}">
              <c16:uniqueId val="{00000001-6D08-4EE3-9FEA-BB6E05D86B4C}"/>
            </c:ext>
          </c:extLst>
        </c:ser>
        <c:ser>
          <c:idx val="1"/>
          <c:order val="1"/>
          <c:tx>
            <c:strRef>
              <c:f>'ввод жилья'!$G$7</c:f>
              <c:strCache>
                <c:ptCount val="1"/>
                <c:pt idx="0">
                  <c:v>индивидуальное жилое строительство</c:v>
                </c:pt>
              </c:strCache>
            </c:strRef>
          </c:tx>
          <c:spPr>
            <a:solidFill>
              <a:srgbClr val="006600"/>
            </a:solidFill>
          </c:spPr>
          <c:invertIfNegative val="0"/>
          <c:dLbls>
            <c:dLbl>
              <c:idx val="1"/>
              <c:tx>
                <c:rich>
                  <a:bodyPr/>
                  <a:lstStyle/>
                  <a:p>
                    <a:r>
                      <a:rPr lang="en-US">
                        <a:solidFill>
                          <a:sysClr val="windowText" lastClr="000000"/>
                        </a:solidFill>
                      </a:rPr>
                      <a:t>182,9</a:t>
                    </a:r>
                    <a:endParaRPr lang="en-US">
                      <a:solidFill>
                        <a:srgbClr val="FF0000"/>
                      </a:solidFill>
                    </a:endParaRPr>
                  </a:p>
                </c:rich>
              </c:tx>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6D08-4EE3-9FEA-BB6E05D86B4C}"/>
                </c:ext>
              </c:extLst>
            </c:dLbl>
            <c:spPr>
              <a:noFill/>
              <a:ln>
                <a:noFill/>
              </a:ln>
              <a:effectLst/>
            </c:spPr>
            <c:txPr>
              <a:bodyPr/>
              <a:lstStyle/>
              <a:p>
                <a:pPr>
                  <a:defRPr sz="1200" b="1">
                    <a:solidFill>
                      <a:sysClr val="windowText" lastClr="000000"/>
                    </a:solidFill>
                  </a:defRPr>
                </a:pPr>
                <a:endParaRPr lang="ru-RU"/>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'ввод жилья'!$E$8:$E$9</c:f>
              <c:strCache>
                <c:ptCount val="2"/>
                <c:pt idx="0">
                  <c:v>Январь-декабрь 2018 года</c:v>
                </c:pt>
                <c:pt idx="1">
                  <c:v>Январь-декабрь 2019 года</c:v>
                </c:pt>
              </c:strCache>
            </c:strRef>
          </c:cat>
          <c:val>
            <c:numRef>
              <c:f>'ввод жилья'!$G$8:$G$9</c:f>
              <c:numCache>
                <c:formatCode>#,##0.0</c:formatCode>
                <c:ptCount val="2"/>
                <c:pt idx="0">
                  <c:v>159.726</c:v>
                </c:pt>
                <c:pt idx="1">
                  <c:v>180</c:v>
                </c:pt>
              </c:numCache>
            </c:numRef>
          </c:val>
          <c:extLst xmlns:c16r2="http://schemas.microsoft.com/office/drawing/2015/06/chart">
            <c:ext xmlns:c16="http://schemas.microsoft.com/office/drawing/2014/chart" uri="{C3380CC4-5D6E-409C-BE32-E72D297353CC}">
              <c16:uniqueId val="{00000002-6D08-4EE3-9FEA-BB6E05D86B4C}"/>
            </c:ext>
          </c:extLst>
        </c:ser>
        <c:dLbls>
          <c:showLegendKey val="0"/>
          <c:showVal val="0"/>
          <c:showCatName val="0"/>
          <c:showSerName val="0"/>
          <c:showPercent val="0"/>
          <c:showBubbleSize val="0"/>
        </c:dLbls>
        <c:gapWidth val="150"/>
        <c:overlap val="100"/>
        <c:axId val="111839232"/>
        <c:axId val="84145216"/>
      </c:barChart>
      <c:catAx>
        <c:axId val="111839232"/>
        <c:scaling>
          <c:orientation val="minMax"/>
        </c:scaling>
        <c:delete val="0"/>
        <c:axPos val="b"/>
        <c:numFmt formatCode="General" sourceLinked="0"/>
        <c:majorTickMark val="out"/>
        <c:minorTickMark val="none"/>
        <c:tickLblPos val="nextTo"/>
        <c:crossAx val="84145216"/>
        <c:crosses val="autoZero"/>
        <c:auto val="1"/>
        <c:lblAlgn val="ctr"/>
        <c:lblOffset val="100"/>
        <c:noMultiLvlLbl val="0"/>
      </c:catAx>
      <c:valAx>
        <c:axId val="84145216"/>
        <c:scaling>
          <c:orientation val="minMax"/>
        </c:scaling>
        <c:delete val="0"/>
        <c:axPos val="l"/>
        <c:numFmt formatCode="#,##0.0" sourceLinked="1"/>
        <c:majorTickMark val="out"/>
        <c:minorTickMark val="none"/>
        <c:tickLblPos val="nextTo"/>
        <c:crossAx val="111839232"/>
        <c:crosses val="autoZero"/>
        <c:crossBetween val="between"/>
      </c:valAx>
    </c:plotArea>
    <c:legend>
      <c:legendPos val="b"/>
      <c:layout>
        <c:manualLayout>
          <c:xMode val="edge"/>
          <c:yMode val="edge"/>
          <c:x val="3.6206816352542075E-2"/>
          <c:y val="0.86114884735793573"/>
          <c:w val="0.9"/>
          <c:h val="6.8129209752395406E-2"/>
        </c:manualLayout>
      </c:layout>
      <c:overlay val="0"/>
    </c:legend>
    <c:plotVisOnly val="1"/>
    <c:dispBlanksAs val="gap"/>
    <c:showDLblsOverMax val="0"/>
  </c:chart>
  <c:spPr>
    <a:ln>
      <a:noFill/>
    </a:ln>
  </c:spPr>
  <c:txPr>
    <a:bodyPr/>
    <a:lstStyle/>
    <a:p>
      <a:pPr>
        <a:defRPr sz="1000">
          <a:latin typeface="Times New Roman" panose="02020603050405020304" pitchFamily="18" charset="0"/>
          <a:cs typeface="Times New Roman" panose="02020603050405020304" pitchFamily="18" charset="0"/>
        </a:defRPr>
      </a:pPr>
      <a:endParaRPr lang="ru-RU"/>
    </a:p>
  </c:txPr>
  <c:externalData r:id="rId2">
    <c:autoUpdate val="0"/>
  </c:externalData>
  <c:userShapes r:id="rId3"/>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title>
      <c:tx>
        <c:rich>
          <a:bodyPr/>
          <a:lstStyle/>
          <a:p>
            <a:pPr>
              <a:defRPr sz="1100" i="1">
                <a:latin typeface="Times New Roman" panose="02020603050405020304" pitchFamily="18" charset="0"/>
                <a:cs typeface="Times New Roman" panose="02020603050405020304" pitchFamily="18" charset="0"/>
              </a:defRPr>
            </a:pPr>
            <a:r>
              <a:rPr lang="ru-RU" sz="1100" i="1">
                <a:latin typeface="Times New Roman" panose="02020603050405020304" pitchFamily="18" charset="0"/>
                <a:cs typeface="Times New Roman" panose="02020603050405020304" pitchFamily="18" charset="0"/>
              </a:rPr>
              <a:t>Уровень</a:t>
            </a:r>
            <a:r>
              <a:rPr lang="x-none" sz="1100" i="1">
                <a:latin typeface="Times New Roman" panose="02020603050405020304" pitchFamily="18" charset="0"/>
                <a:cs typeface="Times New Roman" panose="02020603050405020304" pitchFamily="18" charset="0"/>
              </a:rPr>
              <a:t> удовлетворенности заявителей качеством и доступностью государственных и муниципальных услуг в Томской области</a:t>
            </a:r>
            <a:r>
              <a:rPr lang="ru-RU" sz="1100" i="1">
                <a:latin typeface="Times New Roman" panose="02020603050405020304" pitchFamily="18" charset="0"/>
                <a:cs typeface="Times New Roman" panose="02020603050405020304" pitchFamily="18" charset="0"/>
              </a:rPr>
              <a:t>,</a:t>
            </a:r>
            <a:r>
              <a:rPr lang="en-US" sz="1100" i="1" baseline="0">
                <a:latin typeface="Times New Roman" panose="02020603050405020304" pitchFamily="18" charset="0"/>
                <a:cs typeface="Times New Roman" panose="02020603050405020304" pitchFamily="18" charset="0"/>
              </a:rPr>
              <a:t> </a:t>
            </a:r>
            <a:r>
              <a:rPr lang="x-none" sz="1100" i="1">
                <a:latin typeface="Times New Roman" panose="02020603050405020304" pitchFamily="18" charset="0"/>
                <a:cs typeface="Times New Roman" panose="02020603050405020304" pitchFamily="18" charset="0"/>
              </a:rPr>
              <a:t>в том числе на базе многофункциональных центров</a:t>
            </a:r>
            <a:endParaRPr lang="ru-RU" sz="1100" i="1">
              <a:latin typeface="Times New Roman" panose="02020603050405020304" pitchFamily="18" charset="0"/>
              <a:cs typeface="Times New Roman" panose="02020603050405020304" pitchFamily="18" charset="0"/>
            </a:endParaRPr>
          </a:p>
        </c:rich>
      </c:tx>
      <c:layout>
        <c:manualLayout>
          <c:xMode val="edge"/>
          <c:yMode val="edge"/>
          <c:x val="0.11823164259187881"/>
          <c:y val="2.1950661185272243E-6"/>
        </c:manualLayout>
      </c:layout>
      <c:overlay val="0"/>
    </c:title>
    <c:autoTitleDeleted val="0"/>
    <c:plotArea>
      <c:layout>
        <c:manualLayout>
          <c:layoutTarget val="inner"/>
          <c:xMode val="edge"/>
          <c:yMode val="edge"/>
          <c:x val="2.6305405760883863E-2"/>
          <c:y val="0.35595141700404859"/>
          <c:w val="0.58775058747013453"/>
          <c:h val="0.49540289245220864"/>
        </c:manualLayout>
      </c:layout>
      <c:barChart>
        <c:barDir val="col"/>
        <c:grouping val="clustered"/>
        <c:varyColors val="0"/>
        <c:ser>
          <c:idx val="0"/>
          <c:order val="0"/>
          <c:tx>
            <c:strRef>
              <c:f>Лист1!$B$1</c:f>
              <c:strCache>
                <c:ptCount val="1"/>
                <c:pt idx="0">
                  <c:v>Плановое значение на отчетный год</c:v>
                </c:pt>
              </c:strCache>
            </c:strRef>
          </c:tx>
          <c:spPr>
            <a:solidFill>
              <a:srgbClr val="FFC000"/>
            </a:solidFill>
          </c:spPr>
          <c:invertIfNegative val="0"/>
          <c:dLbls>
            <c:dLbl>
              <c:idx val="0"/>
              <c:layout>
                <c:manualLayout>
                  <c:x val="-9.2594415281423235E-3"/>
                  <c:y val="-7.2660235975461701E-17"/>
                </c:manualLayout>
              </c:layout>
              <c:dLblPos val="outEnd"/>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1.157407407407412E-2"/>
                  <c:y val="0"/>
                </c:manualLayout>
              </c:layout>
              <c:dLblPos val="outEnd"/>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1.1574074074074075E-2"/>
                  <c:y val="0"/>
                </c:manualLayout>
              </c:layout>
              <c:dLblPos val="outEnd"/>
              <c:showLegendKey val="0"/>
              <c:showVal val="1"/>
              <c:showCatName val="0"/>
              <c:showSerName val="0"/>
              <c:showPercent val="0"/>
              <c:showBubbleSize val="0"/>
              <c:extLst>
                <c:ext xmlns:c15="http://schemas.microsoft.com/office/drawing/2012/chart" uri="{CE6537A1-D6FC-4f65-9D91-7224C49458BB}">
                  <c15:layout/>
                </c:ext>
              </c:extLst>
            </c:dLbl>
            <c:dLbl>
              <c:idx val="4"/>
              <c:layout>
                <c:manualLayout>
                  <c:x val="-1.6373379372073789E-2"/>
                  <c:y val="1.876828757639358E-2"/>
                </c:manualLayout>
              </c:layout>
              <c:dLblPos val="outEnd"/>
              <c:showLegendKey val="0"/>
              <c:showVal val="1"/>
              <c:showCatName val="0"/>
              <c:showSerName val="0"/>
              <c:showPercent val="0"/>
              <c:showBubbleSize val="0"/>
              <c:extLst>
                <c:ext xmlns:c15="http://schemas.microsoft.com/office/drawing/2012/chart" uri="{CE6537A1-D6FC-4f65-9D91-7224C49458BB}">
                  <c15:layout/>
                </c:ext>
              </c:extLst>
            </c:dLbl>
            <c:dLbl>
              <c:idx val="5"/>
              <c:layout>
                <c:manualLayout>
                  <c:x val="-1.7681160284182346E-2"/>
                  <c:y val="2.5303005392185825E-2"/>
                </c:manualLayout>
              </c:layout>
              <c:dLblPos val="outEnd"/>
              <c:showLegendKey val="0"/>
              <c:showVal val="1"/>
              <c:showCatName val="0"/>
              <c:showSerName val="0"/>
              <c:showPercent val="0"/>
              <c:showBubbleSize val="0"/>
              <c:extLst>
                <c:ext xmlns:c15="http://schemas.microsoft.com/office/drawing/2012/chart" uri="{CE6537A1-D6FC-4f65-9D91-7224C49458BB}">
                  <c15:layout/>
                </c:ext>
              </c:extLst>
            </c:dLbl>
            <c:dLbl>
              <c:idx val="6"/>
              <c:layout>
                <c:manualLayout>
                  <c:x val="-1.7929633951542227E-2"/>
                  <c:y val="2.2825148281089603E-2"/>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a:lstStyle/>
              <a:p>
                <a:pPr>
                  <a:defRPr sz="800">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Лист1!$A$2:$A$8</c:f>
              <c:strCache>
                <c:ptCount val="7"/>
                <c:pt idx="0">
                  <c:v>2013 год</c:v>
                </c:pt>
                <c:pt idx="1">
                  <c:v>2014 год</c:v>
                </c:pt>
                <c:pt idx="2">
                  <c:v>2015 год</c:v>
                </c:pt>
                <c:pt idx="3">
                  <c:v>2016 год</c:v>
                </c:pt>
                <c:pt idx="4">
                  <c:v>2017 год</c:v>
                </c:pt>
                <c:pt idx="5">
                  <c:v>2018 год</c:v>
                </c:pt>
                <c:pt idx="6">
                  <c:v>2019 год</c:v>
                </c:pt>
              </c:strCache>
            </c:strRef>
          </c:cat>
          <c:val>
            <c:numRef>
              <c:f>Лист1!$B$2:$B$8</c:f>
              <c:numCache>
                <c:formatCode>0.0%</c:formatCode>
                <c:ptCount val="7"/>
                <c:pt idx="0">
                  <c:v>0.7</c:v>
                </c:pt>
                <c:pt idx="1">
                  <c:v>0.7</c:v>
                </c:pt>
                <c:pt idx="2">
                  <c:v>0.7</c:v>
                </c:pt>
                <c:pt idx="3">
                  <c:v>0.7</c:v>
                </c:pt>
                <c:pt idx="4">
                  <c:v>0.85</c:v>
                </c:pt>
                <c:pt idx="5">
                  <c:v>0.9</c:v>
                </c:pt>
                <c:pt idx="6">
                  <c:v>0.9</c:v>
                </c:pt>
              </c:numCache>
            </c:numRef>
          </c:val>
        </c:ser>
        <c:ser>
          <c:idx val="1"/>
          <c:order val="1"/>
          <c:tx>
            <c:strRef>
              <c:f>Лист1!$C$1</c:f>
              <c:strCache>
                <c:ptCount val="1"/>
                <c:pt idx="0">
                  <c:v>Фактическое значение на отчетный год</c:v>
                </c:pt>
              </c:strCache>
            </c:strRef>
          </c:tx>
          <c:spPr>
            <a:solidFill>
              <a:srgbClr val="257D2F"/>
            </a:solidFill>
          </c:spPr>
          <c:invertIfNegative val="0"/>
          <c:dLbls>
            <c:dLbl>
              <c:idx val="6"/>
              <c:layout>
                <c:manualLayout>
                  <c:x val="8.3398680548355027E-3"/>
                  <c:y val="3.8694520727418455E-4"/>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a:lstStyle/>
              <a:p>
                <a:pPr>
                  <a:defRPr sz="800">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Лист1!$A$2:$A$8</c:f>
              <c:strCache>
                <c:ptCount val="7"/>
                <c:pt idx="0">
                  <c:v>2013 год</c:v>
                </c:pt>
                <c:pt idx="1">
                  <c:v>2014 год</c:v>
                </c:pt>
                <c:pt idx="2">
                  <c:v>2015 год</c:v>
                </c:pt>
                <c:pt idx="3">
                  <c:v>2016 год</c:v>
                </c:pt>
                <c:pt idx="4">
                  <c:v>2017 год</c:v>
                </c:pt>
                <c:pt idx="5">
                  <c:v>2018 год</c:v>
                </c:pt>
                <c:pt idx="6">
                  <c:v>2019 год</c:v>
                </c:pt>
              </c:strCache>
            </c:strRef>
          </c:cat>
          <c:val>
            <c:numRef>
              <c:f>Лист1!$C$2:$C$8</c:f>
              <c:numCache>
                <c:formatCode>0.0%</c:formatCode>
                <c:ptCount val="7"/>
                <c:pt idx="0">
                  <c:v>0.90500000000000003</c:v>
                </c:pt>
                <c:pt idx="1">
                  <c:v>0.87</c:v>
                </c:pt>
                <c:pt idx="2">
                  <c:v>0.91800000000000004</c:v>
                </c:pt>
                <c:pt idx="3">
                  <c:v>0.91800000000000004</c:v>
                </c:pt>
                <c:pt idx="4">
                  <c:v>0.95099999999999996</c:v>
                </c:pt>
                <c:pt idx="5">
                  <c:v>0.94899999999999995</c:v>
                </c:pt>
                <c:pt idx="6">
                  <c:v>0.95099999999999996</c:v>
                </c:pt>
              </c:numCache>
            </c:numRef>
          </c:val>
        </c:ser>
        <c:dLbls>
          <c:showLegendKey val="0"/>
          <c:showVal val="0"/>
          <c:showCatName val="0"/>
          <c:showSerName val="0"/>
          <c:showPercent val="0"/>
          <c:showBubbleSize val="0"/>
        </c:dLbls>
        <c:gapWidth val="150"/>
        <c:axId val="116748288"/>
        <c:axId val="84142912"/>
      </c:barChart>
      <c:catAx>
        <c:axId val="116748288"/>
        <c:scaling>
          <c:orientation val="minMax"/>
        </c:scaling>
        <c:delete val="0"/>
        <c:axPos val="b"/>
        <c:numFmt formatCode="General" sourceLinked="1"/>
        <c:majorTickMark val="none"/>
        <c:minorTickMark val="none"/>
        <c:tickLblPos val="nextTo"/>
        <c:txPr>
          <a:bodyPr/>
          <a:lstStyle/>
          <a:p>
            <a:pPr>
              <a:defRPr sz="900">
                <a:latin typeface="Times New Roman" panose="02020603050405020304" pitchFamily="18" charset="0"/>
                <a:cs typeface="Times New Roman" panose="02020603050405020304" pitchFamily="18" charset="0"/>
              </a:defRPr>
            </a:pPr>
            <a:endParaRPr lang="ru-RU"/>
          </a:p>
        </c:txPr>
        <c:crossAx val="84142912"/>
        <c:crosses val="autoZero"/>
        <c:auto val="1"/>
        <c:lblAlgn val="ctr"/>
        <c:lblOffset val="100"/>
        <c:noMultiLvlLbl val="0"/>
      </c:catAx>
      <c:valAx>
        <c:axId val="84142912"/>
        <c:scaling>
          <c:orientation val="minMax"/>
        </c:scaling>
        <c:delete val="1"/>
        <c:axPos val="l"/>
        <c:numFmt formatCode="0.0%" sourceLinked="1"/>
        <c:majorTickMark val="out"/>
        <c:minorTickMark val="none"/>
        <c:tickLblPos val="nextTo"/>
        <c:crossAx val="116748288"/>
        <c:crosses val="autoZero"/>
        <c:crossBetween val="between"/>
      </c:valAx>
      <c:spPr>
        <a:ln>
          <a:noFill/>
        </a:ln>
      </c:spPr>
    </c:plotArea>
    <c:legend>
      <c:legendPos val="r"/>
      <c:legendEntry>
        <c:idx val="0"/>
        <c:txPr>
          <a:bodyPr/>
          <a:lstStyle/>
          <a:p>
            <a:pPr>
              <a:defRPr sz="1050" b="0">
                <a:latin typeface="Times New Roman" panose="02020603050405020304" pitchFamily="18" charset="0"/>
                <a:cs typeface="Times New Roman" panose="02020603050405020304" pitchFamily="18" charset="0"/>
              </a:defRPr>
            </a:pPr>
            <a:endParaRPr lang="ru-RU"/>
          </a:p>
        </c:txPr>
      </c:legendEntry>
      <c:overlay val="0"/>
      <c:txPr>
        <a:bodyPr/>
        <a:lstStyle/>
        <a:p>
          <a:pPr>
            <a:defRPr sz="1050">
              <a:latin typeface="Times New Roman" panose="02020603050405020304" pitchFamily="18" charset="0"/>
              <a:cs typeface="Times New Roman" panose="02020603050405020304" pitchFamily="18" charset="0"/>
            </a:defRPr>
          </a:pPr>
          <a:endParaRPr lang="ru-RU"/>
        </a:p>
      </c:txPr>
    </c:legend>
    <c:plotVisOnly val="1"/>
    <c:dispBlanksAs val="gap"/>
    <c:showDLblsOverMax val="0"/>
  </c:chart>
  <c:spPr>
    <a:ln>
      <a:noFill/>
    </a:ln>
  </c:spPr>
  <c:externalData r:id="rId2">
    <c:autoUpdate val="0"/>
  </c:externalData>
</c:chartSpace>
</file>

<file path=word/drawings/drawing1.xml><?xml version="1.0" encoding="utf-8"?>
<c:userShapes xmlns:c="http://schemas.openxmlformats.org/drawingml/2006/chart">
  <cdr:relSizeAnchor xmlns:cdr="http://schemas.openxmlformats.org/drawingml/2006/chartDrawing">
    <cdr:from>
      <cdr:x>0</cdr:x>
      <cdr:y>0</cdr:y>
    </cdr:from>
    <cdr:to>
      <cdr:x>0</cdr:x>
      <cdr:y>0</cdr:y>
    </cdr:to>
    <cdr:sp macro="" textlink="">
      <cdr:nvSpPr>
        <cdr:cNvPr id="2" name="TextBox 1"/>
        <cdr:cNvSpPr txBox="1"/>
      </cdr:nvSpPr>
      <cdr:spPr>
        <a:xfrm xmlns:a="http://schemas.openxmlformats.org/drawingml/2006/main">
          <a:off x="0" y="2"/>
          <a:ext cx="1280160" cy="748144"/>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1000" b="1">
              <a:latin typeface="Times New Roman" panose="02020603050405020304" pitchFamily="18" charset="0"/>
              <a:cs typeface="Times New Roman" panose="02020603050405020304" pitchFamily="18" charset="0"/>
            </a:rPr>
            <a:t>Рис. 11. </a:t>
          </a:r>
          <a:r>
            <a:rPr lang="ru-RU" sz="1000" i="1">
              <a:latin typeface="Times New Roman" panose="02020603050405020304" pitchFamily="18" charset="0"/>
              <a:cs typeface="Times New Roman" panose="02020603050405020304" pitchFamily="18" charset="0"/>
            </a:rPr>
            <a:t>Вклад в инфляцию товаров и услуг, в %  к декабрю 2015 года</a:t>
          </a:r>
        </a:p>
      </cdr:txBody>
    </cdr:sp>
  </cdr:relSizeAnchor>
  <cdr:relSizeAnchor xmlns:cdr="http://schemas.openxmlformats.org/drawingml/2006/chartDrawing">
    <cdr:from>
      <cdr:x>0</cdr:x>
      <cdr:y>0</cdr:y>
    </cdr:from>
    <cdr:to>
      <cdr:x>0</cdr:x>
      <cdr:y>0</cdr:y>
    </cdr:to>
    <cdr:sp macro="" textlink="">
      <cdr:nvSpPr>
        <cdr:cNvPr id="3" name="TextBox 1"/>
        <cdr:cNvSpPr txBox="1"/>
      </cdr:nvSpPr>
      <cdr:spPr>
        <a:xfrm xmlns:a="http://schemas.openxmlformats.org/drawingml/2006/main">
          <a:off x="0" y="2"/>
          <a:ext cx="1280160" cy="748144"/>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1000" b="1">
              <a:latin typeface="Times New Roman" panose="02020603050405020304" pitchFamily="18" charset="0"/>
              <a:cs typeface="Times New Roman" panose="02020603050405020304" pitchFamily="18" charset="0"/>
            </a:rPr>
            <a:t>Рис. 11. </a:t>
          </a:r>
          <a:r>
            <a:rPr lang="ru-RU" sz="1000" i="1">
              <a:latin typeface="Times New Roman" panose="02020603050405020304" pitchFamily="18" charset="0"/>
              <a:cs typeface="Times New Roman" panose="02020603050405020304" pitchFamily="18" charset="0"/>
            </a:rPr>
            <a:t>Вклад в инфляцию товаров и услуг, в %  к декабрю 2015 года</a:t>
          </a:r>
        </a:p>
      </cdr:txBody>
    </cdr:sp>
  </cdr:relSizeAnchor>
  <cdr:relSizeAnchor xmlns:cdr="http://schemas.openxmlformats.org/drawingml/2006/chartDrawing">
    <cdr:from>
      <cdr:x>0.02276</cdr:x>
      <cdr:y>0.16289</cdr:y>
    </cdr:from>
    <cdr:to>
      <cdr:x>0.1474</cdr:x>
      <cdr:y>0.25171</cdr:y>
    </cdr:to>
    <cdr:sp macro="" textlink="">
      <cdr:nvSpPr>
        <cdr:cNvPr id="4" name="TextBox 3"/>
        <cdr:cNvSpPr txBox="1"/>
      </cdr:nvSpPr>
      <cdr:spPr>
        <a:xfrm xmlns:a="http://schemas.openxmlformats.org/drawingml/2006/main">
          <a:off x="144579" y="463902"/>
          <a:ext cx="791859" cy="252957"/>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1200" b="1">
              <a:solidFill>
                <a:sysClr val="windowText" lastClr="000000"/>
              </a:solidFill>
            </a:rPr>
            <a:t>112,4%</a:t>
          </a:r>
        </a:p>
      </cdr:txBody>
    </cdr:sp>
  </cdr:relSizeAnchor>
  <cdr:relSizeAnchor xmlns:cdr="http://schemas.openxmlformats.org/drawingml/2006/chartDrawing">
    <cdr:from>
      <cdr:x>0.15023</cdr:x>
      <cdr:y>0.521</cdr:y>
    </cdr:from>
    <cdr:to>
      <cdr:x>0.2558</cdr:x>
      <cdr:y>0.59337</cdr:y>
    </cdr:to>
    <cdr:sp macro="" textlink="">
      <cdr:nvSpPr>
        <cdr:cNvPr id="5" name="TextBox 4"/>
        <cdr:cNvSpPr txBox="1"/>
      </cdr:nvSpPr>
      <cdr:spPr>
        <a:xfrm xmlns:a="http://schemas.openxmlformats.org/drawingml/2006/main">
          <a:off x="954447" y="1483804"/>
          <a:ext cx="670704" cy="206108"/>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1200" b="1"/>
            <a:t>105,3</a:t>
          </a:r>
          <a:r>
            <a:rPr lang="ru-RU" sz="1200"/>
            <a:t>%</a:t>
          </a:r>
        </a:p>
      </cdr:txBody>
    </cdr:sp>
  </cdr:relSizeAnchor>
  <cdr:relSizeAnchor xmlns:cdr="http://schemas.openxmlformats.org/drawingml/2006/chartDrawing">
    <cdr:from>
      <cdr:x>0.04357</cdr:x>
      <cdr:y>0</cdr:y>
    </cdr:from>
    <cdr:to>
      <cdr:x>0.93903</cdr:x>
      <cdr:y>0.18073</cdr:y>
    </cdr:to>
    <cdr:sp macro="" textlink="">
      <cdr:nvSpPr>
        <cdr:cNvPr id="6" name="Поле 5"/>
        <cdr:cNvSpPr txBox="1"/>
      </cdr:nvSpPr>
      <cdr:spPr>
        <a:xfrm xmlns:a="http://schemas.openxmlformats.org/drawingml/2006/main">
          <a:off x="257577" y="0"/>
          <a:ext cx="5293217" cy="5795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ctr"/>
          <a:r>
            <a:rPr lang="ru-RU" sz="1300" b="1" i="1">
              <a:latin typeface="Times New Roman" panose="02020603050405020304" pitchFamily="18" charset="0"/>
              <a:cs typeface="Times New Roman" panose="02020603050405020304" pitchFamily="18" charset="0"/>
            </a:rPr>
            <a:t>Вклад  в инфляцию товаров и услуг в % (декабрь к  декабрю предыдущего года)</a:t>
          </a:r>
        </a:p>
      </cdr:txBody>
    </cdr:sp>
  </cdr:relSizeAnchor>
</c:userShapes>
</file>

<file path=word/drawings/drawing2.xml><?xml version="1.0" encoding="utf-8"?>
<c:userShapes xmlns:c="http://schemas.openxmlformats.org/drawingml/2006/chart">
  <cdr:relSizeAnchor xmlns:cdr="http://schemas.openxmlformats.org/drawingml/2006/chartDrawing">
    <cdr:from>
      <cdr:x>0.73851</cdr:x>
      <cdr:y>0.0825</cdr:y>
    </cdr:from>
    <cdr:to>
      <cdr:x>0.74009</cdr:x>
      <cdr:y>0.96675</cdr:y>
    </cdr:to>
    <cdr:cxnSp macro="">
      <cdr:nvCxnSpPr>
        <cdr:cNvPr id="3" name="Прямая соединительная линия 2"/>
        <cdr:cNvCxnSpPr/>
      </cdr:nvCxnSpPr>
      <cdr:spPr>
        <a:xfrm xmlns:a="http://schemas.openxmlformats.org/drawingml/2006/main" flipH="1">
          <a:off x="4438654" y="475827"/>
          <a:ext cx="9496" cy="5099816"/>
        </a:xfrm>
        <a:prstGeom xmlns:a="http://schemas.openxmlformats.org/drawingml/2006/main" prst="line">
          <a:avLst/>
        </a:prstGeom>
        <a:ln xmlns:a="http://schemas.openxmlformats.org/drawingml/2006/main" w="15875">
          <a:solidFill>
            <a:schemeClr val="accent3">
              <a:lumMod val="50000"/>
            </a:schemeClr>
          </a:solidFill>
          <a:prstDash val="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0.78289</cdr:x>
      <cdr:y>0.8145</cdr:y>
    </cdr:from>
    <cdr:to>
      <cdr:x>0.95721</cdr:x>
      <cdr:y>0.93634</cdr:y>
    </cdr:to>
    <cdr:sp macro="" textlink="">
      <cdr:nvSpPr>
        <cdr:cNvPr id="2" name="Прямоугольник 1"/>
        <cdr:cNvSpPr/>
      </cdr:nvSpPr>
      <cdr:spPr>
        <a:xfrm xmlns:a="http://schemas.openxmlformats.org/drawingml/2006/main">
          <a:off x="4705379" y="4852708"/>
          <a:ext cx="1047711" cy="725910"/>
        </a:xfrm>
        <a:prstGeom xmlns:a="http://schemas.openxmlformats.org/drawingml/2006/main" prst="rect">
          <a:avLst/>
        </a:prstGeom>
        <a:noFill xmlns:a="http://schemas.openxmlformats.org/drawingml/2006/main"/>
        <a:ln xmlns:a="http://schemas.openxmlformats.org/drawingml/2006/main" w="15875">
          <a:solidFill>
            <a:schemeClr val="accent3">
              <a:lumMod val="50000"/>
            </a:schemeClr>
          </a:solidFill>
          <a:prstDash val="dash"/>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nchor="ctr"/>
        <a:lstStyle xmlns:a="http://schemas.openxmlformats.org/drawingml/2006/main"/>
        <a:p xmlns:a="http://schemas.openxmlformats.org/drawingml/2006/main">
          <a:pPr algn="ctr"/>
          <a:r>
            <a:rPr lang="ru-RU" b="1">
              <a:solidFill>
                <a:schemeClr val="accent3">
                  <a:lumMod val="50000"/>
                </a:schemeClr>
              </a:solidFill>
              <a:latin typeface="Times New Roman" panose="02020603050405020304" pitchFamily="18" charset="0"/>
              <a:cs typeface="Times New Roman" panose="02020603050405020304" pitchFamily="18" charset="0"/>
            </a:rPr>
            <a:t>Средняя по региону </a:t>
          </a:r>
        </a:p>
        <a:p xmlns:a="http://schemas.openxmlformats.org/drawingml/2006/main">
          <a:pPr algn="ctr"/>
          <a:r>
            <a:rPr lang="ru-RU" sz="1200" b="1">
              <a:solidFill>
                <a:schemeClr val="accent3">
                  <a:lumMod val="50000"/>
                </a:schemeClr>
              </a:solidFill>
              <a:latin typeface="Times New Roman" panose="02020603050405020304" pitchFamily="18" charset="0"/>
              <a:cs typeface="Times New Roman" panose="02020603050405020304" pitchFamily="18" charset="0"/>
            </a:rPr>
            <a:t>43,7</a:t>
          </a:r>
        </a:p>
      </cdr:txBody>
    </cdr:sp>
  </cdr:relSizeAnchor>
</c:userShapes>
</file>

<file path=word/drawings/drawing3.xml><?xml version="1.0" encoding="utf-8"?>
<c:userShapes xmlns:c="http://schemas.openxmlformats.org/drawingml/2006/chart">
  <cdr:relSizeAnchor xmlns:cdr="http://schemas.openxmlformats.org/drawingml/2006/chartDrawing">
    <cdr:from>
      <cdr:x>0.04775</cdr:x>
      <cdr:y>0.03005</cdr:y>
    </cdr:from>
    <cdr:to>
      <cdr:x>0.97476</cdr:x>
      <cdr:y>0.21321</cdr:y>
    </cdr:to>
    <cdr:sp macro="" textlink="">
      <cdr:nvSpPr>
        <cdr:cNvPr id="2" name="Text Box 14"/>
        <cdr:cNvSpPr txBox="1">
          <a:spLocks xmlns:a="http://schemas.openxmlformats.org/drawingml/2006/main" noChangeArrowheads="1"/>
        </cdr:cNvSpPr>
      </cdr:nvSpPr>
      <cdr:spPr bwMode="auto">
        <a:xfrm xmlns:a="http://schemas.openxmlformats.org/drawingml/2006/main">
          <a:off x="218941" y="95199"/>
          <a:ext cx="4250028" cy="580253"/>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wrap="square" lIns="27432" tIns="22860" rIns="0" bIns="0" anchor="t" upright="1"/>
        <a:lstStyle xmlns:a="http://schemas.openxmlformats.org/drawingml/2006/main"/>
        <a:p xmlns:a="http://schemas.openxmlformats.org/drawingml/2006/main">
          <a:pPr marL="0" marR="0" indent="0" algn="ctr" defTabSz="914400" rtl="0" eaLnBrk="1" fontAlgn="auto" latinLnBrk="0" hangingPunct="1">
            <a:lnSpc>
              <a:spcPct val="100000"/>
            </a:lnSpc>
            <a:spcBef>
              <a:spcPts val="0"/>
            </a:spcBef>
            <a:spcAft>
              <a:spcPts val="0"/>
            </a:spcAft>
            <a:buClrTx/>
            <a:buSzTx/>
            <a:buFontTx/>
            <a:buNone/>
            <a:tabLst/>
            <a:defRPr/>
          </a:pPr>
          <a:r>
            <a:rPr lang="ru-RU" sz="1100" b="1" i="1" baseline="0">
              <a:solidFill>
                <a:sysClr val="windowText" lastClr="000000"/>
              </a:solidFill>
              <a:latin typeface="Times New Roman" panose="02020603050405020304" pitchFamily="18" charset="0"/>
              <a:cs typeface="Times New Roman" panose="02020603050405020304" pitchFamily="18" charset="0"/>
            </a:rPr>
            <a:t>Структура выполненных работ в строительстве за январь-декабрь 2019 года</a:t>
          </a:r>
        </a:p>
      </cdr:txBody>
    </cdr:sp>
  </cdr:relSizeAnchor>
</c:userShapes>
</file>

<file path=word/drawings/drawing4.xml><?xml version="1.0" encoding="utf-8"?>
<c:userShapes xmlns:c="http://schemas.openxmlformats.org/drawingml/2006/chart">
  <cdr:relSizeAnchor xmlns:cdr="http://schemas.openxmlformats.org/drawingml/2006/chartDrawing">
    <cdr:from>
      <cdr:x>0.42301</cdr:x>
      <cdr:y>0.20615</cdr:y>
    </cdr:from>
    <cdr:to>
      <cdr:x>0.46712</cdr:x>
      <cdr:y>0.73702</cdr:y>
    </cdr:to>
    <cdr:sp macro="" textlink="">
      <cdr:nvSpPr>
        <cdr:cNvPr id="2" name="Правая фигурная скобка 1"/>
        <cdr:cNvSpPr/>
      </cdr:nvSpPr>
      <cdr:spPr>
        <a:xfrm xmlns:a="http://schemas.openxmlformats.org/drawingml/2006/main">
          <a:off x="2171700" y="638174"/>
          <a:ext cx="226482" cy="1643363"/>
        </a:xfrm>
        <a:prstGeom xmlns:a="http://schemas.openxmlformats.org/drawingml/2006/main" prst="rightBrace">
          <a:avLst/>
        </a:prstGeom>
        <a:ln xmlns:a="http://schemas.openxmlformats.org/drawingml/2006/main">
          <a:solidFill>
            <a:sysClr val="windowText" lastClr="000000"/>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ru-RU"/>
        </a:p>
      </cdr:txBody>
    </cdr:sp>
  </cdr:relSizeAnchor>
  <cdr:relSizeAnchor xmlns:cdr="http://schemas.openxmlformats.org/drawingml/2006/chartDrawing">
    <cdr:from>
      <cdr:x>0.47853</cdr:x>
      <cdr:y>0.41633</cdr:y>
    </cdr:from>
    <cdr:to>
      <cdr:x>0.60172</cdr:x>
      <cdr:y>0.50691</cdr:y>
    </cdr:to>
    <cdr:sp macro="" textlink="">
      <cdr:nvSpPr>
        <cdr:cNvPr id="4" name="TextBox 3"/>
        <cdr:cNvSpPr txBox="1"/>
      </cdr:nvSpPr>
      <cdr:spPr>
        <a:xfrm xmlns:a="http://schemas.openxmlformats.org/drawingml/2006/main">
          <a:off x="2456737" y="1288802"/>
          <a:ext cx="632454" cy="280401"/>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1200" b="1">
              <a:latin typeface="Times New Roman" panose="02020603050405020304" pitchFamily="18" charset="0"/>
              <a:cs typeface="Times New Roman" panose="02020603050405020304" pitchFamily="18" charset="0"/>
            </a:rPr>
            <a:t>436,9</a:t>
          </a:r>
        </a:p>
      </cdr:txBody>
    </cdr:sp>
  </cdr:relSizeAnchor>
  <cdr:relSizeAnchor xmlns:cdr="http://schemas.openxmlformats.org/drawingml/2006/chartDrawing">
    <cdr:from>
      <cdr:x>0.90039</cdr:x>
      <cdr:y>0.41665</cdr:y>
    </cdr:from>
    <cdr:to>
      <cdr:x>1</cdr:x>
      <cdr:y>0.49817</cdr:y>
    </cdr:to>
    <cdr:sp macro="" textlink="">
      <cdr:nvSpPr>
        <cdr:cNvPr id="5" name="TextBox 4"/>
        <cdr:cNvSpPr txBox="1"/>
      </cdr:nvSpPr>
      <cdr:spPr>
        <a:xfrm xmlns:a="http://schemas.openxmlformats.org/drawingml/2006/main">
          <a:off x="4622567" y="1289785"/>
          <a:ext cx="511408" cy="25235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1200" b="1">
              <a:solidFill>
                <a:sysClr val="windowText" lastClr="000000"/>
              </a:solidFill>
              <a:latin typeface="Times New Roman" panose="02020603050405020304" pitchFamily="18" charset="0"/>
              <a:cs typeface="Times New Roman" panose="02020603050405020304" pitchFamily="18" charset="0"/>
            </a:rPr>
            <a:t>438,6</a:t>
          </a:r>
        </a:p>
      </cdr:txBody>
    </cdr:sp>
  </cdr:relSizeAnchor>
  <cdr:relSizeAnchor xmlns:cdr="http://schemas.openxmlformats.org/drawingml/2006/chartDrawing">
    <cdr:from>
      <cdr:x>0.18076</cdr:x>
      <cdr:y>0.02448</cdr:y>
    </cdr:from>
    <cdr:to>
      <cdr:x>0.91445</cdr:x>
      <cdr:y>0.11807</cdr:y>
    </cdr:to>
    <cdr:sp macro="" textlink="">
      <cdr:nvSpPr>
        <cdr:cNvPr id="6" name="TextBox 5"/>
        <cdr:cNvSpPr txBox="1"/>
      </cdr:nvSpPr>
      <cdr:spPr>
        <a:xfrm xmlns:a="http://schemas.openxmlformats.org/drawingml/2006/main">
          <a:off x="998611" y="77400"/>
          <a:ext cx="4053270" cy="29596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ctr"/>
          <a:r>
            <a:rPr lang="ru-RU" sz="1200" b="1" i="1" baseline="0">
              <a:latin typeface="Times New Roman" panose="02020603050405020304" pitchFamily="18" charset="0"/>
              <a:cs typeface="Times New Roman" panose="02020603050405020304" pitchFamily="18" charset="0"/>
            </a:rPr>
            <a:t>Ввод в действия жилых домов, тыс. кв. м</a:t>
          </a:r>
          <a:endParaRPr lang="ru-RU" sz="1200" b="1" i="1">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0.86333</cdr:x>
      <cdr:y>0.2041</cdr:y>
    </cdr:from>
    <cdr:to>
      <cdr:x>0.90744</cdr:x>
      <cdr:y>0.73497</cdr:y>
    </cdr:to>
    <cdr:sp macro="" textlink="">
      <cdr:nvSpPr>
        <cdr:cNvPr id="7" name="Правая фигурная скобка 6"/>
        <cdr:cNvSpPr/>
      </cdr:nvSpPr>
      <cdr:spPr>
        <a:xfrm xmlns:a="http://schemas.openxmlformats.org/drawingml/2006/main">
          <a:off x="4432323" y="631813"/>
          <a:ext cx="226459" cy="1643375"/>
        </a:xfrm>
        <a:prstGeom xmlns:a="http://schemas.openxmlformats.org/drawingml/2006/main" prst="rightBrace">
          <a:avLst/>
        </a:prstGeom>
        <a:ln xmlns:a="http://schemas.openxmlformats.org/drawingml/2006/main">
          <a:solidFill>
            <a:sysClr val="windowText" lastClr="000000"/>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51AE23-65C2-4113-9EE2-BFE48934B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77</Pages>
  <Words>88913</Words>
  <Characters>506805</Characters>
  <Application>Microsoft Office Word</Application>
  <DocSecurity>0</DocSecurity>
  <Lines>4223</Lines>
  <Paragraphs>1189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594529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 Александрович Соловьев</dc:creator>
  <cp:lastModifiedBy>Ольга Константиновна Серых</cp:lastModifiedBy>
  <cp:revision>4</cp:revision>
  <cp:lastPrinted>2020-04-16T09:03:00Z</cp:lastPrinted>
  <dcterms:created xsi:type="dcterms:W3CDTF">2020-04-16T10:27:00Z</dcterms:created>
  <dcterms:modified xsi:type="dcterms:W3CDTF">2020-06-09T06:36:00Z</dcterms:modified>
</cp:coreProperties>
</file>