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4B4" w:rsidRDefault="00C004B4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C004B4" w:rsidRDefault="00C004B4">
      <w:pPr>
        <w:pStyle w:val="ConsPlusNormal"/>
        <w:jc w:val="both"/>
        <w:outlineLvl w:val="0"/>
      </w:pPr>
    </w:p>
    <w:p w:rsidR="00C004B4" w:rsidRDefault="00C004B4">
      <w:pPr>
        <w:pStyle w:val="ConsPlusTitle"/>
        <w:jc w:val="center"/>
        <w:outlineLvl w:val="0"/>
      </w:pPr>
      <w:r>
        <w:t>ГУБЕРНАТОР ТОМСКОЙ ОБЛАСТИ</w:t>
      </w:r>
    </w:p>
    <w:p w:rsidR="00C004B4" w:rsidRDefault="00C004B4">
      <w:pPr>
        <w:pStyle w:val="ConsPlusTitle"/>
        <w:jc w:val="center"/>
      </w:pPr>
    </w:p>
    <w:p w:rsidR="00C004B4" w:rsidRDefault="00C004B4">
      <w:pPr>
        <w:pStyle w:val="ConsPlusTitle"/>
        <w:jc w:val="center"/>
      </w:pPr>
      <w:r>
        <w:t>РАСПОРЯЖЕНИЕ</w:t>
      </w:r>
    </w:p>
    <w:p w:rsidR="00C004B4" w:rsidRDefault="00C004B4">
      <w:pPr>
        <w:pStyle w:val="ConsPlusTitle"/>
        <w:jc w:val="center"/>
      </w:pPr>
      <w:r>
        <w:t>от 13 января 2017 г. N 6-р</w:t>
      </w:r>
    </w:p>
    <w:p w:rsidR="00C004B4" w:rsidRDefault="00C004B4">
      <w:pPr>
        <w:pStyle w:val="ConsPlusTitle"/>
        <w:jc w:val="center"/>
      </w:pPr>
    </w:p>
    <w:p w:rsidR="00C004B4" w:rsidRDefault="00C004B4">
      <w:pPr>
        <w:pStyle w:val="ConsPlusTitle"/>
        <w:jc w:val="center"/>
      </w:pPr>
      <w:r>
        <w:t>О ВНЕСЕНИИ ИЗМЕНЕНИЙ В РАСПОРЯЖЕНИЕ ГУБЕРНАТОРА</w:t>
      </w:r>
    </w:p>
    <w:p w:rsidR="00C004B4" w:rsidRDefault="00C004B4">
      <w:pPr>
        <w:pStyle w:val="ConsPlusTitle"/>
        <w:jc w:val="center"/>
      </w:pPr>
      <w:r>
        <w:t>ТОМСКОЙ ОБЛАСТИ ОТ 18.05.2011 N 155-Р</w:t>
      </w:r>
    </w:p>
    <w:p w:rsidR="00C004B4" w:rsidRDefault="00C004B4">
      <w:pPr>
        <w:pStyle w:val="ConsPlusNormal"/>
        <w:jc w:val="both"/>
      </w:pPr>
    </w:p>
    <w:p w:rsidR="00C004B4" w:rsidRDefault="00C004B4">
      <w:pPr>
        <w:pStyle w:val="ConsPlusNormal"/>
        <w:ind w:firstLine="540"/>
        <w:jc w:val="both"/>
      </w:pPr>
      <w:r>
        <w:t xml:space="preserve">1. Внести в </w:t>
      </w:r>
      <w:hyperlink r:id="rId6" w:history="1">
        <w:r>
          <w:rPr>
            <w:color w:val="0000FF"/>
          </w:rPr>
          <w:t>распоряжение</w:t>
        </w:r>
      </w:hyperlink>
      <w:r>
        <w:t xml:space="preserve"> Губернатора Томской области от 18.05.2011 N 155-р "О реализации на территории Томской области государственных программ Российской Федерации, федеральных целевых программ Российской Федерации" следующие изменения:</w:t>
      </w:r>
    </w:p>
    <w:p w:rsidR="00C004B4" w:rsidRDefault="00C004B4">
      <w:pPr>
        <w:pStyle w:val="ConsPlusNormal"/>
        <w:spacing w:before="220"/>
        <w:ind w:firstLine="540"/>
        <w:jc w:val="both"/>
      </w:pPr>
      <w:r>
        <w:t xml:space="preserve">в </w:t>
      </w:r>
      <w:hyperlink r:id="rId7" w:history="1">
        <w:r>
          <w:rPr>
            <w:color w:val="0000FF"/>
          </w:rPr>
          <w:t>Порядке</w:t>
        </w:r>
      </w:hyperlink>
      <w:r>
        <w:t xml:space="preserve"> взаимодействия исполнительных органов государственной власти Томской области, структурных подразделений Администрации Томской области с федеральными органами исполнительной власти по привлечению средств федерального бюджета, утвержденном указанным распоряжением (приложение N 2) (далее - Порядок):</w:t>
      </w:r>
    </w:p>
    <w:p w:rsidR="00C004B4" w:rsidRDefault="00C004B4">
      <w:pPr>
        <w:pStyle w:val="ConsPlusNormal"/>
        <w:spacing w:before="220"/>
        <w:ind w:firstLine="540"/>
        <w:jc w:val="both"/>
      </w:pPr>
      <w:r>
        <w:t xml:space="preserve">1) в </w:t>
      </w:r>
      <w:hyperlink r:id="rId8" w:history="1">
        <w:r>
          <w:rPr>
            <w:color w:val="0000FF"/>
          </w:rPr>
          <w:t>пункте 15</w:t>
        </w:r>
      </w:hyperlink>
      <w:r>
        <w:t>:</w:t>
      </w:r>
    </w:p>
    <w:p w:rsidR="00C004B4" w:rsidRDefault="00C004B4">
      <w:pPr>
        <w:pStyle w:val="ConsPlusNormal"/>
        <w:spacing w:before="220"/>
        <w:ind w:firstLine="540"/>
        <w:jc w:val="both"/>
      </w:pPr>
      <w:hyperlink r:id="rId9" w:history="1">
        <w:r>
          <w:rPr>
            <w:color w:val="0000FF"/>
          </w:rPr>
          <w:t>абзац четвертый</w:t>
        </w:r>
      </w:hyperlink>
      <w:r>
        <w:t xml:space="preserve"> изложить в следующей редакции:</w:t>
      </w:r>
    </w:p>
    <w:p w:rsidR="00C004B4" w:rsidRDefault="00C004B4">
      <w:pPr>
        <w:pStyle w:val="ConsPlusNormal"/>
        <w:spacing w:before="220"/>
        <w:ind w:firstLine="540"/>
        <w:jc w:val="both"/>
      </w:pPr>
      <w:r>
        <w:t>"информацию о реализации на территории Томской области государственных программ, ФЦП, указанных в приложении N 1 к распоряжению, непрограммной части ФАИП, иных мероприятий (далее - отчетная информация) за 6 месяцев отчетного года по форме согласно приложению N 2 к настоящему Порядку</w:t>
      </w:r>
      <w:proofErr w:type="gramStart"/>
      <w:r>
        <w:t>;"</w:t>
      </w:r>
      <w:proofErr w:type="gramEnd"/>
      <w:r>
        <w:t>;</w:t>
      </w:r>
    </w:p>
    <w:p w:rsidR="00C004B4" w:rsidRDefault="00C004B4">
      <w:pPr>
        <w:pStyle w:val="ConsPlusNormal"/>
        <w:spacing w:before="220"/>
        <w:ind w:firstLine="540"/>
        <w:jc w:val="both"/>
      </w:pPr>
      <w:hyperlink r:id="rId10" w:history="1">
        <w:r>
          <w:rPr>
            <w:color w:val="0000FF"/>
          </w:rPr>
          <w:t>абзац седьмой</w:t>
        </w:r>
      </w:hyperlink>
      <w:r>
        <w:t xml:space="preserve"> изложить в следующей редакции:</w:t>
      </w:r>
    </w:p>
    <w:p w:rsidR="00C004B4" w:rsidRDefault="00C004B4">
      <w:pPr>
        <w:pStyle w:val="ConsPlusNormal"/>
        <w:spacing w:before="220"/>
        <w:ind w:firstLine="540"/>
        <w:jc w:val="both"/>
      </w:pPr>
      <w:r>
        <w:t>"отчетную информацию за предшествующий год по форме согласно приложению N 2 к настоящему Порядку</w:t>
      </w:r>
      <w:proofErr w:type="gramStart"/>
      <w:r>
        <w:t>;"</w:t>
      </w:r>
      <w:proofErr w:type="gramEnd"/>
      <w:r>
        <w:t>;</w:t>
      </w:r>
    </w:p>
    <w:p w:rsidR="00C004B4" w:rsidRDefault="00C004B4">
      <w:pPr>
        <w:pStyle w:val="ConsPlusNormal"/>
        <w:spacing w:before="220"/>
        <w:ind w:firstLine="540"/>
        <w:jc w:val="both"/>
      </w:pPr>
      <w:hyperlink r:id="rId11" w:history="1">
        <w:r>
          <w:rPr>
            <w:color w:val="0000FF"/>
          </w:rPr>
          <w:t>абзац девятый</w:t>
        </w:r>
      </w:hyperlink>
      <w:r>
        <w:t xml:space="preserve"> изложить в следующей редакции:</w:t>
      </w:r>
    </w:p>
    <w:p w:rsidR="00C004B4" w:rsidRDefault="00C004B4">
      <w:pPr>
        <w:pStyle w:val="ConsPlusNormal"/>
        <w:spacing w:before="220"/>
        <w:ind w:firstLine="540"/>
        <w:jc w:val="both"/>
      </w:pPr>
      <w:r>
        <w:t>"Департамент экономики Администрации Томской области может дополнительно запросить отчетную информацию по итогам квартала по форме согласно приложению N 2 к настоящему Порядку</w:t>
      </w:r>
      <w:proofErr w:type="gramStart"/>
      <w:r>
        <w:t>.";</w:t>
      </w:r>
      <w:proofErr w:type="gramEnd"/>
    </w:p>
    <w:p w:rsidR="00C004B4" w:rsidRDefault="00C004B4">
      <w:pPr>
        <w:pStyle w:val="ConsPlusNormal"/>
        <w:spacing w:before="220"/>
        <w:ind w:firstLine="540"/>
        <w:jc w:val="both"/>
      </w:pPr>
      <w:r>
        <w:t xml:space="preserve">после абзаца девятого </w:t>
      </w:r>
      <w:hyperlink r:id="rId12" w:history="1">
        <w:r>
          <w:rPr>
            <w:color w:val="0000FF"/>
          </w:rPr>
          <w:t>дополнить</w:t>
        </w:r>
      </w:hyperlink>
      <w:r>
        <w:t xml:space="preserve"> абзацем следующего содержания:</w:t>
      </w:r>
    </w:p>
    <w:p w:rsidR="00C004B4" w:rsidRDefault="00C004B4">
      <w:pPr>
        <w:pStyle w:val="ConsPlusNormal"/>
        <w:spacing w:before="220"/>
        <w:ind w:firstLine="540"/>
        <w:jc w:val="both"/>
      </w:pPr>
      <w:r>
        <w:t>"Формирование полугодового и годового отчета осуществляется в электронном виде с использованием автоматизированной системы "Бюджетная Информационная Система Среднесрочного Бюджетирования, Ориентированного на результат" (далее - АИС "</w:t>
      </w:r>
      <w:proofErr w:type="gramStart"/>
      <w:r>
        <w:t>БИС-СБОР</w:t>
      </w:r>
      <w:proofErr w:type="gramEnd"/>
      <w:r>
        <w:t>"). Полугодовой отчет формируется по состоянию на 1 июля текущего года нарастающим итогом. Годовой отчет формируется по состоянию на 31 декабря отчетного года</w:t>
      </w:r>
      <w:proofErr w:type="gramStart"/>
      <w:r>
        <w:t>.";</w:t>
      </w:r>
    </w:p>
    <w:p w:rsidR="00C004B4" w:rsidRDefault="00C004B4">
      <w:pPr>
        <w:pStyle w:val="ConsPlusNormal"/>
        <w:spacing w:before="220"/>
        <w:ind w:firstLine="540"/>
        <w:jc w:val="both"/>
      </w:pPr>
      <w:proofErr w:type="gramEnd"/>
      <w:r>
        <w:t xml:space="preserve">после абзаца десятого </w:t>
      </w:r>
      <w:hyperlink r:id="rId13" w:history="1">
        <w:r>
          <w:rPr>
            <w:color w:val="0000FF"/>
          </w:rPr>
          <w:t>дополнить</w:t>
        </w:r>
      </w:hyperlink>
      <w:r>
        <w:t xml:space="preserve"> абзацем следующего содержания:</w:t>
      </w:r>
    </w:p>
    <w:p w:rsidR="00C004B4" w:rsidRDefault="00C004B4">
      <w:pPr>
        <w:pStyle w:val="ConsPlusNormal"/>
        <w:spacing w:before="220"/>
        <w:ind w:firstLine="540"/>
        <w:jc w:val="both"/>
      </w:pPr>
      <w:r>
        <w:t>"Ответственный исполнитель формирует в АИС "</w:t>
      </w:r>
      <w:proofErr w:type="gramStart"/>
      <w:r>
        <w:t>БИС-СБОР</w:t>
      </w:r>
      <w:proofErr w:type="gramEnd"/>
      <w:r>
        <w:t>" отчетную форму на основании информации, заполненной в АИС "БИС-СБОР", и направляет ее в электронном виде в формате Microsoft Excel. Ответственный исполнитель в сопроводительном письме за подписью заместителя Губернатора Томской области, курирующего деятельность ответственного исполнителя, уведомляет о готовности отчетной формы в АИС "</w:t>
      </w:r>
      <w:proofErr w:type="gramStart"/>
      <w:r>
        <w:t>БИС-СБОР</w:t>
      </w:r>
      <w:proofErr w:type="gramEnd"/>
      <w:r>
        <w:t>" и направлении ее в электронном формате.";</w:t>
      </w:r>
    </w:p>
    <w:p w:rsidR="00C004B4" w:rsidRDefault="00C004B4">
      <w:pPr>
        <w:pStyle w:val="ConsPlusNormal"/>
        <w:spacing w:before="220"/>
        <w:ind w:firstLine="540"/>
        <w:jc w:val="both"/>
      </w:pPr>
      <w:r>
        <w:lastRenderedPageBreak/>
        <w:t xml:space="preserve">2) </w:t>
      </w:r>
      <w:hyperlink r:id="rId14" w:history="1">
        <w:r>
          <w:rPr>
            <w:color w:val="0000FF"/>
          </w:rPr>
          <w:t>абзац пятый пункта 16</w:t>
        </w:r>
      </w:hyperlink>
      <w:r>
        <w:t xml:space="preserve"> изложить в следующей редакции:</w:t>
      </w:r>
    </w:p>
    <w:p w:rsidR="00C004B4" w:rsidRDefault="00C004B4">
      <w:pPr>
        <w:pStyle w:val="ConsPlusNormal"/>
        <w:spacing w:before="220"/>
        <w:ind w:firstLine="540"/>
        <w:jc w:val="both"/>
      </w:pPr>
      <w:r>
        <w:t xml:space="preserve">"за предшествующий год - не позднее 1 апреля года, следующего за </w:t>
      </w:r>
      <w:proofErr w:type="gramStart"/>
      <w:r>
        <w:t>отчетным</w:t>
      </w:r>
      <w:proofErr w:type="gramEnd"/>
      <w:r>
        <w:t>;";</w:t>
      </w:r>
    </w:p>
    <w:p w:rsidR="00C004B4" w:rsidRDefault="00C004B4">
      <w:pPr>
        <w:pStyle w:val="ConsPlusNormal"/>
        <w:spacing w:before="220"/>
        <w:ind w:firstLine="540"/>
        <w:jc w:val="both"/>
      </w:pPr>
      <w:r>
        <w:t xml:space="preserve">3) </w:t>
      </w:r>
      <w:hyperlink r:id="rId15" w:history="1">
        <w:r>
          <w:rPr>
            <w:color w:val="0000FF"/>
          </w:rPr>
          <w:t>приложение N 2</w:t>
        </w:r>
      </w:hyperlink>
      <w:r>
        <w:t xml:space="preserve"> к Порядку изложить в новой редакции согласно </w:t>
      </w:r>
      <w:hyperlink w:anchor="P43" w:history="1">
        <w:r>
          <w:rPr>
            <w:color w:val="0000FF"/>
          </w:rPr>
          <w:t>приложению</w:t>
        </w:r>
      </w:hyperlink>
      <w:r>
        <w:t xml:space="preserve"> к настоящему распоряжению;</w:t>
      </w:r>
    </w:p>
    <w:p w:rsidR="00C004B4" w:rsidRDefault="00C004B4">
      <w:pPr>
        <w:pStyle w:val="ConsPlusNormal"/>
        <w:spacing w:before="220"/>
        <w:ind w:firstLine="540"/>
        <w:jc w:val="both"/>
      </w:pPr>
      <w:r>
        <w:t xml:space="preserve">4) </w:t>
      </w:r>
      <w:hyperlink r:id="rId16" w:history="1">
        <w:r>
          <w:rPr>
            <w:color w:val="0000FF"/>
          </w:rPr>
          <w:t>приложения NN 3</w:t>
        </w:r>
      </w:hyperlink>
      <w:r>
        <w:t xml:space="preserve">, </w:t>
      </w:r>
      <w:hyperlink r:id="rId17" w:history="1">
        <w:r>
          <w:rPr>
            <w:color w:val="0000FF"/>
          </w:rPr>
          <w:t>4</w:t>
        </w:r>
      </w:hyperlink>
      <w:r>
        <w:t xml:space="preserve"> к Порядку исключить.</w:t>
      </w:r>
    </w:p>
    <w:p w:rsidR="00C004B4" w:rsidRDefault="00C004B4">
      <w:pPr>
        <w:pStyle w:val="ConsPlusNormal"/>
        <w:spacing w:before="220"/>
        <w:ind w:firstLine="540"/>
        <w:jc w:val="both"/>
      </w:pPr>
      <w:r>
        <w:t>2. Настоящее распоряжение вступает в силу со дня его официального опубликования.</w:t>
      </w:r>
    </w:p>
    <w:p w:rsidR="00C004B4" w:rsidRDefault="00C004B4">
      <w:pPr>
        <w:pStyle w:val="ConsPlusNormal"/>
        <w:jc w:val="both"/>
      </w:pPr>
    </w:p>
    <w:p w:rsidR="00C004B4" w:rsidRDefault="00C004B4">
      <w:pPr>
        <w:pStyle w:val="ConsPlusNormal"/>
        <w:jc w:val="right"/>
      </w:pPr>
      <w:r>
        <w:t>И.о. Губернатора</w:t>
      </w:r>
    </w:p>
    <w:p w:rsidR="00C004B4" w:rsidRDefault="00C004B4">
      <w:pPr>
        <w:pStyle w:val="ConsPlusNormal"/>
        <w:jc w:val="right"/>
      </w:pPr>
      <w:r>
        <w:t>Томской области</w:t>
      </w:r>
    </w:p>
    <w:p w:rsidR="00C004B4" w:rsidRDefault="00C004B4">
      <w:pPr>
        <w:pStyle w:val="ConsPlusNormal"/>
        <w:jc w:val="right"/>
      </w:pPr>
      <w:r>
        <w:t>А.М.ФЕДЕНЕВ</w:t>
      </w:r>
    </w:p>
    <w:p w:rsidR="00C004B4" w:rsidRDefault="00C004B4">
      <w:pPr>
        <w:pStyle w:val="ConsPlusNormal"/>
        <w:jc w:val="both"/>
      </w:pPr>
    </w:p>
    <w:p w:rsidR="00C004B4" w:rsidRDefault="00C004B4">
      <w:pPr>
        <w:pStyle w:val="ConsPlusNormal"/>
        <w:jc w:val="both"/>
      </w:pPr>
    </w:p>
    <w:p w:rsidR="00C004B4" w:rsidRDefault="00C004B4">
      <w:pPr>
        <w:pStyle w:val="ConsPlusNormal"/>
        <w:jc w:val="both"/>
      </w:pPr>
    </w:p>
    <w:p w:rsidR="00C004B4" w:rsidRDefault="00C004B4">
      <w:pPr>
        <w:pStyle w:val="ConsPlusNormal"/>
        <w:jc w:val="both"/>
      </w:pPr>
    </w:p>
    <w:p w:rsidR="00C004B4" w:rsidRDefault="00C004B4">
      <w:pPr>
        <w:pStyle w:val="ConsPlusNormal"/>
        <w:jc w:val="both"/>
      </w:pPr>
    </w:p>
    <w:p w:rsidR="00C004B4" w:rsidRDefault="00C004B4">
      <w:pPr>
        <w:pStyle w:val="ConsPlusNormal"/>
        <w:jc w:val="right"/>
        <w:outlineLvl w:val="0"/>
      </w:pPr>
      <w:r>
        <w:t>Приложение</w:t>
      </w:r>
    </w:p>
    <w:p w:rsidR="00C004B4" w:rsidRDefault="00C004B4">
      <w:pPr>
        <w:pStyle w:val="ConsPlusNormal"/>
        <w:jc w:val="right"/>
      </w:pPr>
      <w:r>
        <w:t>к распоряжению</w:t>
      </w:r>
    </w:p>
    <w:p w:rsidR="00C004B4" w:rsidRDefault="00C004B4">
      <w:pPr>
        <w:pStyle w:val="ConsPlusNormal"/>
        <w:jc w:val="right"/>
      </w:pPr>
      <w:r>
        <w:t xml:space="preserve">Губернатора </w:t>
      </w:r>
      <w:proofErr w:type="gramStart"/>
      <w:r>
        <w:t>Томской</w:t>
      </w:r>
      <w:proofErr w:type="gramEnd"/>
      <w:r>
        <w:t xml:space="preserve"> области</w:t>
      </w:r>
    </w:p>
    <w:p w:rsidR="00C004B4" w:rsidRDefault="00C004B4">
      <w:pPr>
        <w:pStyle w:val="ConsPlusNormal"/>
        <w:jc w:val="right"/>
      </w:pPr>
      <w:r>
        <w:t>от 13.01.2017 N 6-р</w:t>
      </w:r>
    </w:p>
    <w:p w:rsidR="00C004B4" w:rsidRDefault="00C004B4">
      <w:pPr>
        <w:pStyle w:val="ConsPlusNormal"/>
        <w:jc w:val="both"/>
      </w:pPr>
    </w:p>
    <w:p w:rsidR="00C004B4" w:rsidRDefault="00C004B4">
      <w:pPr>
        <w:pStyle w:val="ConsPlusNormal"/>
      </w:pPr>
      <w:r>
        <w:t>Форма</w:t>
      </w:r>
    </w:p>
    <w:p w:rsidR="00C004B4" w:rsidRDefault="00C004B4">
      <w:pPr>
        <w:pStyle w:val="ConsPlusNormal"/>
        <w:jc w:val="both"/>
      </w:pPr>
    </w:p>
    <w:p w:rsidR="00C004B4" w:rsidRDefault="00C004B4">
      <w:pPr>
        <w:pStyle w:val="ConsPlusNormal"/>
        <w:jc w:val="center"/>
      </w:pPr>
      <w:bookmarkStart w:id="0" w:name="P43"/>
      <w:bookmarkEnd w:id="0"/>
      <w:r>
        <w:t>Информация о реализации на территории Томской области</w:t>
      </w:r>
    </w:p>
    <w:p w:rsidR="00C004B4" w:rsidRDefault="00C004B4">
      <w:pPr>
        <w:pStyle w:val="ConsPlusNormal"/>
        <w:jc w:val="center"/>
      </w:pPr>
      <w:r>
        <w:t>государственных программ Российской Федерации, федеральных</w:t>
      </w:r>
    </w:p>
    <w:p w:rsidR="00C004B4" w:rsidRDefault="00C004B4">
      <w:pPr>
        <w:pStyle w:val="ConsPlusNormal"/>
        <w:jc w:val="center"/>
      </w:pPr>
      <w:r>
        <w:t>целевых программ Российской Федерации, непрограммной</w:t>
      </w:r>
    </w:p>
    <w:p w:rsidR="00C004B4" w:rsidRDefault="00C004B4">
      <w:pPr>
        <w:pStyle w:val="ConsPlusNormal"/>
        <w:jc w:val="center"/>
      </w:pPr>
      <w:r>
        <w:t>части ФАИП и иных мероприятий за ___________ год</w:t>
      </w:r>
    </w:p>
    <w:p w:rsidR="00C004B4" w:rsidRDefault="00C004B4">
      <w:pPr>
        <w:pStyle w:val="ConsPlusNormal"/>
        <w:jc w:val="center"/>
      </w:pPr>
      <w:r>
        <w:t>____________________________________________</w:t>
      </w:r>
    </w:p>
    <w:p w:rsidR="00C004B4" w:rsidRDefault="00C004B4">
      <w:pPr>
        <w:pStyle w:val="ConsPlusNormal"/>
        <w:jc w:val="center"/>
      </w:pPr>
      <w:proofErr w:type="gramStart"/>
      <w:r>
        <w:t>(Исполнительный орган государственной власти</w:t>
      </w:r>
      <w:proofErr w:type="gramEnd"/>
    </w:p>
    <w:p w:rsidR="00C004B4" w:rsidRDefault="00C004B4">
      <w:pPr>
        <w:pStyle w:val="ConsPlusNormal"/>
        <w:jc w:val="center"/>
      </w:pPr>
      <w:proofErr w:type="gramStart"/>
      <w:r>
        <w:t>Томской</w:t>
      </w:r>
      <w:proofErr w:type="gramEnd"/>
      <w:r>
        <w:t xml:space="preserve"> области, структурное подразделение</w:t>
      </w:r>
    </w:p>
    <w:p w:rsidR="00C004B4" w:rsidRDefault="00C004B4">
      <w:pPr>
        <w:pStyle w:val="ConsPlusNormal"/>
        <w:jc w:val="center"/>
      </w:pPr>
      <w:proofErr w:type="gramStart"/>
      <w:r>
        <w:t>Администрации Томской области)</w:t>
      </w:r>
      <w:proofErr w:type="gramEnd"/>
    </w:p>
    <w:p w:rsidR="00C004B4" w:rsidRDefault="00C004B4">
      <w:pPr>
        <w:pStyle w:val="ConsPlusNormal"/>
        <w:jc w:val="both"/>
      </w:pPr>
    </w:p>
    <w:p w:rsidR="00C004B4" w:rsidRDefault="00C004B4">
      <w:pPr>
        <w:sectPr w:rsidR="00C004B4" w:rsidSect="0012224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5"/>
        <w:gridCol w:w="1701"/>
        <w:gridCol w:w="1701"/>
        <w:gridCol w:w="794"/>
        <w:gridCol w:w="1077"/>
        <w:gridCol w:w="1020"/>
        <w:gridCol w:w="1304"/>
        <w:gridCol w:w="1077"/>
        <w:gridCol w:w="1191"/>
        <w:gridCol w:w="1417"/>
        <w:gridCol w:w="964"/>
        <w:gridCol w:w="1020"/>
        <w:gridCol w:w="850"/>
        <w:gridCol w:w="850"/>
        <w:gridCol w:w="794"/>
        <w:gridCol w:w="624"/>
        <w:gridCol w:w="907"/>
        <w:gridCol w:w="680"/>
        <w:gridCol w:w="794"/>
        <w:gridCol w:w="907"/>
        <w:gridCol w:w="1020"/>
        <w:gridCol w:w="1020"/>
        <w:gridCol w:w="1247"/>
        <w:gridCol w:w="1474"/>
      </w:tblGrid>
      <w:tr w:rsidR="00C004B4">
        <w:tc>
          <w:tcPr>
            <w:tcW w:w="425" w:type="dxa"/>
            <w:vMerge w:val="restart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lastRenderedPageBreak/>
              <w:t>N</w:t>
            </w:r>
          </w:p>
          <w:p w:rsidR="00C004B4" w:rsidRDefault="00C004B4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1701" w:type="dxa"/>
            <w:vMerge w:val="restart"/>
            <w:vAlign w:val="center"/>
          </w:tcPr>
          <w:p w:rsidR="00C004B4" w:rsidRDefault="00C004B4">
            <w:pPr>
              <w:pStyle w:val="ConsPlusNormal"/>
            </w:pPr>
            <w:r>
              <w:t>Наименование государственной программы Российской Федерации, федеральной целевой программы, мероприятия</w:t>
            </w:r>
          </w:p>
        </w:tc>
        <w:tc>
          <w:tcPr>
            <w:tcW w:w="1701" w:type="dxa"/>
            <w:vMerge w:val="restart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Наименование государственной программы Томской области</w:t>
            </w:r>
          </w:p>
        </w:tc>
        <w:tc>
          <w:tcPr>
            <w:tcW w:w="7880" w:type="dxa"/>
            <w:gridSpan w:val="7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Федеральный бюджет</w:t>
            </w:r>
          </w:p>
        </w:tc>
        <w:tc>
          <w:tcPr>
            <w:tcW w:w="2834" w:type="dxa"/>
            <w:gridSpan w:val="3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Областной бюджет</w:t>
            </w:r>
          </w:p>
        </w:tc>
        <w:tc>
          <w:tcPr>
            <w:tcW w:w="1644" w:type="dxa"/>
            <w:gridSpan w:val="2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Местный бюджет</w:t>
            </w:r>
          </w:p>
        </w:tc>
        <w:tc>
          <w:tcPr>
            <w:tcW w:w="1531" w:type="dxa"/>
            <w:gridSpan w:val="2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Внебюджетные источники</w:t>
            </w:r>
          </w:p>
        </w:tc>
        <w:tc>
          <w:tcPr>
            <w:tcW w:w="1474" w:type="dxa"/>
            <w:gridSpan w:val="2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Всего за отчетный период</w:t>
            </w:r>
          </w:p>
        </w:tc>
        <w:tc>
          <w:tcPr>
            <w:tcW w:w="2947" w:type="dxa"/>
            <w:gridSpan w:val="3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Всего за аналогичный отчетный период прошлого года</w:t>
            </w:r>
          </w:p>
        </w:tc>
        <w:tc>
          <w:tcPr>
            <w:tcW w:w="1247" w:type="dxa"/>
            <w:vMerge w:val="restart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Результаты реализации мероприятий в количественном выражении за отчетный период</w:t>
            </w:r>
          </w:p>
        </w:tc>
        <w:tc>
          <w:tcPr>
            <w:tcW w:w="1474" w:type="dxa"/>
            <w:vMerge w:val="restart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Причины отклонения в финансировании в сравнении с аналогичным отчетным периодом прошлого года</w:t>
            </w:r>
          </w:p>
        </w:tc>
      </w:tr>
      <w:tr w:rsidR="00C004B4">
        <w:tc>
          <w:tcPr>
            <w:tcW w:w="425" w:type="dxa"/>
            <w:vMerge/>
          </w:tcPr>
          <w:p w:rsidR="00C004B4" w:rsidRDefault="00C004B4"/>
        </w:tc>
        <w:tc>
          <w:tcPr>
            <w:tcW w:w="1701" w:type="dxa"/>
            <w:vMerge/>
          </w:tcPr>
          <w:p w:rsidR="00C004B4" w:rsidRDefault="00C004B4"/>
        </w:tc>
        <w:tc>
          <w:tcPr>
            <w:tcW w:w="1701" w:type="dxa"/>
            <w:vMerge/>
          </w:tcPr>
          <w:p w:rsidR="00C004B4" w:rsidRDefault="00C004B4"/>
        </w:tc>
        <w:tc>
          <w:tcPr>
            <w:tcW w:w="4195" w:type="dxa"/>
            <w:gridSpan w:val="4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план</w:t>
            </w:r>
          </w:p>
        </w:tc>
        <w:tc>
          <w:tcPr>
            <w:tcW w:w="3685" w:type="dxa"/>
            <w:gridSpan w:val="3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профинансировано</w:t>
            </w:r>
          </w:p>
        </w:tc>
        <w:tc>
          <w:tcPr>
            <w:tcW w:w="964" w:type="dxa"/>
            <w:vMerge w:val="restart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всего, план по сводной бюджетной росписи</w:t>
            </w:r>
          </w:p>
        </w:tc>
        <w:tc>
          <w:tcPr>
            <w:tcW w:w="1020" w:type="dxa"/>
            <w:vMerge w:val="restart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из них остаток на начало отчетного периода</w:t>
            </w:r>
          </w:p>
        </w:tc>
        <w:tc>
          <w:tcPr>
            <w:tcW w:w="850" w:type="dxa"/>
            <w:vMerge w:val="restart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всего, кассовое исполнение</w:t>
            </w:r>
          </w:p>
        </w:tc>
        <w:tc>
          <w:tcPr>
            <w:tcW w:w="850" w:type="dxa"/>
            <w:vMerge w:val="restart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утверждено государственной программой</w:t>
            </w:r>
          </w:p>
        </w:tc>
        <w:tc>
          <w:tcPr>
            <w:tcW w:w="794" w:type="dxa"/>
            <w:vMerge w:val="restart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кассовое исполнение</w:t>
            </w:r>
          </w:p>
        </w:tc>
        <w:tc>
          <w:tcPr>
            <w:tcW w:w="624" w:type="dxa"/>
            <w:vMerge w:val="restart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план</w:t>
            </w:r>
          </w:p>
        </w:tc>
        <w:tc>
          <w:tcPr>
            <w:tcW w:w="907" w:type="dxa"/>
            <w:vMerge w:val="restart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профинансировано</w:t>
            </w:r>
          </w:p>
        </w:tc>
        <w:tc>
          <w:tcPr>
            <w:tcW w:w="680" w:type="dxa"/>
            <w:vMerge w:val="restart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план</w:t>
            </w:r>
          </w:p>
        </w:tc>
        <w:tc>
          <w:tcPr>
            <w:tcW w:w="794" w:type="dxa"/>
            <w:vMerge w:val="restart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профинансировано</w:t>
            </w:r>
          </w:p>
        </w:tc>
        <w:tc>
          <w:tcPr>
            <w:tcW w:w="907" w:type="dxa"/>
            <w:vMerge w:val="restart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профинансировано, всего</w:t>
            </w:r>
          </w:p>
        </w:tc>
        <w:tc>
          <w:tcPr>
            <w:tcW w:w="2040" w:type="dxa"/>
            <w:gridSpan w:val="2"/>
            <w:vMerge w:val="restart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в т.ч.</w:t>
            </w:r>
          </w:p>
        </w:tc>
        <w:tc>
          <w:tcPr>
            <w:tcW w:w="1247" w:type="dxa"/>
            <w:vMerge/>
          </w:tcPr>
          <w:p w:rsidR="00C004B4" w:rsidRDefault="00C004B4"/>
        </w:tc>
        <w:tc>
          <w:tcPr>
            <w:tcW w:w="1474" w:type="dxa"/>
            <w:vMerge/>
          </w:tcPr>
          <w:p w:rsidR="00C004B4" w:rsidRDefault="00C004B4"/>
        </w:tc>
      </w:tr>
      <w:tr w:rsidR="00C004B4">
        <w:tc>
          <w:tcPr>
            <w:tcW w:w="425" w:type="dxa"/>
            <w:vMerge/>
          </w:tcPr>
          <w:p w:rsidR="00C004B4" w:rsidRDefault="00C004B4"/>
        </w:tc>
        <w:tc>
          <w:tcPr>
            <w:tcW w:w="1701" w:type="dxa"/>
            <w:vMerge/>
          </w:tcPr>
          <w:p w:rsidR="00C004B4" w:rsidRDefault="00C004B4"/>
        </w:tc>
        <w:tc>
          <w:tcPr>
            <w:tcW w:w="1701" w:type="dxa"/>
            <w:vMerge/>
          </w:tcPr>
          <w:p w:rsidR="00C004B4" w:rsidRDefault="00C004B4"/>
        </w:tc>
        <w:tc>
          <w:tcPr>
            <w:tcW w:w="794" w:type="dxa"/>
            <w:vMerge w:val="restart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всего, план</w:t>
            </w:r>
          </w:p>
        </w:tc>
        <w:tc>
          <w:tcPr>
            <w:tcW w:w="3401" w:type="dxa"/>
            <w:gridSpan w:val="3"/>
            <w:vMerge w:val="restart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в т.ч.</w:t>
            </w:r>
          </w:p>
        </w:tc>
        <w:tc>
          <w:tcPr>
            <w:tcW w:w="1077" w:type="dxa"/>
            <w:vMerge w:val="restart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всего, профинансировано</w:t>
            </w:r>
          </w:p>
        </w:tc>
        <w:tc>
          <w:tcPr>
            <w:tcW w:w="2608" w:type="dxa"/>
            <w:gridSpan w:val="2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в т.ч.</w:t>
            </w:r>
          </w:p>
        </w:tc>
        <w:tc>
          <w:tcPr>
            <w:tcW w:w="964" w:type="dxa"/>
            <w:vMerge/>
          </w:tcPr>
          <w:p w:rsidR="00C004B4" w:rsidRDefault="00C004B4"/>
        </w:tc>
        <w:tc>
          <w:tcPr>
            <w:tcW w:w="1020" w:type="dxa"/>
            <w:vMerge/>
          </w:tcPr>
          <w:p w:rsidR="00C004B4" w:rsidRDefault="00C004B4"/>
        </w:tc>
        <w:tc>
          <w:tcPr>
            <w:tcW w:w="850" w:type="dxa"/>
            <w:vMerge/>
          </w:tcPr>
          <w:p w:rsidR="00C004B4" w:rsidRDefault="00C004B4"/>
        </w:tc>
        <w:tc>
          <w:tcPr>
            <w:tcW w:w="850" w:type="dxa"/>
            <w:vMerge/>
          </w:tcPr>
          <w:p w:rsidR="00C004B4" w:rsidRDefault="00C004B4"/>
        </w:tc>
        <w:tc>
          <w:tcPr>
            <w:tcW w:w="794" w:type="dxa"/>
            <w:vMerge/>
          </w:tcPr>
          <w:p w:rsidR="00C004B4" w:rsidRDefault="00C004B4"/>
        </w:tc>
        <w:tc>
          <w:tcPr>
            <w:tcW w:w="624" w:type="dxa"/>
            <w:vMerge/>
          </w:tcPr>
          <w:p w:rsidR="00C004B4" w:rsidRDefault="00C004B4"/>
        </w:tc>
        <w:tc>
          <w:tcPr>
            <w:tcW w:w="907" w:type="dxa"/>
            <w:vMerge/>
          </w:tcPr>
          <w:p w:rsidR="00C004B4" w:rsidRDefault="00C004B4"/>
        </w:tc>
        <w:tc>
          <w:tcPr>
            <w:tcW w:w="680" w:type="dxa"/>
            <w:vMerge/>
          </w:tcPr>
          <w:p w:rsidR="00C004B4" w:rsidRDefault="00C004B4"/>
        </w:tc>
        <w:tc>
          <w:tcPr>
            <w:tcW w:w="794" w:type="dxa"/>
            <w:vMerge/>
          </w:tcPr>
          <w:p w:rsidR="00C004B4" w:rsidRDefault="00C004B4"/>
        </w:tc>
        <w:tc>
          <w:tcPr>
            <w:tcW w:w="907" w:type="dxa"/>
            <w:vMerge/>
          </w:tcPr>
          <w:p w:rsidR="00C004B4" w:rsidRDefault="00C004B4"/>
        </w:tc>
        <w:tc>
          <w:tcPr>
            <w:tcW w:w="2040" w:type="dxa"/>
            <w:gridSpan w:val="2"/>
            <w:vMerge/>
          </w:tcPr>
          <w:p w:rsidR="00C004B4" w:rsidRDefault="00C004B4"/>
        </w:tc>
        <w:tc>
          <w:tcPr>
            <w:tcW w:w="1247" w:type="dxa"/>
            <w:vMerge/>
          </w:tcPr>
          <w:p w:rsidR="00C004B4" w:rsidRDefault="00C004B4"/>
        </w:tc>
        <w:tc>
          <w:tcPr>
            <w:tcW w:w="1474" w:type="dxa"/>
            <w:vMerge/>
          </w:tcPr>
          <w:p w:rsidR="00C004B4" w:rsidRDefault="00C004B4"/>
        </w:tc>
      </w:tr>
      <w:tr w:rsidR="00C004B4">
        <w:trPr>
          <w:trHeight w:val="509"/>
        </w:trPr>
        <w:tc>
          <w:tcPr>
            <w:tcW w:w="425" w:type="dxa"/>
            <w:vMerge/>
          </w:tcPr>
          <w:p w:rsidR="00C004B4" w:rsidRDefault="00C004B4"/>
        </w:tc>
        <w:tc>
          <w:tcPr>
            <w:tcW w:w="1701" w:type="dxa"/>
            <w:vMerge/>
          </w:tcPr>
          <w:p w:rsidR="00C004B4" w:rsidRDefault="00C004B4"/>
        </w:tc>
        <w:tc>
          <w:tcPr>
            <w:tcW w:w="1701" w:type="dxa"/>
            <w:vMerge/>
          </w:tcPr>
          <w:p w:rsidR="00C004B4" w:rsidRDefault="00C004B4"/>
        </w:tc>
        <w:tc>
          <w:tcPr>
            <w:tcW w:w="794" w:type="dxa"/>
            <w:vMerge/>
          </w:tcPr>
          <w:p w:rsidR="00C004B4" w:rsidRDefault="00C004B4"/>
        </w:tc>
        <w:tc>
          <w:tcPr>
            <w:tcW w:w="3401" w:type="dxa"/>
            <w:gridSpan w:val="3"/>
            <w:vMerge/>
          </w:tcPr>
          <w:p w:rsidR="00C004B4" w:rsidRDefault="00C004B4"/>
        </w:tc>
        <w:tc>
          <w:tcPr>
            <w:tcW w:w="1077" w:type="dxa"/>
            <w:vMerge/>
          </w:tcPr>
          <w:p w:rsidR="00C004B4" w:rsidRDefault="00C004B4"/>
        </w:tc>
        <w:tc>
          <w:tcPr>
            <w:tcW w:w="1191" w:type="dxa"/>
            <w:vMerge w:val="restart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всего, кассовое исполнение федеральных средств, поступивших в областной бюджет</w:t>
            </w:r>
          </w:p>
        </w:tc>
        <w:tc>
          <w:tcPr>
            <w:tcW w:w="1417" w:type="dxa"/>
            <w:vMerge w:val="restart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профинансировано средств, поступающих напрямую получателям на счета, открытые в кредитных организациях или в Федеральном казначействе</w:t>
            </w:r>
          </w:p>
        </w:tc>
        <w:tc>
          <w:tcPr>
            <w:tcW w:w="964" w:type="dxa"/>
            <w:vMerge/>
          </w:tcPr>
          <w:p w:rsidR="00C004B4" w:rsidRDefault="00C004B4"/>
        </w:tc>
        <w:tc>
          <w:tcPr>
            <w:tcW w:w="1020" w:type="dxa"/>
            <w:vMerge/>
          </w:tcPr>
          <w:p w:rsidR="00C004B4" w:rsidRDefault="00C004B4"/>
        </w:tc>
        <w:tc>
          <w:tcPr>
            <w:tcW w:w="850" w:type="dxa"/>
            <w:vMerge/>
          </w:tcPr>
          <w:p w:rsidR="00C004B4" w:rsidRDefault="00C004B4"/>
        </w:tc>
        <w:tc>
          <w:tcPr>
            <w:tcW w:w="850" w:type="dxa"/>
            <w:vMerge/>
          </w:tcPr>
          <w:p w:rsidR="00C004B4" w:rsidRDefault="00C004B4"/>
        </w:tc>
        <w:tc>
          <w:tcPr>
            <w:tcW w:w="794" w:type="dxa"/>
            <w:vMerge/>
          </w:tcPr>
          <w:p w:rsidR="00C004B4" w:rsidRDefault="00C004B4"/>
        </w:tc>
        <w:tc>
          <w:tcPr>
            <w:tcW w:w="624" w:type="dxa"/>
            <w:vMerge/>
          </w:tcPr>
          <w:p w:rsidR="00C004B4" w:rsidRDefault="00C004B4"/>
        </w:tc>
        <w:tc>
          <w:tcPr>
            <w:tcW w:w="907" w:type="dxa"/>
            <w:vMerge/>
          </w:tcPr>
          <w:p w:rsidR="00C004B4" w:rsidRDefault="00C004B4"/>
        </w:tc>
        <w:tc>
          <w:tcPr>
            <w:tcW w:w="680" w:type="dxa"/>
            <w:vMerge/>
          </w:tcPr>
          <w:p w:rsidR="00C004B4" w:rsidRDefault="00C004B4"/>
        </w:tc>
        <w:tc>
          <w:tcPr>
            <w:tcW w:w="794" w:type="dxa"/>
            <w:vMerge/>
          </w:tcPr>
          <w:p w:rsidR="00C004B4" w:rsidRDefault="00C004B4"/>
        </w:tc>
        <w:tc>
          <w:tcPr>
            <w:tcW w:w="907" w:type="dxa"/>
            <w:vMerge/>
          </w:tcPr>
          <w:p w:rsidR="00C004B4" w:rsidRDefault="00C004B4"/>
        </w:tc>
        <w:tc>
          <w:tcPr>
            <w:tcW w:w="1020" w:type="dxa"/>
            <w:vMerge w:val="restart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федеральный бюджет</w:t>
            </w:r>
          </w:p>
        </w:tc>
        <w:tc>
          <w:tcPr>
            <w:tcW w:w="1020" w:type="dxa"/>
            <w:vMerge w:val="restart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областной бюджет</w:t>
            </w:r>
          </w:p>
        </w:tc>
        <w:tc>
          <w:tcPr>
            <w:tcW w:w="1247" w:type="dxa"/>
            <w:vMerge/>
          </w:tcPr>
          <w:p w:rsidR="00C004B4" w:rsidRDefault="00C004B4"/>
        </w:tc>
        <w:tc>
          <w:tcPr>
            <w:tcW w:w="1474" w:type="dxa"/>
            <w:vMerge/>
          </w:tcPr>
          <w:p w:rsidR="00C004B4" w:rsidRDefault="00C004B4"/>
        </w:tc>
      </w:tr>
      <w:tr w:rsidR="00C004B4">
        <w:tc>
          <w:tcPr>
            <w:tcW w:w="425" w:type="dxa"/>
            <w:vMerge/>
          </w:tcPr>
          <w:p w:rsidR="00C004B4" w:rsidRDefault="00C004B4"/>
        </w:tc>
        <w:tc>
          <w:tcPr>
            <w:tcW w:w="1701" w:type="dxa"/>
            <w:vMerge/>
          </w:tcPr>
          <w:p w:rsidR="00C004B4" w:rsidRDefault="00C004B4"/>
        </w:tc>
        <w:tc>
          <w:tcPr>
            <w:tcW w:w="1701" w:type="dxa"/>
            <w:vMerge/>
          </w:tcPr>
          <w:p w:rsidR="00C004B4" w:rsidRDefault="00C004B4"/>
        </w:tc>
        <w:tc>
          <w:tcPr>
            <w:tcW w:w="794" w:type="dxa"/>
            <w:vMerge/>
          </w:tcPr>
          <w:p w:rsidR="00C004B4" w:rsidRDefault="00C004B4"/>
        </w:tc>
        <w:tc>
          <w:tcPr>
            <w:tcW w:w="1077" w:type="dxa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всего, план по сводной бюджетной росписи федеральных средств, поступающих в областной бюджет</w:t>
            </w: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из них остаток на начало отчетного периода</w:t>
            </w:r>
          </w:p>
        </w:tc>
        <w:tc>
          <w:tcPr>
            <w:tcW w:w="1304" w:type="dxa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план средств, поступающих напрямую получателям на счета, открытые в кредитных организациях или в Федеральном казначействе</w:t>
            </w:r>
          </w:p>
        </w:tc>
        <w:tc>
          <w:tcPr>
            <w:tcW w:w="1077" w:type="dxa"/>
            <w:vMerge/>
          </w:tcPr>
          <w:p w:rsidR="00C004B4" w:rsidRDefault="00C004B4"/>
        </w:tc>
        <w:tc>
          <w:tcPr>
            <w:tcW w:w="1191" w:type="dxa"/>
            <w:vMerge/>
          </w:tcPr>
          <w:p w:rsidR="00C004B4" w:rsidRDefault="00C004B4"/>
        </w:tc>
        <w:tc>
          <w:tcPr>
            <w:tcW w:w="1417" w:type="dxa"/>
            <w:vMerge/>
          </w:tcPr>
          <w:p w:rsidR="00C004B4" w:rsidRDefault="00C004B4"/>
        </w:tc>
        <w:tc>
          <w:tcPr>
            <w:tcW w:w="964" w:type="dxa"/>
            <w:vMerge/>
          </w:tcPr>
          <w:p w:rsidR="00C004B4" w:rsidRDefault="00C004B4"/>
        </w:tc>
        <w:tc>
          <w:tcPr>
            <w:tcW w:w="1020" w:type="dxa"/>
            <w:vMerge/>
          </w:tcPr>
          <w:p w:rsidR="00C004B4" w:rsidRDefault="00C004B4"/>
        </w:tc>
        <w:tc>
          <w:tcPr>
            <w:tcW w:w="850" w:type="dxa"/>
            <w:vMerge/>
          </w:tcPr>
          <w:p w:rsidR="00C004B4" w:rsidRDefault="00C004B4"/>
        </w:tc>
        <w:tc>
          <w:tcPr>
            <w:tcW w:w="850" w:type="dxa"/>
            <w:vMerge/>
          </w:tcPr>
          <w:p w:rsidR="00C004B4" w:rsidRDefault="00C004B4"/>
        </w:tc>
        <w:tc>
          <w:tcPr>
            <w:tcW w:w="794" w:type="dxa"/>
            <w:vMerge/>
          </w:tcPr>
          <w:p w:rsidR="00C004B4" w:rsidRDefault="00C004B4"/>
        </w:tc>
        <w:tc>
          <w:tcPr>
            <w:tcW w:w="624" w:type="dxa"/>
            <w:vMerge/>
          </w:tcPr>
          <w:p w:rsidR="00C004B4" w:rsidRDefault="00C004B4"/>
        </w:tc>
        <w:tc>
          <w:tcPr>
            <w:tcW w:w="907" w:type="dxa"/>
            <w:vMerge/>
          </w:tcPr>
          <w:p w:rsidR="00C004B4" w:rsidRDefault="00C004B4"/>
        </w:tc>
        <w:tc>
          <w:tcPr>
            <w:tcW w:w="680" w:type="dxa"/>
            <w:vMerge/>
          </w:tcPr>
          <w:p w:rsidR="00C004B4" w:rsidRDefault="00C004B4"/>
        </w:tc>
        <w:tc>
          <w:tcPr>
            <w:tcW w:w="794" w:type="dxa"/>
            <w:vMerge/>
          </w:tcPr>
          <w:p w:rsidR="00C004B4" w:rsidRDefault="00C004B4"/>
        </w:tc>
        <w:tc>
          <w:tcPr>
            <w:tcW w:w="907" w:type="dxa"/>
            <w:vMerge/>
          </w:tcPr>
          <w:p w:rsidR="00C004B4" w:rsidRDefault="00C004B4"/>
        </w:tc>
        <w:tc>
          <w:tcPr>
            <w:tcW w:w="1020" w:type="dxa"/>
            <w:vMerge/>
          </w:tcPr>
          <w:p w:rsidR="00C004B4" w:rsidRDefault="00C004B4"/>
        </w:tc>
        <w:tc>
          <w:tcPr>
            <w:tcW w:w="1020" w:type="dxa"/>
            <w:vMerge/>
          </w:tcPr>
          <w:p w:rsidR="00C004B4" w:rsidRDefault="00C004B4"/>
        </w:tc>
        <w:tc>
          <w:tcPr>
            <w:tcW w:w="1247" w:type="dxa"/>
            <w:vMerge/>
          </w:tcPr>
          <w:p w:rsidR="00C004B4" w:rsidRDefault="00C004B4"/>
        </w:tc>
        <w:tc>
          <w:tcPr>
            <w:tcW w:w="1474" w:type="dxa"/>
            <w:vMerge/>
          </w:tcPr>
          <w:p w:rsidR="00C004B4" w:rsidRDefault="00C004B4"/>
        </w:tc>
      </w:tr>
      <w:tr w:rsidR="00C004B4">
        <w:tc>
          <w:tcPr>
            <w:tcW w:w="425" w:type="dxa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01" w:type="dxa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94" w:type="dxa"/>
            <w:vAlign w:val="center"/>
          </w:tcPr>
          <w:p w:rsidR="00C004B4" w:rsidRDefault="00C004B4">
            <w:pPr>
              <w:pStyle w:val="ConsPlusNormal"/>
              <w:jc w:val="center"/>
            </w:pPr>
            <w:bookmarkStart w:id="1" w:name="P91"/>
            <w:bookmarkEnd w:id="1"/>
            <w:r>
              <w:t xml:space="preserve">4 = </w:t>
            </w:r>
            <w:hyperlink w:anchor="P92" w:history="1">
              <w:r>
                <w:rPr>
                  <w:color w:val="0000FF"/>
                </w:rPr>
                <w:t>5</w:t>
              </w:r>
            </w:hyperlink>
            <w:r>
              <w:t xml:space="preserve"> + </w:t>
            </w:r>
            <w:hyperlink w:anchor="P94" w:history="1">
              <w:r>
                <w:rPr>
                  <w:color w:val="0000FF"/>
                </w:rPr>
                <w:t>7</w:t>
              </w:r>
            </w:hyperlink>
          </w:p>
        </w:tc>
        <w:tc>
          <w:tcPr>
            <w:tcW w:w="1077" w:type="dxa"/>
            <w:vAlign w:val="center"/>
          </w:tcPr>
          <w:p w:rsidR="00C004B4" w:rsidRDefault="00C004B4">
            <w:pPr>
              <w:pStyle w:val="ConsPlusNormal"/>
              <w:jc w:val="center"/>
            </w:pPr>
            <w:bookmarkStart w:id="2" w:name="P92"/>
            <w:bookmarkEnd w:id="2"/>
            <w:r>
              <w:t>5</w:t>
            </w: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304" w:type="dxa"/>
            <w:vAlign w:val="center"/>
          </w:tcPr>
          <w:p w:rsidR="00C004B4" w:rsidRDefault="00C004B4">
            <w:pPr>
              <w:pStyle w:val="ConsPlusNormal"/>
              <w:jc w:val="center"/>
            </w:pPr>
            <w:bookmarkStart w:id="3" w:name="P94"/>
            <w:bookmarkEnd w:id="3"/>
            <w:r>
              <w:t>7</w:t>
            </w:r>
          </w:p>
        </w:tc>
        <w:tc>
          <w:tcPr>
            <w:tcW w:w="1077" w:type="dxa"/>
            <w:vAlign w:val="center"/>
          </w:tcPr>
          <w:p w:rsidR="00C004B4" w:rsidRDefault="00C004B4">
            <w:pPr>
              <w:pStyle w:val="ConsPlusNormal"/>
              <w:jc w:val="center"/>
            </w:pPr>
            <w:bookmarkStart w:id="4" w:name="P95"/>
            <w:bookmarkEnd w:id="4"/>
            <w:r>
              <w:t xml:space="preserve">8 = </w:t>
            </w:r>
            <w:hyperlink w:anchor="P96" w:history="1">
              <w:r>
                <w:rPr>
                  <w:color w:val="0000FF"/>
                </w:rPr>
                <w:t>9</w:t>
              </w:r>
            </w:hyperlink>
            <w:r>
              <w:t xml:space="preserve"> + </w:t>
            </w:r>
            <w:hyperlink w:anchor="P97" w:history="1">
              <w:r>
                <w:rPr>
                  <w:color w:val="0000FF"/>
                </w:rPr>
                <w:t>10</w:t>
              </w:r>
            </w:hyperlink>
          </w:p>
        </w:tc>
        <w:tc>
          <w:tcPr>
            <w:tcW w:w="1191" w:type="dxa"/>
            <w:vAlign w:val="center"/>
          </w:tcPr>
          <w:p w:rsidR="00C004B4" w:rsidRDefault="00C004B4">
            <w:pPr>
              <w:pStyle w:val="ConsPlusNormal"/>
              <w:jc w:val="center"/>
            </w:pPr>
            <w:bookmarkStart w:id="5" w:name="P96"/>
            <w:bookmarkEnd w:id="5"/>
            <w:r>
              <w:t>9</w:t>
            </w:r>
          </w:p>
        </w:tc>
        <w:tc>
          <w:tcPr>
            <w:tcW w:w="1417" w:type="dxa"/>
            <w:vAlign w:val="center"/>
          </w:tcPr>
          <w:p w:rsidR="00C004B4" w:rsidRDefault="00C004B4">
            <w:pPr>
              <w:pStyle w:val="ConsPlusNormal"/>
              <w:jc w:val="center"/>
            </w:pPr>
            <w:bookmarkStart w:id="6" w:name="P97"/>
            <w:bookmarkEnd w:id="6"/>
            <w:r>
              <w:t>10</w:t>
            </w:r>
          </w:p>
        </w:tc>
        <w:tc>
          <w:tcPr>
            <w:tcW w:w="964" w:type="dxa"/>
            <w:vAlign w:val="center"/>
          </w:tcPr>
          <w:p w:rsidR="00C004B4" w:rsidRDefault="00C004B4">
            <w:pPr>
              <w:pStyle w:val="ConsPlusNormal"/>
              <w:jc w:val="center"/>
            </w:pPr>
            <w:bookmarkStart w:id="7" w:name="P98"/>
            <w:bookmarkEnd w:id="7"/>
            <w:r>
              <w:t>11</w:t>
            </w: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850" w:type="dxa"/>
            <w:vAlign w:val="center"/>
          </w:tcPr>
          <w:p w:rsidR="00C004B4" w:rsidRDefault="00C004B4">
            <w:pPr>
              <w:pStyle w:val="ConsPlusNormal"/>
              <w:jc w:val="center"/>
            </w:pPr>
            <w:bookmarkStart w:id="8" w:name="P100"/>
            <w:bookmarkEnd w:id="8"/>
            <w:r>
              <w:t>13</w:t>
            </w:r>
          </w:p>
        </w:tc>
        <w:tc>
          <w:tcPr>
            <w:tcW w:w="850" w:type="dxa"/>
            <w:vAlign w:val="center"/>
          </w:tcPr>
          <w:p w:rsidR="00C004B4" w:rsidRDefault="00C004B4">
            <w:pPr>
              <w:pStyle w:val="ConsPlusNormal"/>
              <w:jc w:val="center"/>
            </w:pPr>
            <w:bookmarkStart w:id="9" w:name="P101"/>
            <w:bookmarkEnd w:id="9"/>
            <w:r>
              <w:t>14</w:t>
            </w:r>
          </w:p>
        </w:tc>
        <w:tc>
          <w:tcPr>
            <w:tcW w:w="794" w:type="dxa"/>
            <w:vAlign w:val="center"/>
          </w:tcPr>
          <w:p w:rsidR="00C004B4" w:rsidRDefault="00C004B4">
            <w:pPr>
              <w:pStyle w:val="ConsPlusNormal"/>
              <w:jc w:val="center"/>
            </w:pPr>
            <w:bookmarkStart w:id="10" w:name="P102"/>
            <w:bookmarkEnd w:id="10"/>
            <w:r>
              <w:t>15</w:t>
            </w:r>
          </w:p>
        </w:tc>
        <w:tc>
          <w:tcPr>
            <w:tcW w:w="624" w:type="dxa"/>
            <w:vAlign w:val="center"/>
          </w:tcPr>
          <w:p w:rsidR="00C004B4" w:rsidRDefault="00C004B4">
            <w:pPr>
              <w:pStyle w:val="ConsPlusNormal"/>
              <w:jc w:val="center"/>
            </w:pPr>
            <w:bookmarkStart w:id="11" w:name="P103"/>
            <w:bookmarkEnd w:id="11"/>
            <w:r>
              <w:t>16</w:t>
            </w:r>
          </w:p>
        </w:tc>
        <w:tc>
          <w:tcPr>
            <w:tcW w:w="907" w:type="dxa"/>
            <w:vAlign w:val="center"/>
          </w:tcPr>
          <w:p w:rsidR="00C004B4" w:rsidRDefault="00C004B4">
            <w:pPr>
              <w:pStyle w:val="ConsPlusNormal"/>
              <w:jc w:val="center"/>
            </w:pPr>
            <w:bookmarkStart w:id="12" w:name="P104"/>
            <w:bookmarkEnd w:id="12"/>
            <w:r>
              <w:t>17</w:t>
            </w:r>
          </w:p>
        </w:tc>
        <w:tc>
          <w:tcPr>
            <w:tcW w:w="680" w:type="dxa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 xml:space="preserve">18 = </w:t>
            </w:r>
            <w:hyperlink w:anchor="P91" w:history="1">
              <w:r>
                <w:rPr>
                  <w:color w:val="0000FF"/>
                </w:rPr>
                <w:t>4</w:t>
              </w:r>
            </w:hyperlink>
            <w:r>
              <w:t xml:space="preserve"> + </w:t>
            </w:r>
            <w:hyperlink w:anchor="P98" w:history="1">
              <w:r>
                <w:rPr>
                  <w:color w:val="0000FF"/>
                </w:rPr>
                <w:t>11</w:t>
              </w:r>
            </w:hyperlink>
            <w:r>
              <w:t xml:space="preserve"> + </w:t>
            </w:r>
            <w:hyperlink w:anchor="P101" w:history="1">
              <w:r>
                <w:rPr>
                  <w:color w:val="0000FF"/>
                </w:rPr>
                <w:t>14</w:t>
              </w:r>
            </w:hyperlink>
            <w:r>
              <w:t xml:space="preserve"> + </w:t>
            </w:r>
            <w:hyperlink w:anchor="P103" w:history="1">
              <w:r>
                <w:rPr>
                  <w:color w:val="0000FF"/>
                </w:rPr>
                <w:t>16</w:t>
              </w:r>
            </w:hyperlink>
          </w:p>
        </w:tc>
        <w:tc>
          <w:tcPr>
            <w:tcW w:w="794" w:type="dxa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 xml:space="preserve">19 = </w:t>
            </w:r>
            <w:hyperlink w:anchor="P95" w:history="1">
              <w:r>
                <w:rPr>
                  <w:color w:val="0000FF"/>
                </w:rPr>
                <w:t>8</w:t>
              </w:r>
            </w:hyperlink>
            <w:r>
              <w:t xml:space="preserve"> + </w:t>
            </w:r>
            <w:hyperlink w:anchor="P100" w:history="1">
              <w:r>
                <w:rPr>
                  <w:color w:val="0000FF"/>
                </w:rPr>
                <w:t>13</w:t>
              </w:r>
            </w:hyperlink>
            <w:r>
              <w:t xml:space="preserve"> + </w:t>
            </w:r>
            <w:hyperlink w:anchor="P102" w:history="1">
              <w:r>
                <w:rPr>
                  <w:color w:val="0000FF"/>
                </w:rPr>
                <w:t>15</w:t>
              </w:r>
            </w:hyperlink>
            <w:r>
              <w:t xml:space="preserve"> + </w:t>
            </w:r>
            <w:hyperlink w:anchor="P104" w:history="1">
              <w:r>
                <w:rPr>
                  <w:color w:val="0000FF"/>
                </w:rPr>
                <w:t>17</w:t>
              </w:r>
            </w:hyperlink>
          </w:p>
        </w:tc>
        <w:tc>
          <w:tcPr>
            <w:tcW w:w="907" w:type="dxa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1247" w:type="dxa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1474" w:type="dxa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24</w:t>
            </w:r>
          </w:p>
        </w:tc>
      </w:tr>
      <w:tr w:rsidR="00C004B4">
        <w:tc>
          <w:tcPr>
            <w:tcW w:w="425" w:type="dxa"/>
          </w:tcPr>
          <w:p w:rsidR="00C004B4" w:rsidRDefault="00C004B4">
            <w:pPr>
              <w:pStyle w:val="ConsPlusNormal"/>
            </w:pPr>
          </w:p>
        </w:tc>
        <w:tc>
          <w:tcPr>
            <w:tcW w:w="1701" w:type="dxa"/>
            <w:vAlign w:val="center"/>
          </w:tcPr>
          <w:p w:rsidR="00C004B4" w:rsidRDefault="00C004B4">
            <w:pPr>
              <w:pStyle w:val="ConsPlusNormal"/>
            </w:pPr>
            <w:r>
              <w:t>Всего по ГП РФ, ФЦП</w:t>
            </w:r>
          </w:p>
        </w:tc>
        <w:tc>
          <w:tcPr>
            <w:tcW w:w="1701" w:type="dxa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191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41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85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85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79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62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68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79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74" w:type="dxa"/>
            <w:vAlign w:val="center"/>
          </w:tcPr>
          <w:p w:rsidR="00C004B4" w:rsidRDefault="00C004B4">
            <w:pPr>
              <w:pStyle w:val="ConsPlusNormal"/>
            </w:pPr>
          </w:p>
        </w:tc>
      </w:tr>
      <w:tr w:rsidR="00C004B4">
        <w:tc>
          <w:tcPr>
            <w:tcW w:w="425" w:type="dxa"/>
          </w:tcPr>
          <w:p w:rsidR="00C004B4" w:rsidRDefault="00C004B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C004B4" w:rsidRDefault="00C004B4">
            <w:pPr>
              <w:pStyle w:val="ConsPlusNormal"/>
            </w:pPr>
            <w:r>
              <w:t>ГП РФ 1</w:t>
            </w:r>
          </w:p>
        </w:tc>
        <w:tc>
          <w:tcPr>
            <w:tcW w:w="1701" w:type="dxa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191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41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85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85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79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62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68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79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74" w:type="dxa"/>
            <w:vAlign w:val="center"/>
          </w:tcPr>
          <w:p w:rsidR="00C004B4" w:rsidRDefault="00C004B4">
            <w:pPr>
              <w:pStyle w:val="ConsPlusNormal"/>
            </w:pPr>
          </w:p>
        </w:tc>
      </w:tr>
      <w:tr w:rsidR="00C004B4">
        <w:tc>
          <w:tcPr>
            <w:tcW w:w="425" w:type="dxa"/>
          </w:tcPr>
          <w:p w:rsidR="00C004B4" w:rsidRDefault="00C004B4">
            <w:pPr>
              <w:pStyle w:val="ConsPlusNormal"/>
            </w:pPr>
          </w:p>
        </w:tc>
        <w:tc>
          <w:tcPr>
            <w:tcW w:w="1701" w:type="dxa"/>
            <w:vAlign w:val="center"/>
          </w:tcPr>
          <w:p w:rsidR="00C004B4" w:rsidRDefault="00C004B4">
            <w:pPr>
              <w:pStyle w:val="ConsPlusNormal"/>
            </w:pPr>
            <w:r>
              <w:t>Мероприятие 1</w:t>
            </w:r>
          </w:p>
        </w:tc>
        <w:tc>
          <w:tcPr>
            <w:tcW w:w="1701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79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191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41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85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85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79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62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68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79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C004B4" w:rsidRDefault="00C004B4">
            <w:pPr>
              <w:pStyle w:val="ConsPlusNormal"/>
            </w:pPr>
          </w:p>
        </w:tc>
      </w:tr>
      <w:tr w:rsidR="00C004B4">
        <w:tc>
          <w:tcPr>
            <w:tcW w:w="425" w:type="dxa"/>
          </w:tcPr>
          <w:p w:rsidR="00C004B4" w:rsidRDefault="00C004B4">
            <w:pPr>
              <w:pStyle w:val="ConsPlusNormal"/>
            </w:pPr>
          </w:p>
        </w:tc>
        <w:tc>
          <w:tcPr>
            <w:tcW w:w="1701" w:type="dxa"/>
            <w:vAlign w:val="center"/>
          </w:tcPr>
          <w:p w:rsidR="00C004B4" w:rsidRDefault="00C004B4">
            <w:pPr>
              <w:pStyle w:val="ConsPlusNormal"/>
            </w:pPr>
            <w:r>
              <w:t>Мероприятие n</w:t>
            </w:r>
          </w:p>
        </w:tc>
        <w:tc>
          <w:tcPr>
            <w:tcW w:w="1701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79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191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41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85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85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79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62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68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79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C004B4" w:rsidRDefault="00C004B4">
            <w:pPr>
              <w:pStyle w:val="ConsPlusNormal"/>
            </w:pPr>
          </w:p>
        </w:tc>
      </w:tr>
      <w:tr w:rsidR="00C004B4">
        <w:tc>
          <w:tcPr>
            <w:tcW w:w="425" w:type="dxa"/>
          </w:tcPr>
          <w:p w:rsidR="00C004B4" w:rsidRDefault="00C004B4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701" w:type="dxa"/>
            <w:vAlign w:val="center"/>
          </w:tcPr>
          <w:p w:rsidR="00C004B4" w:rsidRDefault="00C004B4">
            <w:pPr>
              <w:pStyle w:val="ConsPlusNormal"/>
            </w:pPr>
            <w:r>
              <w:t>ФЦП 1</w:t>
            </w:r>
          </w:p>
        </w:tc>
        <w:tc>
          <w:tcPr>
            <w:tcW w:w="1701" w:type="dxa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191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41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85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85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79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62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68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79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74" w:type="dxa"/>
            <w:vAlign w:val="center"/>
          </w:tcPr>
          <w:p w:rsidR="00C004B4" w:rsidRDefault="00C004B4">
            <w:pPr>
              <w:pStyle w:val="ConsPlusNormal"/>
            </w:pPr>
          </w:p>
        </w:tc>
      </w:tr>
      <w:tr w:rsidR="00C004B4">
        <w:tc>
          <w:tcPr>
            <w:tcW w:w="425" w:type="dxa"/>
          </w:tcPr>
          <w:p w:rsidR="00C004B4" w:rsidRDefault="00C004B4">
            <w:pPr>
              <w:pStyle w:val="ConsPlusNormal"/>
            </w:pPr>
          </w:p>
        </w:tc>
        <w:tc>
          <w:tcPr>
            <w:tcW w:w="1701" w:type="dxa"/>
            <w:vAlign w:val="center"/>
          </w:tcPr>
          <w:p w:rsidR="00C004B4" w:rsidRDefault="00C004B4">
            <w:pPr>
              <w:pStyle w:val="ConsPlusNormal"/>
            </w:pPr>
            <w:r>
              <w:t>Мероприятие 1</w:t>
            </w:r>
          </w:p>
        </w:tc>
        <w:tc>
          <w:tcPr>
            <w:tcW w:w="1701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79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191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41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85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85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79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62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68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79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C004B4" w:rsidRDefault="00C004B4">
            <w:pPr>
              <w:pStyle w:val="ConsPlusNormal"/>
            </w:pPr>
          </w:p>
        </w:tc>
      </w:tr>
      <w:tr w:rsidR="00C004B4">
        <w:tc>
          <w:tcPr>
            <w:tcW w:w="425" w:type="dxa"/>
          </w:tcPr>
          <w:p w:rsidR="00C004B4" w:rsidRDefault="00C004B4">
            <w:pPr>
              <w:pStyle w:val="ConsPlusNormal"/>
            </w:pPr>
          </w:p>
        </w:tc>
        <w:tc>
          <w:tcPr>
            <w:tcW w:w="1701" w:type="dxa"/>
            <w:vAlign w:val="center"/>
          </w:tcPr>
          <w:p w:rsidR="00C004B4" w:rsidRDefault="00C004B4">
            <w:pPr>
              <w:pStyle w:val="ConsPlusNormal"/>
            </w:pPr>
            <w:r>
              <w:t>Мероприятие n</w:t>
            </w:r>
          </w:p>
        </w:tc>
        <w:tc>
          <w:tcPr>
            <w:tcW w:w="1701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79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191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41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85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85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79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62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68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79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C004B4" w:rsidRDefault="00C004B4">
            <w:pPr>
              <w:pStyle w:val="ConsPlusNormal"/>
            </w:pPr>
          </w:p>
        </w:tc>
      </w:tr>
      <w:tr w:rsidR="00C004B4">
        <w:tc>
          <w:tcPr>
            <w:tcW w:w="425" w:type="dxa"/>
          </w:tcPr>
          <w:p w:rsidR="00C004B4" w:rsidRDefault="00C004B4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1701" w:type="dxa"/>
            <w:vAlign w:val="center"/>
          </w:tcPr>
          <w:p w:rsidR="00C004B4" w:rsidRDefault="00C004B4">
            <w:pPr>
              <w:pStyle w:val="ConsPlusNormal"/>
            </w:pPr>
            <w:r>
              <w:t>ФЦП n</w:t>
            </w:r>
          </w:p>
        </w:tc>
        <w:tc>
          <w:tcPr>
            <w:tcW w:w="1701" w:type="dxa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191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41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85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85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79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62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68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79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74" w:type="dxa"/>
            <w:vAlign w:val="center"/>
          </w:tcPr>
          <w:p w:rsidR="00C004B4" w:rsidRDefault="00C004B4">
            <w:pPr>
              <w:pStyle w:val="ConsPlusNormal"/>
            </w:pPr>
          </w:p>
        </w:tc>
      </w:tr>
      <w:tr w:rsidR="00C004B4">
        <w:tc>
          <w:tcPr>
            <w:tcW w:w="425" w:type="dxa"/>
          </w:tcPr>
          <w:p w:rsidR="00C004B4" w:rsidRDefault="00C004B4">
            <w:pPr>
              <w:pStyle w:val="ConsPlusNormal"/>
            </w:pPr>
          </w:p>
        </w:tc>
        <w:tc>
          <w:tcPr>
            <w:tcW w:w="1701" w:type="dxa"/>
            <w:vAlign w:val="center"/>
          </w:tcPr>
          <w:p w:rsidR="00C004B4" w:rsidRDefault="00C004B4">
            <w:pPr>
              <w:pStyle w:val="ConsPlusNormal"/>
            </w:pPr>
            <w:r>
              <w:t>Мероприятие 1</w:t>
            </w:r>
          </w:p>
        </w:tc>
        <w:tc>
          <w:tcPr>
            <w:tcW w:w="1701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79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191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41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85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85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79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62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68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79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C004B4" w:rsidRDefault="00C004B4">
            <w:pPr>
              <w:pStyle w:val="ConsPlusNormal"/>
            </w:pPr>
          </w:p>
        </w:tc>
      </w:tr>
      <w:tr w:rsidR="00C004B4">
        <w:tc>
          <w:tcPr>
            <w:tcW w:w="425" w:type="dxa"/>
          </w:tcPr>
          <w:p w:rsidR="00C004B4" w:rsidRDefault="00C004B4">
            <w:pPr>
              <w:pStyle w:val="ConsPlusNormal"/>
            </w:pPr>
          </w:p>
        </w:tc>
        <w:tc>
          <w:tcPr>
            <w:tcW w:w="1701" w:type="dxa"/>
            <w:vAlign w:val="center"/>
          </w:tcPr>
          <w:p w:rsidR="00C004B4" w:rsidRDefault="00C004B4">
            <w:pPr>
              <w:pStyle w:val="ConsPlusNormal"/>
            </w:pPr>
            <w:r>
              <w:t>Мероприятие n</w:t>
            </w:r>
          </w:p>
        </w:tc>
        <w:tc>
          <w:tcPr>
            <w:tcW w:w="1701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79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191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41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85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85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79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62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68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79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C004B4" w:rsidRDefault="00C004B4">
            <w:pPr>
              <w:pStyle w:val="ConsPlusNormal"/>
            </w:pPr>
          </w:p>
        </w:tc>
      </w:tr>
      <w:tr w:rsidR="00C004B4">
        <w:tc>
          <w:tcPr>
            <w:tcW w:w="425" w:type="dxa"/>
          </w:tcPr>
          <w:p w:rsidR="00C004B4" w:rsidRDefault="00C004B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01" w:type="dxa"/>
            <w:vAlign w:val="center"/>
          </w:tcPr>
          <w:p w:rsidR="00C004B4" w:rsidRDefault="00C004B4">
            <w:pPr>
              <w:pStyle w:val="ConsPlusNormal"/>
            </w:pPr>
            <w:r>
              <w:t>ГП РФ n</w:t>
            </w:r>
          </w:p>
        </w:tc>
        <w:tc>
          <w:tcPr>
            <w:tcW w:w="1701" w:type="dxa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191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41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85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85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79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62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68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79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74" w:type="dxa"/>
            <w:vAlign w:val="center"/>
          </w:tcPr>
          <w:p w:rsidR="00C004B4" w:rsidRDefault="00C004B4">
            <w:pPr>
              <w:pStyle w:val="ConsPlusNormal"/>
            </w:pPr>
          </w:p>
        </w:tc>
      </w:tr>
      <w:tr w:rsidR="00C004B4">
        <w:tc>
          <w:tcPr>
            <w:tcW w:w="425" w:type="dxa"/>
          </w:tcPr>
          <w:p w:rsidR="00C004B4" w:rsidRDefault="00C004B4">
            <w:pPr>
              <w:pStyle w:val="ConsPlusNormal"/>
            </w:pPr>
          </w:p>
        </w:tc>
        <w:tc>
          <w:tcPr>
            <w:tcW w:w="1701" w:type="dxa"/>
            <w:vAlign w:val="center"/>
          </w:tcPr>
          <w:p w:rsidR="00C004B4" w:rsidRDefault="00C004B4">
            <w:pPr>
              <w:pStyle w:val="ConsPlusNormal"/>
            </w:pPr>
            <w:r>
              <w:t>...</w:t>
            </w:r>
          </w:p>
        </w:tc>
        <w:tc>
          <w:tcPr>
            <w:tcW w:w="1701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79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191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41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85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85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79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62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68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79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C004B4" w:rsidRDefault="00C004B4">
            <w:pPr>
              <w:pStyle w:val="ConsPlusNormal"/>
            </w:pPr>
          </w:p>
        </w:tc>
      </w:tr>
      <w:tr w:rsidR="00C004B4">
        <w:tc>
          <w:tcPr>
            <w:tcW w:w="425" w:type="dxa"/>
          </w:tcPr>
          <w:p w:rsidR="00C004B4" w:rsidRDefault="00C004B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01" w:type="dxa"/>
            <w:vAlign w:val="center"/>
          </w:tcPr>
          <w:p w:rsidR="00C004B4" w:rsidRDefault="00C004B4">
            <w:pPr>
              <w:pStyle w:val="ConsPlusNormal"/>
            </w:pPr>
            <w:r>
              <w:t>ФАИП (непрограммные мероприятия)</w:t>
            </w:r>
          </w:p>
        </w:tc>
        <w:tc>
          <w:tcPr>
            <w:tcW w:w="1701" w:type="dxa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191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41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85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85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79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62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68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79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74" w:type="dxa"/>
            <w:vAlign w:val="center"/>
          </w:tcPr>
          <w:p w:rsidR="00C004B4" w:rsidRDefault="00C004B4">
            <w:pPr>
              <w:pStyle w:val="ConsPlusNormal"/>
            </w:pPr>
          </w:p>
        </w:tc>
      </w:tr>
      <w:tr w:rsidR="00C004B4">
        <w:tc>
          <w:tcPr>
            <w:tcW w:w="425" w:type="dxa"/>
          </w:tcPr>
          <w:p w:rsidR="00C004B4" w:rsidRDefault="00C004B4">
            <w:pPr>
              <w:pStyle w:val="ConsPlusNormal"/>
            </w:pPr>
          </w:p>
        </w:tc>
        <w:tc>
          <w:tcPr>
            <w:tcW w:w="1701" w:type="dxa"/>
            <w:vAlign w:val="center"/>
          </w:tcPr>
          <w:p w:rsidR="00C004B4" w:rsidRDefault="00C004B4">
            <w:pPr>
              <w:pStyle w:val="ConsPlusNormal"/>
            </w:pPr>
            <w:r>
              <w:t>Мероприятие 1</w:t>
            </w:r>
          </w:p>
        </w:tc>
        <w:tc>
          <w:tcPr>
            <w:tcW w:w="1701" w:type="dxa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191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41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85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85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79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62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68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79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74" w:type="dxa"/>
            <w:vAlign w:val="center"/>
          </w:tcPr>
          <w:p w:rsidR="00C004B4" w:rsidRDefault="00C004B4">
            <w:pPr>
              <w:pStyle w:val="ConsPlusNormal"/>
            </w:pPr>
          </w:p>
        </w:tc>
      </w:tr>
      <w:tr w:rsidR="00C004B4">
        <w:tc>
          <w:tcPr>
            <w:tcW w:w="425" w:type="dxa"/>
          </w:tcPr>
          <w:p w:rsidR="00C004B4" w:rsidRDefault="00C004B4">
            <w:pPr>
              <w:pStyle w:val="ConsPlusNormal"/>
            </w:pPr>
          </w:p>
        </w:tc>
        <w:tc>
          <w:tcPr>
            <w:tcW w:w="1701" w:type="dxa"/>
            <w:vAlign w:val="center"/>
          </w:tcPr>
          <w:p w:rsidR="00C004B4" w:rsidRDefault="00C004B4">
            <w:pPr>
              <w:pStyle w:val="ConsPlusNormal"/>
            </w:pPr>
            <w:r>
              <w:t>Мероприятие n</w:t>
            </w:r>
          </w:p>
        </w:tc>
        <w:tc>
          <w:tcPr>
            <w:tcW w:w="1701" w:type="dxa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191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41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85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85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79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62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68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79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74" w:type="dxa"/>
            <w:vAlign w:val="center"/>
          </w:tcPr>
          <w:p w:rsidR="00C004B4" w:rsidRDefault="00C004B4">
            <w:pPr>
              <w:pStyle w:val="ConsPlusNormal"/>
            </w:pPr>
          </w:p>
        </w:tc>
      </w:tr>
      <w:tr w:rsidR="00C004B4">
        <w:tc>
          <w:tcPr>
            <w:tcW w:w="425" w:type="dxa"/>
          </w:tcPr>
          <w:p w:rsidR="00C004B4" w:rsidRDefault="00C004B4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701" w:type="dxa"/>
            <w:vAlign w:val="center"/>
          </w:tcPr>
          <w:p w:rsidR="00C004B4" w:rsidRDefault="00C004B4">
            <w:pPr>
              <w:pStyle w:val="ConsPlusNormal"/>
            </w:pPr>
            <w:r>
              <w:t>Иные непрограммные мероприятия</w:t>
            </w:r>
          </w:p>
        </w:tc>
        <w:tc>
          <w:tcPr>
            <w:tcW w:w="1701" w:type="dxa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191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41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85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85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79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62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68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79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74" w:type="dxa"/>
            <w:vAlign w:val="center"/>
          </w:tcPr>
          <w:p w:rsidR="00C004B4" w:rsidRDefault="00C004B4">
            <w:pPr>
              <w:pStyle w:val="ConsPlusNormal"/>
            </w:pPr>
          </w:p>
        </w:tc>
      </w:tr>
      <w:tr w:rsidR="00C004B4">
        <w:tc>
          <w:tcPr>
            <w:tcW w:w="425" w:type="dxa"/>
          </w:tcPr>
          <w:p w:rsidR="00C004B4" w:rsidRDefault="00C004B4">
            <w:pPr>
              <w:pStyle w:val="ConsPlusNormal"/>
            </w:pPr>
          </w:p>
        </w:tc>
        <w:tc>
          <w:tcPr>
            <w:tcW w:w="1701" w:type="dxa"/>
            <w:vAlign w:val="center"/>
          </w:tcPr>
          <w:p w:rsidR="00C004B4" w:rsidRDefault="00C004B4">
            <w:pPr>
              <w:pStyle w:val="ConsPlusNormal"/>
            </w:pPr>
            <w:r>
              <w:t>Мероприятие 1</w:t>
            </w:r>
          </w:p>
        </w:tc>
        <w:tc>
          <w:tcPr>
            <w:tcW w:w="1701" w:type="dxa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191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41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85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85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79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62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68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79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74" w:type="dxa"/>
            <w:vAlign w:val="center"/>
          </w:tcPr>
          <w:p w:rsidR="00C004B4" w:rsidRDefault="00C004B4">
            <w:pPr>
              <w:pStyle w:val="ConsPlusNormal"/>
            </w:pPr>
          </w:p>
        </w:tc>
      </w:tr>
      <w:tr w:rsidR="00C004B4">
        <w:tc>
          <w:tcPr>
            <w:tcW w:w="425" w:type="dxa"/>
          </w:tcPr>
          <w:p w:rsidR="00C004B4" w:rsidRDefault="00C004B4">
            <w:pPr>
              <w:pStyle w:val="ConsPlusNormal"/>
            </w:pPr>
          </w:p>
        </w:tc>
        <w:tc>
          <w:tcPr>
            <w:tcW w:w="1701" w:type="dxa"/>
            <w:vAlign w:val="center"/>
          </w:tcPr>
          <w:p w:rsidR="00C004B4" w:rsidRDefault="00C004B4">
            <w:pPr>
              <w:pStyle w:val="ConsPlusNormal"/>
            </w:pPr>
            <w:r>
              <w:t>Мероприятие n</w:t>
            </w:r>
          </w:p>
        </w:tc>
        <w:tc>
          <w:tcPr>
            <w:tcW w:w="1701" w:type="dxa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191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41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85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85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79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62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68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794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C004B4" w:rsidRDefault="00C004B4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C004B4" w:rsidRDefault="00C004B4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74" w:type="dxa"/>
            <w:vAlign w:val="center"/>
          </w:tcPr>
          <w:p w:rsidR="00C004B4" w:rsidRDefault="00C004B4">
            <w:pPr>
              <w:pStyle w:val="ConsPlusNormal"/>
            </w:pPr>
          </w:p>
        </w:tc>
      </w:tr>
    </w:tbl>
    <w:p w:rsidR="00C004B4" w:rsidRDefault="00C004B4">
      <w:pPr>
        <w:sectPr w:rsidR="00C004B4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C004B4" w:rsidRDefault="00C004B4">
      <w:pPr>
        <w:pStyle w:val="ConsPlusNormal"/>
        <w:jc w:val="both"/>
      </w:pPr>
    </w:p>
    <w:p w:rsidR="00C004B4" w:rsidRDefault="00C004B4">
      <w:pPr>
        <w:pStyle w:val="ConsPlusNormal"/>
        <w:ind w:firstLine="540"/>
        <w:jc w:val="both"/>
      </w:pPr>
      <w:r>
        <w:t>Примечание: ГП РФ - государственная программа Российской Федерации; ФЦП - федеральная целевая программа; ФАИП - федеральная адресная инвестиционная программа.</w:t>
      </w:r>
    </w:p>
    <w:p w:rsidR="00C004B4" w:rsidRDefault="00C004B4">
      <w:pPr>
        <w:pStyle w:val="ConsPlusNormal"/>
        <w:jc w:val="both"/>
      </w:pPr>
    </w:p>
    <w:p w:rsidR="00C004B4" w:rsidRDefault="00C004B4">
      <w:pPr>
        <w:pStyle w:val="ConsPlusNormal"/>
        <w:jc w:val="both"/>
      </w:pPr>
    </w:p>
    <w:p w:rsidR="00C004B4" w:rsidRDefault="00C004B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84B65" w:rsidRDefault="00D84B65">
      <w:bookmarkStart w:id="13" w:name="_GoBack"/>
      <w:bookmarkEnd w:id="13"/>
    </w:p>
    <w:sectPr w:rsidR="00D84B65" w:rsidSect="005907C6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4B4"/>
    <w:rsid w:val="00C004B4"/>
    <w:rsid w:val="00D84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004B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004B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004B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004B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004B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004B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181402873A2CC6DBE50D50DD213B71E74559DB9F96F00E5A45646F2A2758655247431808052B944AE006F1EL11DC" TargetMode="External"/><Relationship Id="rId13" Type="http://schemas.openxmlformats.org/officeDocument/2006/relationships/hyperlink" Target="consultantplus://offline/ref=F181402873A2CC6DBE50D50DD213B71E74559DB9F96F00E5A45646F2A2758655247431808052B944AE006F1EL11DC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181402873A2CC6DBE50D50DD213B71E74559DB9F96F00E5A45646F2A2758655247431808052B944AE006F16L117C" TargetMode="External"/><Relationship Id="rId12" Type="http://schemas.openxmlformats.org/officeDocument/2006/relationships/hyperlink" Target="consultantplus://offline/ref=F181402873A2CC6DBE50D50DD213B71E74559DB9F96F00E5A45646F2A2758655247431808052B944AE006F1EL11DC" TargetMode="External"/><Relationship Id="rId17" Type="http://schemas.openxmlformats.org/officeDocument/2006/relationships/hyperlink" Target="consultantplus://offline/ref=F181402873A2CC6DBE50D50DD213B71E74559DB9F96F00E5A45646F2A2758655247431808052B944AE016315L119C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F181402873A2CC6DBE50D50DD213B71E74559DB9F96F00E5A45646F2A2758655247431808052B944AE016317L117C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F181402873A2CC6DBE50D50DD213B71E74559DB9F96F00E5A45646F2A275865524L714C" TargetMode="External"/><Relationship Id="rId11" Type="http://schemas.openxmlformats.org/officeDocument/2006/relationships/hyperlink" Target="consultantplus://offline/ref=F181402873A2CC6DBE50D50DD213B71E74559DB9F96F00E5A45646F2A2758655247431808052B944AE016514L11CC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F181402873A2CC6DBE50D50DD213B71E74559DB9F96F00E5A45646F2A2758655247431808052B944AE01641FL116C" TargetMode="External"/><Relationship Id="rId10" Type="http://schemas.openxmlformats.org/officeDocument/2006/relationships/hyperlink" Target="consultantplus://offline/ref=F181402873A2CC6DBE50D50DD213B71E74559DB9F96F00E5A45646F2A2758655247431808052B944AE016514L11EC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181402873A2CC6DBE50D50DD213B71E74559DB9F96F00E5A45646F2A2758655247431808052B944AE016517L119C" TargetMode="External"/><Relationship Id="rId14" Type="http://schemas.openxmlformats.org/officeDocument/2006/relationships/hyperlink" Target="consultantplus://offline/ref=F181402873A2CC6DBE50D50DD213B71E74559DB9F96F00E5A45646F2A2758655247431808052B944AE016214L11A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1145</Words>
  <Characters>6530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Власова</dc:creator>
  <cp:lastModifiedBy>Татьяна Николаевна Власова</cp:lastModifiedBy>
  <cp:revision>1</cp:revision>
  <dcterms:created xsi:type="dcterms:W3CDTF">2018-09-19T02:53:00Z</dcterms:created>
  <dcterms:modified xsi:type="dcterms:W3CDTF">2018-09-19T02:53:00Z</dcterms:modified>
</cp:coreProperties>
</file>